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sotto il nome dell'atleta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Ricerca, importazione, modifica, revoca e riattivazione restano sottoposte ad audit Admin/Super Admin.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