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la dimensione delle barre di ricerca nelle sezioni `Athletes` ed `Events`, mantenendo invariata la ricerca globale della home;</w:t>
      </w:r>
    </w:p>
    <w:p>
      <w:pPr>
        <w:pStyle w:val="ListBullet"/>
      </w:pPr>
      <w:r>
        <w:t>input di ricerca, pulsante `Search` e pulsanti filtro associati usano ora una stessa altezza di riferimento nelle sezioni dedicate, cosi il gruppo controlli risulta piu compatto e allineato;</w:t>
      </w:r>
    </w:p>
    <w:p>
      <w:pPr>
        <w:pStyle w:val="ListBullet"/>
      </w:pPr>
      <w:r>
        <w:t>la scelta mantiene la gerarchia visiva corretta: la ricerca globale resta piu ampia e centrale, mentre le search bar operative delle sezioni diventano piu vicine alla dimensione dei filtri contestuali.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