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0"/>
      </w:pPr>
    </w:p>
    <w:p>
      <w:pPr>
        <w:spacing w:after="100" w:line="276"/>
        <w:jc w:val="center"/>
      </w:pPr>
      <w:r>
        <w:rPr>
          <w:b/>
          <w:bCs/>
          <w:color w:val="1F4E5F"/>
          <w:sz w:val="44"/>
          <w:szCs w:val="44"/>
        </w:rPr>
        <w:t xml:space="preserve">Komponent walidacji danych adresowych</w:t>
      </w:r>
    </w:p>
    <w:p>
      <w:pPr>
        <w:spacing w:after="700" w:line="276"/>
        <w:jc w:val="center"/>
      </w:pPr>
      <w:r>
        <w:rPr>
          <w:color w:val="5A6873"/>
          <w:sz w:val="32"/>
          <w:szCs w:val="32"/>
        </w:rPr>
        <w:t xml:space="preserve">Baza danych i mikroserwis</w:t>
      </w:r>
    </w:p>
    <w:p>
      <w:pPr>
        <w:spacing w:after="120" w:line="276"/>
        <w:jc w:val="center"/>
      </w:pPr>
      <w:r>
        <w:rPr>
          <w:sz w:val="26"/>
          <w:szCs w:val="26"/>
        </w:rPr>
        <w:t xml:space="preserve">Raport z analizy i realizacji</w:t>
      </w:r>
    </w:p>
    <w:p>
      <w:pPr>
        <w:spacing w:after="1400" w:line="276"/>
        <w:jc w:val="center"/>
      </w:pPr>
      <w:r>
        <w:rPr>
          <w:color w:val="5A6873"/>
          <w:sz w:val="22"/>
          <w:szCs w:val="22"/>
        </w:rPr>
        <w:t xml:space="preserve">Stan prac, ocena ryzyk, warianty rozwiązania</w:t>
      </w:r>
    </w:p>
    <w:p>
      <w:pPr>
        <w:spacing w:after="80" w:line="276"/>
        <w:jc w:val="center"/>
      </w:pPr>
      <w:r>
        <w:rPr>
          <w:sz w:val="21"/>
          <w:szCs w:val="21"/>
        </w:rPr>
        <w:t xml:space="preserve">Odbiorcy: Klient, Analityk biznesowy, Zespół wdrożeniowy</w:t>
      </w:r>
    </w:p>
    <w:p>
      <w:pPr>
        <w:spacing w:after="120" w:line="276"/>
        <w:jc w:val="center"/>
      </w:pPr>
      <w:r>
        <w:rPr>
          <w:color w:val="5A6873"/>
          <w:sz w:val="21"/>
          <w:szCs w:val="21"/>
        </w:rPr>
        <w:t xml:space="preserve">Wersja 1.3  ·  8 sierpnia 2026</w:t>
      </w:r>
    </w:p>
    <w:p>
      <w:r>
        <w:br w:type="page"/>
      </w:r>
    </w:p>
    <w:p>
      <w:pPr>
        <w:pStyle w:val="Heading1"/>
        <w:spacing w:after="180" w:before="360"/>
      </w:pPr>
      <w:r>
        <w:t xml:space="preserve">Spis treści</w:t>
      </w:r>
    </w:p>
    <w:p>
      <w:pPr>
        <w:tabs>
          <w:tab w:val="left" w:pos="700"/>
        </w:tabs>
        <w:spacing w:after="110" w:line="276"/>
        <w:ind w:left="240"/>
      </w:pPr>
      <w:r>
        <w:rPr>
          <w:sz w:val="22"/>
          <w:szCs w:val="22"/>
        </w:rPr>
        <w:t xml:space="preserve">1.	Streszczenie zarządcze</w:t>
      </w:r>
    </w:p>
    <w:p>
      <w:pPr>
        <w:tabs>
          <w:tab w:val="left" w:pos="700"/>
        </w:tabs>
        <w:spacing w:after="110" w:line="276"/>
        <w:ind w:left="240"/>
      </w:pPr>
      <w:r>
        <w:rPr>
          <w:sz w:val="22"/>
          <w:szCs w:val="22"/>
        </w:rPr>
        <w:t xml:space="preserve">2.	Kontekst biznesowy</w:t>
      </w:r>
    </w:p>
    <w:p>
      <w:pPr>
        <w:tabs>
          <w:tab w:val="left" w:pos="700"/>
        </w:tabs>
        <w:spacing w:after="110" w:line="276"/>
        <w:ind w:left="240"/>
      </w:pPr>
      <w:r>
        <w:rPr>
          <w:sz w:val="22"/>
          <w:szCs w:val="22"/>
        </w:rPr>
        <w:t xml:space="preserve">3.	Źródła danych adresowych w Polsce</w:t>
      </w:r>
    </w:p>
    <w:p>
      <w:pPr>
        <w:tabs>
          <w:tab w:val="left" w:pos="700"/>
        </w:tabs>
        <w:spacing w:after="110" w:line="276"/>
        <w:ind w:left="240"/>
      </w:pPr>
      <w:r>
        <w:rPr>
          <w:sz w:val="22"/>
          <w:szCs w:val="22"/>
        </w:rPr>
        <w:t xml:space="preserve">4.	Ryzyka i kalendarz zmian</w:t>
      </w:r>
    </w:p>
    <w:p>
      <w:pPr>
        <w:tabs>
          <w:tab w:val="left" w:pos="700"/>
        </w:tabs>
        <w:spacing w:after="110" w:line="276"/>
        <w:ind w:left="240"/>
      </w:pPr>
      <w:r>
        <w:rPr>
          <w:sz w:val="22"/>
          <w:szCs w:val="22"/>
        </w:rPr>
        <w:t xml:space="preserve">5.	Architektura rozwiązania</w:t>
      </w:r>
    </w:p>
    <w:p>
      <w:pPr>
        <w:tabs>
          <w:tab w:val="left" w:pos="700"/>
        </w:tabs>
        <w:spacing w:after="110" w:line="276"/>
        <w:ind w:left="240"/>
      </w:pPr>
      <w:r>
        <w:rPr>
          <w:sz w:val="22"/>
          <w:szCs w:val="22"/>
        </w:rPr>
        <w:t xml:space="preserve">6.	Model danych i reguły — dla analityka</w:t>
      </w:r>
    </w:p>
    <w:p>
      <w:pPr>
        <w:tabs>
          <w:tab w:val="left" w:pos="700"/>
        </w:tabs>
        <w:spacing w:after="110" w:line="276"/>
        <w:ind w:left="240"/>
      </w:pPr>
      <w:r>
        <w:rPr>
          <w:sz w:val="22"/>
          <w:szCs w:val="22"/>
        </w:rPr>
        <w:t xml:space="preserve">7.	Proces aktualizacji danych</w:t>
      </w:r>
    </w:p>
    <w:p>
      <w:pPr>
        <w:tabs>
          <w:tab w:val="left" w:pos="700"/>
        </w:tabs>
        <w:spacing w:after="110" w:line="276"/>
        <w:ind w:left="240"/>
      </w:pPr>
      <w:r>
        <w:rPr>
          <w:sz w:val="22"/>
          <w:szCs w:val="22"/>
        </w:rPr>
        <w:t xml:space="preserve">8.	Wyniki weryfikacji</w:t>
      </w:r>
    </w:p>
    <w:p>
      <w:pPr>
        <w:tabs>
          <w:tab w:val="left" w:pos="700"/>
        </w:tabs>
        <w:spacing w:after="110" w:line="276"/>
        <w:ind w:left="240"/>
      </w:pPr>
      <w:r>
        <w:rPr>
          <w:sz w:val="22"/>
          <w:szCs w:val="22"/>
        </w:rPr>
        <w:t xml:space="preserve">9.	Warianty rozwiązania</w:t>
      </w:r>
    </w:p>
    <w:p>
      <w:pPr>
        <w:tabs>
          <w:tab w:val="left" w:pos="700"/>
        </w:tabs>
        <w:spacing w:after="110" w:line="276"/>
        <w:ind w:left="240"/>
      </w:pPr>
      <w:r>
        <w:rPr>
          <w:sz w:val="22"/>
          <w:szCs w:val="22"/>
        </w:rPr>
        <w:t xml:space="preserve">10.	Plan dalszych prac</w:t>
      </w:r>
    </w:p>
    <w:p>
      <w:pPr>
        <w:tabs>
          <w:tab w:val="left" w:pos="700"/>
        </w:tabs>
        <w:spacing w:after="110" w:line="276"/>
        <w:ind w:left="240"/>
      </w:pPr>
      <w:r>
        <w:rPr>
          <w:sz w:val="22"/>
          <w:szCs w:val="22"/>
        </w:rPr>
        <w:t xml:space="preserve">11.	Decyzje wymagane od Zamawiającego</w:t>
      </w:r>
    </w:p>
    <w:p>
      <w:pPr>
        <w:tabs>
          <w:tab w:val="left" w:pos="700"/>
        </w:tabs>
        <w:spacing w:after="110" w:line="276"/>
        <w:ind w:left="240"/>
      </w:pPr>
      <w:r>
        <w:rPr>
          <w:sz w:val="22"/>
          <w:szCs w:val="22"/>
        </w:rPr>
        <w:t xml:space="preserve">12.	Słownik pojęć</w:t>
      </w:r>
    </w:p>
    <w:p>
      <w:pPr>
        <w:pStyle w:val="Heading1"/>
        <w:spacing w:after="180" w:before="360"/>
      </w:pPr>
      <w:r>
        <w:t xml:space="preserve">Historia dokumentu</w:t>
      </w:r>
    </w:p>
    <w:p>
      <w:pPr>
        <w:spacing w:after="120" w:line="276"/>
      </w:pPr>
      <w:r>
        <w:rPr>
          <w:sz w:val="21"/>
          <w:szCs w:val="21"/>
        </w:rPr>
        <w:t xml:space="preserve">Niniejsze opracowanie jest kolejnym wydaniem raportu z 5 sierpnia 2026. Struktura i wnioski pozostają, zmienia się podstawa dowodowa: wyniki z próbek zostały zastąpione pomiarami na rzeczywistych danych rejestru, a deklaracje o zakresie zbudowanego rozwiązania — zestawione z zawartością repozytorium.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6426"/>
      </w:tblGrid>
      <w:tr>
        <w:trPr>
          <w:tblHeader/>
        </w:trPr>
        <w:tc>
          <w:tcPr>
            <w:tcW w:type="dxa" w:w="1200"/>
            <w:shd w:fill="E8EDF2" w:color="auto" w:val="clear"/>
            <w:tcMar>
              <w:top w:type="dxa" w:w="70"/>
              <w:left w:type="dxa" w:w="110"/>
              <w:bottom w:type="dxa" w:w="70"/>
              <w:right w:type="dxa" w:w="110"/>
            </w:tcMar>
            <w:vAlign w:val="center"/>
          </w:tcPr>
          <w:p>
            <w:pPr>
              <w:spacing w:after="0" w:line="240"/>
            </w:pPr>
            <w:r>
              <w:rPr>
                <w:b/>
                <w:bCs/>
                <w:sz w:val="19"/>
                <w:szCs w:val="19"/>
              </w:rPr>
              <w:t xml:space="preserve">Wydanie</w:t>
            </w:r>
          </w:p>
        </w:tc>
        <w:tc>
          <w:tcPr>
            <w:tcW w:type="dxa" w:w="1400"/>
            <w:shd w:fill="E8EDF2" w:color="auto" w:val="clear"/>
            <w:tcMar>
              <w:top w:type="dxa" w:w="70"/>
              <w:left w:type="dxa" w:w="110"/>
              <w:bottom w:type="dxa" w:w="70"/>
              <w:right w:type="dxa" w:w="110"/>
            </w:tcMar>
            <w:vAlign w:val="center"/>
          </w:tcPr>
          <w:p>
            <w:pPr>
              <w:spacing w:after="0" w:line="240"/>
            </w:pPr>
            <w:r>
              <w:rPr>
                <w:b/>
                <w:bCs/>
                <w:sz w:val="19"/>
                <w:szCs w:val="19"/>
              </w:rPr>
              <w:t xml:space="preserve">Data</w:t>
            </w:r>
          </w:p>
        </w:tc>
        <w:tc>
          <w:tcPr>
            <w:tcW w:type="dxa" w:w="6426"/>
            <w:shd w:fill="E8EDF2" w:color="auto" w:val="clear"/>
            <w:tcMar>
              <w:top w:type="dxa" w:w="70"/>
              <w:left w:type="dxa" w:w="110"/>
              <w:bottom w:type="dxa" w:w="70"/>
              <w:right w:type="dxa" w:w="110"/>
            </w:tcMar>
            <w:vAlign w:val="center"/>
          </w:tcPr>
          <w:p>
            <w:pPr>
              <w:spacing w:after="0" w:line="240"/>
            </w:pPr>
            <w:r>
              <w:rPr>
                <w:b/>
                <w:bCs/>
                <w:sz w:val="19"/>
                <w:szCs w:val="19"/>
              </w:rPr>
              <w:t xml:space="preserve">Co przyniosło</w:t>
            </w:r>
          </w:p>
        </w:tc>
      </w:tr>
      <w:tr>
        <w:tc>
          <w:tcPr>
            <w:tcW w:type="dxa" w:w="1200"/>
            <w:tcMar>
              <w:top w:type="dxa" w:w="70"/>
              <w:left w:type="dxa" w:w="110"/>
              <w:bottom w:type="dxa" w:w="70"/>
              <w:right w:type="dxa" w:w="110"/>
            </w:tcMar>
            <w:vAlign w:val="center"/>
          </w:tcPr>
          <w:p>
            <w:pPr>
              <w:spacing w:after="0" w:line="240"/>
            </w:pPr>
            <w:r>
              <w:rPr>
                <w:sz w:val="19"/>
                <w:szCs w:val="19"/>
              </w:rPr>
              <w:t xml:space="preserve">1.0</w:t>
            </w:r>
          </w:p>
        </w:tc>
        <w:tc>
          <w:tcPr>
            <w:tcW w:type="dxa" w:w="1400"/>
            <w:tcMar>
              <w:top w:type="dxa" w:w="70"/>
              <w:left w:type="dxa" w:w="110"/>
              <w:bottom w:type="dxa" w:w="70"/>
              <w:right w:type="dxa" w:w="110"/>
            </w:tcMar>
            <w:vAlign w:val="center"/>
          </w:tcPr>
          <w:p>
            <w:pPr>
              <w:spacing w:after="0" w:line="240"/>
            </w:pPr>
            <w:r>
              <w:rPr>
                <w:sz w:val="19"/>
                <w:szCs w:val="19"/>
              </w:rPr>
              <w:t xml:space="preserve">5.08.2026</w:t>
            </w:r>
          </w:p>
        </w:tc>
        <w:tc>
          <w:tcPr>
            <w:tcW w:type="dxa" w:w="6426"/>
            <w:tcMar>
              <w:top w:type="dxa" w:w="70"/>
              <w:left w:type="dxa" w:w="110"/>
              <w:bottom w:type="dxa" w:w="70"/>
              <w:right w:type="dxa" w:w="110"/>
            </w:tcMar>
            <w:vAlign w:val="center"/>
          </w:tcPr>
          <w:p>
            <w:pPr>
              <w:spacing w:after="0" w:line="240"/>
            </w:pPr>
            <w:r>
              <w:rPr>
                <w:sz w:val="19"/>
                <w:szCs w:val="19"/>
              </w:rPr>
              <w:t xml:space="preserve">Analiza źródeł, architektura, warianty rozwiązania, kalendarz ryzyk. Wyniki z fixture’ów i zbiorów syntetycznych</w:t>
            </w:r>
          </w:p>
        </w:tc>
      </w:tr>
      <w:tr>
        <w:tc>
          <w:tcPr>
            <w:tcW w:type="dxa" w:w="1200"/>
            <w:tcMar>
              <w:top w:type="dxa" w:w="70"/>
              <w:left w:type="dxa" w:w="110"/>
              <w:bottom w:type="dxa" w:w="70"/>
              <w:right w:type="dxa" w:w="110"/>
            </w:tcMar>
            <w:vAlign w:val="center"/>
          </w:tcPr>
          <w:p>
            <w:pPr>
              <w:spacing w:after="0" w:line="240"/>
            </w:pPr>
            <w:r>
              <w:rPr>
                <w:sz w:val="19"/>
                <w:szCs w:val="19"/>
              </w:rPr>
              <w:t xml:space="preserve">1.1</w:t>
            </w:r>
          </w:p>
        </w:tc>
        <w:tc>
          <w:tcPr>
            <w:tcW w:type="dxa" w:w="1400"/>
            <w:tcMar>
              <w:top w:type="dxa" w:w="70"/>
              <w:left w:type="dxa" w:w="110"/>
              <w:bottom w:type="dxa" w:w="70"/>
              <w:right w:type="dxa" w:w="110"/>
            </w:tcMar>
            <w:vAlign w:val="center"/>
          </w:tcPr>
          <w:p>
            <w:pPr>
              <w:spacing w:after="0" w:line="240"/>
            </w:pPr>
            <w:r>
              <w:rPr>
                <w:sz w:val="19"/>
                <w:szCs w:val="19"/>
              </w:rPr>
              <w:t xml:space="preserve">6.08.2026</w:t>
            </w:r>
          </w:p>
        </w:tc>
        <w:tc>
          <w:tcPr>
            <w:tcW w:type="dxa" w:w="6426"/>
            <w:tcMar>
              <w:top w:type="dxa" w:w="70"/>
              <w:left w:type="dxa" w:w="110"/>
              <w:bottom w:type="dxa" w:w="70"/>
              <w:right w:type="dxa" w:w="110"/>
            </w:tcMar>
            <w:vAlign w:val="center"/>
          </w:tcPr>
          <w:p>
            <w:pPr>
              <w:spacing w:after="0" w:line="240"/>
            </w:pPr>
            <w:r>
              <w:rPr>
                <w:sz w:val="19"/>
                <w:szCs w:val="19"/>
              </w:rPr>
              <w:t xml:space="preserve">Komplet archiwum PRG (16 województw), słowniki TERYT pobrane bez konta w GUS, potwierdzenie nowej struktury danych na rzeczywistym pliku. Rozstrzygnięte dwa z czterech pytań otwartych</w:t>
            </w:r>
          </w:p>
        </w:tc>
      </w:tr>
      <w:tr>
        <w:tc>
          <w:tcPr>
            <w:tcW w:type="dxa" w:w="1200"/>
            <w:tcMar>
              <w:top w:type="dxa" w:w="70"/>
              <w:left w:type="dxa" w:w="110"/>
              <w:bottom w:type="dxa" w:w="70"/>
              <w:right w:type="dxa" w:w="110"/>
            </w:tcMar>
            <w:vAlign w:val="center"/>
          </w:tcPr>
          <w:p>
            <w:pPr>
              <w:spacing w:after="0" w:line="240"/>
            </w:pPr>
            <w:r>
              <w:rPr>
                <w:sz w:val="19"/>
                <w:szCs w:val="19"/>
              </w:rPr>
              <w:t xml:space="preserve">1.2</w:t>
            </w:r>
          </w:p>
        </w:tc>
        <w:tc>
          <w:tcPr>
            <w:tcW w:type="dxa" w:w="1400"/>
            <w:tcMar>
              <w:top w:type="dxa" w:w="70"/>
              <w:left w:type="dxa" w:w="110"/>
              <w:bottom w:type="dxa" w:w="70"/>
              <w:right w:type="dxa" w:w="110"/>
            </w:tcMar>
            <w:vAlign w:val="center"/>
          </w:tcPr>
          <w:p>
            <w:pPr>
              <w:spacing w:after="0" w:line="240"/>
            </w:pPr>
            <w:r>
              <w:rPr>
                <w:sz w:val="19"/>
                <w:szCs w:val="19"/>
              </w:rPr>
              <w:t xml:space="preserve">7.08.2026</w:t>
            </w:r>
          </w:p>
        </w:tc>
        <w:tc>
          <w:tcPr>
            <w:tcW w:type="dxa" w:w="6426"/>
            <w:tcMar>
              <w:top w:type="dxa" w:w="70"/>
              <w:left w:type="dxa" w:w="110"/>
              <w:bottom w:type="dxa" w:w="70"/>
              <w:right w:type="dxa" w:w="110"/>
            </w:tcMar>
            <w:vAlign w:val="center"/>
          </w:tcPr>
          <w:p>
            <w:pPr>
              <w:spacing w:after="0" w:line="240"/>
            </w:pPr>
            <w:r>
              <w:rPr>
                <w:sz w:val="19"/>
                <w:szCs w:val="19"/>
              </w:rPr>
              <w:t xml:space="preserve">Publikacja 1 990 483 punktów, pięć usterek wykrytych na danych rzeczywistych, sprostowanie czasu pełnego przebiegu i czasów odpowiedzi</w:t>
            </w:r>
          </w:p>
        </w:tc>
      </w:tr>
      <w:tr>
        <w:tc>
          <w:tcPr>
            <w:tcW w:type="dxa" w:w="1200"/>
            <w:shd w:fill="EDF5EE" w:color="auto" w:val="clear"/>
            <w:tcMar>
              <w:top w:type="dxa" w:w="70"/>
              <w:left w:type="dxa" w:w="110"/>
              <w:bottom w:type="dxa" w:w="70"/>
              <w:right w:type="dxa" w:w="110"/>
            </w:tcMar>
            <w:vAlign w:val="center"/>
          </w:tcPr>
          <w:p>
            <w:pPr>
              <w:spacing w:after="0" w:line="240"/>
            </w:pPr>
            <w:r>
              <w:rPr>
                <w:sz w:val="19"/>
                <w:szCs w:val="19"/>
              </w:rPr>
              <w:t xml:space="preserve">1.3</w:t>
            </w:r>
          </w:p>
        </w:tc>
        <w:tc>
          <w:tcPr>
            <w:tcW w:type="dxa" w:w="1400"/>
            <w:shd w:fill="EDF5EE" w:color="auto" w:val="clear"/>
            <w:tcMar>
              <w:top w:type="dxa" w:w="70"/>
              <w:left w:type="dxa" w:w="110"/>
              <w:bottom w:type="dxa" w:w="70"/>
              <w:right w:type="dxa" w:w="110"/>
            </w:tcMar>
            <w:vAlign w:val="center"/>
          </w:tcPr>
          <w:p>
            <w:pPr>
              <w:spacing w:after="0" w:line="240"/>
            </w:pPr>
            <w:r>
              <w:rPr>
                <w:sz w:val="19"/>
                <w:szCs w:val="19"/>
              </w:rPr>
              <w:t xml:space="preserve">8.08.2026</w:t>
            </w:r>
          </w:p>
        </w:tc>
        <w:tc>
          <w:tcPr>
            <w:tcW w:type="dxa" w:w="6426"/>
            <w:shd w:fill="EDF5EE" w:color="auto" w:val="clear"/>
            <w:tcMar>
              <w:top w:type="dxa" w:w="70"/>
              <w:left w:type="dxa" w:w="110"/>
              <w:bottom w:type="dxa" w:w="70"/>
              <w:right w:type="dxa" w:w="110"/>
            </w:tcMar>
            <w:vAlign w:val="center"/>
          </w:tcPr>
          <w:p>
            <w:pPr>
              <w:spacing w:after="0" w:line="240"/>
            </w:pPr>
            <w:r>
              <w:rPr>
                <w:sz w:val="19"/>
                <w:szCs w:val="19"/>
              </w:rPr>
              <w:t xml:space="preserve">Uzgodnienie raportu ze stanem repozytorium. Ujawnione braki blokujące produkcję, przepisany plan prac na 11–15 tygodni, usunięte deklaracje o elementach, których nie zbudowano</w:t>
            </w:r>
          </w:p>
        </w:tc>
      </w:tr>
    </w:tbl>
    <w:p>
      <w:pPr>
        <w:spacing w:after="160"/>
      </w:pPr>
    </w:p>
    <w:p>
      <w:pPr>
        <w:pBdr>
          <w:top w:val="single" w:color="D5DBE0" w:sz="4"/>
          <w:bottom w:val="single" w:color="D5DBE0" w:sz="0"/>
          <w:left w:val="single" w:color="D5DBE0" w:sz="4"/>
          <w:right w:val="single" w:color="D5DBE0" w:sz="4"/>
        </w:pBdr>
        <w:shd w:fill="E8EDF2" w:color="auto" w:val="clear"/>
        <w:spacing w:after="0" w:before="160" w:line="276"/>
        <w:ind w:left="120" w:right="120"/>
      </w:pPr>
      <w:r>
        <w:rPr>
          <w:b/>
          <w:bCs/>
          <w:sz w:val="21"/>
          <w:szCs w:val="21"/>
        </w:rPr>
        <w:t xml:space="preserve">Co zmieniło się w wydaniu 1.3 i dlaczego</w:t>
      </w:r>
    </w:p>
    <w:p>
      <w:pPr>
        <w:pBdr>
          <w:top w:val="single" w:color="D5DBE0" w:sz="0"/>
          <w:bottom w:val="single" w:color="D5DBE0" w:sz="0"/>
          <w:left w:val="single" w:color="D5DBE0" w:sz="4"/>
          <w:right w:val="single" w:color="D5DBE0" w:sz="4"/>
        </w:pBdr>
        <w:shd w:fill="E8EDF2" w:color="auto" w:val="clear"/>
        <w:spacing w:after="60" w:line="276"/>
        <w:ind w:left="120" w:right="120"/>
      </w:pPr>
      <w:r>
        <w:rPr>
          <w:sz w:val="20"/>
          <w:szCs w:val="20"/>
        </w:rPr>
        <w:t xml:space="preserve">Wydania 1.0–1.2 opisywały architekturę docelową w miejscach, w których czytelnik odczytywał opis stanu zbudowanego. Wydanie 1.3 rozdziela te dwa plany: elementy niewdrożone są oznaczone wprost.</w:t>
      </w:r>
    </w:p>
    <w:p>
      <w:pPr>
        <w:pBdr>
          <w:top w:val="single" w:color="D5DBE0" w:sz="0"/>
          <w:bottom w:val="single" w:color="D5DBE0" w:sz="0"/>
          <w:left w:val="single" w:color="D5DBE0" w:sz="4"/>
          <w:right w:val="single" w:color="D5DBE0" w:sz="4"/>
        </w:pBdr>
        <w:shd w:fill="E8EDF2" w:color="auto" w:val="clear"/>
        <w:spacing w:after="60" w:line="276"/>
        <w:ind w:left="120" w:right="120"/>
      </w:pPr>
      <w:r>
        <w:rPr>
          <w:sz w:val="20"/>
          <w:szCs w:val="20"/>
        </w:rPr>
        <w:t xml:space="preserve">Skorygowano zakres mikroserwisu (11 punktów końcowych, nie 12), usunięto Redis i magazyn obiektowy z opisu warstwy zbudowanej, a walidację wsadową opisano zgodnie z tym, co robi kod.</w:t>
      </w:r>
    </w:p>
    <w:p>
      <w:pPr>
        <w:pBdr>
          <w:top w:val="single" w:color="D5DBE0" w:sz="0"/>
          <w:bottom w:val="single" w:color="D5DBE0" w:sz="0"/>
          <w:left w:val="single" w:color="D5DBE0" w:sz="4"/>
          <w:right w:val="single" w:color="D5DBE0" w:sz="4"/>
        </w:pBdr>
        <w:shd w:fill="E8EDF2" w:color="auto" w:val="clear"/>
        <w:spacing w:after="60" w:line="276"/>
        <w:ind w:left="120" w:right="120"/>
      </w:pPr>
      <w:r>
        <w:rPr>
          <w:sz w:val="20"/>
          <w:szCs w:val="20"/>
        </w:rPr>
        <w:t xml:space="preserve">Ujawniono cztery braki blokujące wdrożenie produkcyjne — rozdział 1.2. Najpoważniejszy z nich, brak uwierzytelniania klientów, nie był w poprzednich wydaniach wspomniany ani razu.</w:t>
      </w:r>
    </w:p>
    <w:p>
      <w:pPr>
        <w:pBdr>
          <w:top w:val="single" w:color="D5DBE0" w:sz="0"/>
          <w:bottom w:val="single" w:color="D5DBE0" w:sz="4"/>
          <w:left w:val="single" w:color="D5DBE0" w:sz="4"/>
          <w:right w:val="single" w:color="D5DBE0" w:sz="4"/>
        </w:pBdr>
        <w:shd w:fill="E8EDF2" w:color="auto" w:val="clear"/>
        <w:spacing w:after="0" w:line="276"/>
        <w:ind w:left="120" w:right="120"/>
      </w:pPr>
      <w:r>
        <w:rPr>
          <w:sz w:val="20"/>
          <w:szCs w:val="20"/>
        </w:rPr>
        <w:t xml:space="preserve">Nakład do wersji produkcyjnej uzgodniono na 11–15 tygodni. Poprzednie wydania podawały trzy różne liczby w trzech rozdziałach.</w:t>
      </w:r>
    </w:p>
    <w:p>
      <w:pPr>
        <w:spacing w:after="180"/>
      </w:pPr>
    </w:p>
    <w:p>
      <w:pPr>
        <w:spacing w:after="120" w:line="276"/>
      </w:pPr>
      <w:r>
        <w:rPr>
          <w:sz w:val="21"/>
          <w:szCs w:val="21"/>
        </w:rPr>
        <w:t xml:space="preserve">Dwa wcześniejsze szacunki okazały się zbyt optymistyczne i zostały skorygowane w górę pod wpływem pomiarów: mediana czasu odpowiedzi z 0,49 ms do ok. 4 ms oraz czas pełnego przebiegu dla kraju z zakładanych 40 minut do ok. 4 godzin, czyli 1–1,5 godziny po zrównolegleniu. Zmiany merytoryczne względem wydania 1.0 zebrano w rozdziałach 8.3–8.6.</w:t>
      </w:r>
    </w:p>
    <w:p>
      <w:r>
        <w:br w:type="page"/>
      </w:r>
    </w:p>
    <w:p>
      <w:pPr>
        <w:pStyle w:val="Heading1"/>
        <w:spacing w:after="180" w:before="360"/>
      </w:pPr>
      <w:r>
        <w:t xml:space="preserve">1. Streszczenie zarządcze</w:t>
      </w:r>
    </w:p>
    <w:p>
      <w:pPr>
        <w:spacing w:after="120" w:line="276"/>
      </w:pPr>
      <w:r>
        <w:rPr>
          <w:sz w:val="21"/>
          <w:szCs w:val="21"/>
        </w:rPr>
        <w:t xml:space="preserve">Celem prac jest zbudowanie własnej bazy adresowej dla Polski oraz mikroserwisu, który udostępnia ją aplikacjom w postaci podpowiedzi adresowych i walidacji. Rozwiązanie ma zastąpić sytuację, w której adres wpisywany przez użytkownika nie jest w żaden sposób weryfikowany wobec rejestru państwowego.</w:t>
      </w:r>
    </w:p>
    <w:p>
      <w:pPr>
        <w:pStyle w:val="Heading2"/>
        <w:spacing w:after="140" w:before="280"/>
      </w:pPr>
      <w:r>
        <w:t xml:space="preserve">1.1. Stan prac</w:t>
      </w:r>
    </w:p>
    <w:p>
      <w:pPr>
        <w:spacing w:after="120" w:line="276"/>
      </w:pPr>
      <w:r>
        <w:rPr>
          <w:sz w:val="21"/>
          <w:szCs w:val="21"/>
        </w:rPr>
        <w:t xml:space="preserve">Zbudowano i przetestowano end-to-end kompletny rdzeń rozwiązania: pobieranie danych z rejestru państwowego, przetwarzanie, bazę danych, mechanizm publikacji z kontrolami jakości oraz mikroserwis HTTP. Całość zweryfikowano na działającej instancji PostgreSQL 17 z rozszerzeniem PostGIS.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4326"/>
      </w:tblGrid>
      <w:tr>
        <w:trPr>
          <w:tblHeader/>
        </w:trPr>
        <w:tc>
          <w:tcPr>
            <w:tcW w:type="dxa" w:w="3000"/>
            <w:shd w:fill="E8EDF2" w:color="auto" w:val="clear"/>
            <w:tcMar>
              <w:top w:type="dxa" w:w="70"/>
              <w:left w:type="dxa" w:w="110"/>
              <w:bottom w:type="dxa" w:w="70"/>
              <w:right w:type="dxa" w:w="110"/>
            </w:tcMar>
            <w:vAlign w:val="center"/>
          </w:tcPr>
          <w:p>
            <w:pPr>
              <w:spacing w:after="0" w:line="240"/>
            </w:pPr>
            <w:r>
              <w:rPr>
                <w:b/>
                <w:bCs/>
                <w:sz w:val="19"/>
                <w:szCs w:val="19"/>
              </w:rPr>
              <w:t xml:space="preserve">Obszar</w:t>
            </w:r>
          </w:p>
        </w:tc>
        <w:tc>
          <w:tcPr>
            <w:tcW w:type="dxa" w:w="1700"/>
            <w:shd w:fill="E8EDF2" w:color="auto" w:val="clear"/>
            <w:tcMar>
              <w:top w:type="dxa" w:w="70"/>
              <w:left w:type="dxa" w:w="110"/>
              <w:bottom w:type="dxa" w:w="70"/>
              <w:right w:type="dxa" w:w="110"/>
            </w:tcMar>
            <w:vAlign w:val="center"/>
          </w:tcPr>
          <w:p>
            <w:pPr>
              <w:spacing w:after="0" w:line="240"/>
            </w:pPr>
            <w:r>
              <w:rPr>
                <w:b/>
                <w:bCs/>
                <w:sz w:val="19"/>
                <w:szCs w:val="19"/>
              </w:rPr>
              <w:t xml:space="preserve">Status</w:t>
            </w:r>
          </w:p>
        </w:tc>
        <w:tc>
          <w:tcPr>
            <w:tcW w:type="dxa" w:w="4326"/>
            <w:shd w:fill="E8EDF2" w:color="auto" w:val="clear"/>
            <w:tcMar>
              <w:top w:type="dxa" w:w="70"/>
              <w:left w:type="dxa" w:w="110"/>
              <w:bottom w:type="dxa" w:w="70"/>
              <w:right w:type="dxa" w:w="110"/>
            </w:tcMar>
            <w:vAlign w:val="center"/>
          </w:tcPr>
          <w:p>
            <w:pPr>
              <w:spacing w:after="0" w:line="240"/>
            </w:pPr>
            <w:r>
              <w:rPr>
                <w:b/>
                <w:bCs/>
                <w:sz w:val="19"/>
                <w:szCs w:val="19"/>
              </w:rPr>
              <w:t xml:space="preserve">Uwagi</w:t>
            </w:r>
          </w:p>
        </w:tc>
      </w:tr>
      <w:tr>
        <w:tc>
          <w:tcPr>
            <w:tcW w:type="dxa" w:w="3000"/>
            <w:shd w:fill="EDF5EE" w:color="auto" w:val="clear"/>
            <w:tcMar>
              <w:top w:type="dxa" w:w="70"/>
              <w:left w:type="dxa" w:w="110"/>
              <w:bottom w:type="dxa" w:w="70"/>
              <w:right w:type="dxa" w:w="110"/>
            </w:tcMar>
            <w:vAlign w:val="center"/>
          </w:tcPr>
          <w:p>
            <w:pPr>
              <w:spacing w:after="0" w:line="240"/>
            </w:pPr>
            <w:r>
              <w:rPr>
                <w:sz w:val="19"/>
                <w:szCs w:val="19"/>
              </w:rPr>
              <w:t xml:space="preserve">Pobieranie danych z rejestru PRG</w:t>
            </w:r>
          </w:p>
        </w:tc>
        <w:tc>
          <w:tcPr>
            <w:tcW w:type="dxa" w:w="1700"/>
            <w:shd w:fill="EDF5EE" w:color="auto" w:val="clear"/>
            <w:tcMar>
              <w:top w:type="dxa" w:w="70"/>
              <w:left w:type="dxa" w:w="110"/>
              <w:bottom w:type="dxa" w:w="70"/>
              <w:right w:type="dxa" w:w="110"/>
            </w:tcMar>
            <w:vAlign w:val="center"/>
          </w:tcPr>
          <w:p>
            <w:pPr>
              <w:spacing w:after="0" w:line="240"/>
            </w:pPr>
            <w:r>
              <w:rPr>
                <w:sz w:val="19"/>
                <w:szCs w:val="19"/>
              </w:rPr>
              <w:t xml:space="preserve">Gotowe</w:t>
            </w:r>
          </w:p>
        </w:tc>
        <w:tc>
          <w:tcPr>
            <w:tcW w:type="dxa" w:w="4326"/>
            <w:shd w:fill="EDF5EE" w:color="auto" w:val="clear"/>
            <w:tcMar>
              <w:top w:type="dxa" w:w="70"/>
              <w:left w:type="dxa" w:w="110"/>
              <w:bottom w:type="dxa" w:w="70"/>
              <w:right w:type="dxa" w:w="110"/>
            </w:tcMar>
            <w:vAlign w:val="center"/>
          </w:tcPr>
          <w:p>
            <w:pPr>
              <w:spacing w:after="0" w:line="240"/>
            </w:pPr>
            <w:r>
              <w:rPr>
                <w:sz w:val="19"/>
                <w:szCs w:val="19"/>
              </w:rPr>
              <w:t xml:space="preserve">Pobieranie wojewódzkie, archiwizacja z sumą kontrolną. Tani sondaż nagłówków HTTP okazał się niemożliwy — patrz 4.3</w:t>
            </w:r>
          </w:p>
        </w:tc>
      </w:tr>
      <w:tr>
        <w:tc>
          <w:tcPr>
            <w:tcW w:type="dxa" w:w="3000"/>
            <w:shd w:fill="EDF5EE" w:color="auto" w:val="clear"/>
            <w:tcMar>
              <w:top w:type="dxa" w:w="70"/>
              <w:left w:type="dxa" w:w="110"/>
              <w:bottom w:type="dxa" w:w="70"/>
              <w:right w:type="dxa" w:w="110"/>
            </w:tcMar>
            <w:vAlign w:val="center"/>
          </w:tcPr>
          <w:p>
            <w:pPr>
              <w:spacing w:after="0" w:line="240"/>
            </w:pPr>
            <w:r>
              <w:rPr>
                <w:sz w:val="19"/>
                <w:szCs w:val="19"/>
              </w:rPr>
              <w:t xml:space="preserve">Parser danych źródłowych (GML)</w:t>
            </w:r>
          </w:p>
        </w:tc>
        <w:tc>
          <w:tcPr>
            <w:tcW w:type="dxa" w:w="1700"/>
            <w:shd w:fill="EDF5EE" w:color="auto" w:val="clear"/>
            <w:tcMar>
              <w:top w:type="dxa" w:w="70"/>
              <w:left w:type="dxa" w:w="110"/>
              <w:bottom w:type="dxa" w:w="70"/>
              <w:right w:type="dxa" w:w="110"/>
            </w:tcMar>
            <w:vAlign w:val="center"/>
          </w:tcPr>
          <w:p>
            <w:pPr>
              <w:spacing w:after="0" w:line="240"/>
            </w:pPr>
            <w:r>
              <w:rPr>
                <w:sz w:val="19"/>
                <w:szCs w:val="19"/>
              </w:rPr>
              <w:t xml:space="preserve">Gotowe</w:t>
            </w:r>
          </w:p>
        </w:tc>
        <w:tc>
          <w:tcPr>
            <w:tcW w:type="dxa" w:w="4326"/>
            <w:shd w:fill="EDF5EE" w:color="auto" w:val="clear"/>
            <w:tcMar>
              <w:top w:type="dxa" w:w="70"/>
              <w:left w:type="dxa" w:w="110"/>
              <w:bottom w:type="dxa" w:w="70"/>
              <w:right w:type="dxa" w:w="110"/>
            </w:tcMar>
            <w:vAlign w:val="center"/>
          </w:tcPr>
          <w:p>
            <w:pPr>
              <w:spacing w:after="0" w:line="240"/>
            </w:pPr>
            <w:r>
              <w:rPr>
                <w:sz w:val="19"/>
                <w:szCs w:val="19"/>
              </w:rPr>
              <w:t xml:space="preserve">Obsługuje starą i nową strukturę; tryb rozpoznawania nieznanych plików</w:t>
            </w:r>
          </w:p>
        </w:tc>
      </w:tr>
      <w:tr>
        <w:tc>
          <w:tcPr>
            <w:tcW w:type="dxa" w:w="3000"/>
            <w:shd w:fill="EDF5EE" w:color="auto" w:val="clear"/>
            <w:tcMar>
              <w:top w:type="dxa" w:w="70"/>
              <w:left w:type="dxa" w:w="110"/>
              <w:bottom w:type="dxa" w:w="70"/>
              <w:right w:type="dxa" w:w="110"/>
            </w:tcMar>
            <w:vAlign w:val="center"/>
          </w:tcPr>
          <w:p>
            <w:pPr>
              <w:spacing w:after="0" w:line="240"/>
            </w:pPr>
            <w:r>
              <w:rPr>
                <w:sz w:val="19"/>
                <w:szCs w:val="19"/>
              </w:rPr>
              <w:t xml:space="preserve">Baza danych</w:t>
            </w:r>
          </w:p>
        </w:tc>
        <w:tc>
          <w:tcPr>
            <w:tcW w:type="dxa" w:w="1700"/>
            <w:shd w:fill="EDF5EE" w:color="auto" w:val="clear"/>
            <w:tcMar>
              <w:top w:type="dxa" w:w="70"/>
              <w:left w:type="dxa" w:w="110"/>
              <w:bottom w:type="dxa" w:w="70"/>
              <w:right w:type="dxa" w:w="110"/>
            </w:tcMar>
            <w:vAlign w:val="center"/>
          </w:tcPr>
          <w:p>
            <w:pPr>
              <w:spacing w:after="0" w:line="240"/>
            </w:pPr>
            <w:r>
              <w:rPr>
                <w:sz w:val="19"/>
                <w:szCs w:val="19"/>
              </w:rPr>
              <w:t xml:space="preserve">Gotowe</w:t>
            </w:r>
          </w:p>
        </w:tc>
        <w:tc>
          <w:tcPr>
            <w:tcW w:type="dxa" w:w="4326"/>
            <w:shd w:fill="EDF5EE" w:color="auto" w:val="clear"/>
            <w:tcMar>
              <w:top w:type="dxa" w:w="70"/>
              <w:left w:type="dxa" w:w="110"/>
              <w:bottom w:type="dxa" w:w="70"/>
              <w:right w:type="dxa" w:w="110"/>
            </w:tcMar>
            <w:vAlign w:val="center"/>
          </w:tcPr>
          <w:p>
            <w:pPr>
              <w:spacing w:after="0" w:line="240"/>
            </w:pPr>
            <w:r>
              <w:rPr>
                <w:sz w:val="19"/>
                <w:szCs w:val="19"/>
              </w:rPr>
              <w:t xml:space="preserve">Schemat, indeksy, publikacja transakcyjna</w:t>
            </w:r>
          </w:p>
        </w:tc>
      </w:tr>
      <w:tr>
        <w:tc>
          <w:tcPr>
            <w:tcW w:type="dxa" w:w="3000"/>
            <w:shd w:fill="EDF5EE" w:color="auto" w:val="clear"/>
            <w:tcMar>
              <w:top w:type="dxa" w:w="70"/>
              <w:left w:type="dxa" w:w="110"/>
              <w:bottom w:type="dxa" w:w="70"/>
              <w:right w:type="dxa" w:w="110"/>
            </w:tcMar>
            <w:vAlign w:val="center"/>
          </w:tcPr>
          <w:p>
            <w:pPr>
              <w:spacing w:after="0" w:line="240"/>
            </w:pPr>
            <w:r>
              <w:rPr>
                <w:sz w:val="19"/>
                <w:szCs w:val="19"/>
              </w:rPr>
              <w:t xml:space="preserve">Kontrole jakości danych</w:t>
            </w:r>
          </w:p>
        </w:tc>
        <w:tc>
          <w:tcPr>
            <w:tcW w:type="dxa" w:w="1700"/>
            <w:shd w:fill="EDF5EE" w:color="auto" w:val="clear"/>
            <w:tcMar>
              <w:top w:type="dxa" w:w="70"/>
              <w:left w:type="dxa" w:w="110"/>
              <w:bottom w:type="dxa" w:w="70"/>
              <w:right w:type="dxa" w:w="110"/>
            </w:tcMar>
            <w:vAlign w:val="center"/>
          </w:tcPr>
          <w:p>
            <w:pPr>
              <w:spacing w:after="0" w:line="240"/>
            </w:pPr>
            <w:r>
              <w:rPr>
                <w:sz w:val="19"/>
                <w:szCs w:val="19"/>
              </w:rPr>
              <w:t xml:space="preserve">Gotowe</w:t>
            </w:r>
          </w:p>
        </w:tc>
        <w:tc>
          <w:tcPr>
            <w:tcW w:type="dxa" w:w="4326"/>
            <w:shd w:fill="EDF5EE" w:color="auto" w:val="clear"/>
            <w:tcMar>
              <w:top w:type="dxa" w:w="70"/>
              <w:left w:type="dxa" w:w="110"/>
              <w:bottom w:type="dxa" w:w="70"/>
              <w:right w:type="dxa" w:w="110"/>
            </w:tcMar>
            <w:vAlign w:val="center"/>
          </w:tcPr>
          <w:p>
            <w:pPr>
              <w:spacing w:after="0" w:line="240"/>
            </w:pPr>
            <w:r>
              <w:rPr>
                <w:sz w:val="19"/>
                <w:szCs w:val="19"/>
              </w:rPr>
              <w:t xml:space="preserve">5 kontroli, każda odpowiada realnemu incydentowi</w:t>
            </w:r>
          </w:p>
        </w:tc>
      </w:tr>
      <w:tr>
        <w:tc>
          <w:tcPr>
            <w:tcW w:type="dxa" w:w="3000"/>
            <w:shd w:fill="EDF5EE" w:color="auto" w:val="clear"/>
            <w:tcMar>
              <w:top w:type="dxa" w:w="70"/>
              <w:left w:type="dxa" w:w="110"/>
              <w:bottom w:type="dxa" w:w="70"/>
              <w:right w:type="dxa" w:w="110"/>
            </w:tcMar>
            <w:vAlign w:val="center"/>
          </w:tcPr>
          <w:p>
            <w:pPr>
              <w:spacing w:after="0" w:line="240"/>
            </w:pPr>
            <w:r>
              <w:rPr>
                <w:sz w:val="19"/>
                <w:szCs w:val="19"/>
              </w:rPr>
              <w:t xml:space="preserve">Silnik wyszukiwania</w:t>
            </w:r>
          </w:p>
        </w:tc>
        <w:tc>
          <w:tcPr>
            <w:tcW w:type="dxa" w:w="1700"/>
            <w:shd w:fill="EDF5EE" w:color="auto" w:val="clear"/>
            <w:tcMar>
              <w:top w:type="dxa" w:w="70"/>
              <w:left w:type="dxa" w:w="110"/>
              <w:bottom w:type="dxa" w:w="70"/>
              <w:right w:type="dxa" w:w="110"/>
            </w:tcMar>
            <w:vAlign w:val="center"/>
          </w:tcPr>
          <w:p>
            <w:pPr>
              <w:spacing w:after="0" w:line="240"/>
            </w:pPr>
            <w:r>
              <w:rPr>
                <w:sz w:val="19"/>
                <w:szCs w:val="19"/>
              </w:rPr>
              <w:t xml:space="preserve">Gotowe</w:t>
            </w:r>
          </w:p>
        </w:tc>
        <w:tc>
          <w:tcPr>
            <w:tcW w:type="dxa" w:w="4326"/>
            <w:shd w:fill="EDF5EE" w:color="auto" w:val="clear"/>
            <w:tcMar>
              <w:top w:type="dxa" w:w="70"/>
              <w:left w:type="dxa" w:w="110"/>
              <w:bottom w:type="dxa" w:w="70"/>
              <w:right w:type="dxa" w:w="110"/>
            </w:tcMar>
            <w:vAlign w:val="center"/>
          </w:tcPr>
          <w:p>
            <w:pPr>
              <w:spacing w:after="0" w:line="240"/>
            </w:pPr>
            <w:r>
              <w:rPr>
                <w:sz w:val="19"/>
                <w:szCs w:val="19"/>
              </w:rPr>
              <w:t xml:space="preserve">Mediana ok. 4 ms na danych rzeczywistych — patrz 8.6</w:t>
            </w:r>
          </w:p>
        </w:tc>
      </w:tr>
      <w:tr>
        <w:tc>
          <w:tcPr>
            <w:tcW w:type="dxa" w:w="3000"/>
            <w:shd w:fill="EDF5EE" w:color="auto" w:val="clear"/>
            <w:tcMar>
              <w:top w:type="dxa" w:w="70"/>
              <w:left w:type="dxa" w:w="110"/>
              <w:bottom w:type="dxa" w:w="70"/>
              <w:right w:type="dxa" w:w="110"/>
            </w:tcMar>
            <w:vAlign w:val="center"/>
          </w:tcPr>
          <w:p>
            <w:pPr>
              <w:spacing w:after="0" w:line="240"/>
            </w:pPr>
            <w:r>
              <w:rPr>
                <w:sz w:val="19"/>
                <w:szCs w:val="19"/>
              </w:rPr>
              <w:t xml:space="preserve">Mikroserwis HTTP</w:t>
            </w:r>
          </w:p>
        </w:tc>
        <w:tc>
          <w:tcPr>
            <w:tcW w:type="dxa" w:w="1700"/>
            <w:shd w:fill="EDF5EE" w:color="auto" w:val="clear"/>
            <w:tcMar>
              <w:top w:type="dxa" w:w="70"/>
              <w:left w:type="dxa" w:w="110"/>
              <w:bottom w:type="dxa" w:w="70"/>
              <w:right w:type="dxa" w:w="110"/>
            </w:tcMar>
            <w:vAlign w:val="center"/>
          </w:tcPr>
          <w:p>
            <w:pPr>
              <w:spacing w:after="0" w:line="240"/>
            </w:pPr>
            <w:r>
              <w:rPr>
                <w:sz w:val="19"/>
                <w:szCs w:val="19"/>
              </w:rPr>
              <w:t xml:space="preserve">Gotowe</w:t>
            </w:r>
          </w:p>
        </w:tc>
        <w:tc>
          <w:tcPr>
            <w:tcW w:type="dxa" w:w="4326"/>
            <w:shd w:fill="EDF5EE" w:color="auto" w:val="clear"/>
            <w:tcMar>
              <w:top w:type="dxa" w:w="70"/>
              <w:left w:type="dxa" w:w="110"/>
              <w:bottom w:type="dxa" w:w="70"/>
              <w:right w:type="dxa" w:w="110"/>
            </w:tcMar>
            <w:vAlign w:val="center"/>
          </w:tcPr>
          <w:p>
            <w:pPr>
              <w:spacing w:after="0" w:line="240"/>
            </w:pPr>
            <w:r>
              <w:rPr>
                <w:sz w:val="19"/>
                <w:szCs w:val="19"/>
              </w:rPr>
              <w:t xml:space="preserve">11 punktów końcowych /v1 oraz 4 operacyjne — patrz 5.4</w:t>
            </w:r>
          </w:p>
        </w:tc>
      </w:tr>
      <w:tr>
        <w:tc>
          <w:tcPr>
            <w:tcW w:type="dxa" w:w="3000"/>
            <w:shd w:fill="EDF5EE" w:color="auto" w:val="clear"/>
            <w:tcMar>
              <w:top w:type="dxa" w:w="70"/>
              <w:left w:type="dxa" w:w="110"/>
              <w:bottom w:type="dxa" w:w="70"/>
              <w:right w:type="dxa" w:w="110"/>
            </w:tcMar>
            <w:vAlign w:val="center"/>
          </w:tcPr>
          <w:p>
            <w:pPr>
              <w:spacing w:after="0" w:line="240"/>
            </w:pPr>
            <w:r>
              <w:rPr>
                <w:sz w:val="19"/>
                <w:szCs w:val="19"/>
              </w:rPr>
              <w:t xml:space="preserve">Reguły walidacji adresu</w:t>
            </w:r>
          </w:p>
        </w:tc>
        <w:tc>
          <w:tcPr>
            <w:tcW w:type="dxa" w:w="1700"/>
            <w:shd w:fill="EDF5EE" w:color="auto" w:val="clear"/>
            <w:tcMar>
              <w:top w:type="dxa" w:w="70"/>
              <w:left w:type="dxa" w:w="110"/>
              <w:bottom w:type="dxa" w:w="70"/>
              <w:right w:type="dxa" w:w="110"/>
            </w:tcMar>
            <w:vAlign w:val="center"/>
          </w:tcPr>
          <w:p>
            <w:pPr>
              <w:spacing w:after="0" w:line="240"/>
            </w:pPr>
            <w:r>
              <w:rPr>
                <w:sz w:val="19"/>
                <w:szCs w:val="19"/>
              </w:rPr>
              <w:t xml:space="preserve">Gotowe</w:t>
            </w:r>
          </w:p>
        </w:tc>
        <w:tc>
          <w:tcPr>
            <w:tcW w:type="dxa" w:w="4326"/>
            <w:shd w:fill="EDF5EE" w:color="auto" w:val="clear"/>
            <w:tcMar>
              <w:top w:type="dxa" w:w="70"/>
              <w:left w:type="dxa" w:w="110"/>
              <w:bottom w:type="dxa" w:w="70"/>
              <w:right w:type="dxa" w:w="110"/>
            </w:tcMar>
            <w:vAlign w:val="center"/>
          </w:tcPr>
          <w:p>
            <w:pPr>
              <w:spacing w:after="0" w:line="240"/>
            </w:pPr>
            <w:r>
              <w:rPr>
                <w:sz w:val="19"/>
                <w:szCs w:val="19"/>
              </w:rPr>
              <w:t xml:space="preserve">Format, zgodność z rejestrem, poziomy pewności</w:t>
            </w:r>
          </w:p>
        </w:tc>
      </w:tr>
      <w:tr>
        <w:tc>
          <w:tcPr>
            <w:tcW w:type="dxa" w:w="3000"/>
            <w:shd w:fill="EDF5EE" w:color="auto" w:val="clear"/>
            <w:tcMar>
              <w:top w:type="dxa" w:w="70"/>
              <w:left w:type="dxa" w:w="110"/>
              <w:bottom w:type="dxa" w:w="70"/>
              <w:right w:type="dxa" w:w="110"/>
            </w:tcMar>
            <w:vAlign w:val="center"/>
          </w:tcPr>
          <w:p>
            <w:pPr>
              <w:spacing w:after="0" w:line="240"/>
            </w:pPr>
            <w:r>
              <w:rPr>
                <w:sz w:val="19"/>
                <w:szCs w:val="19"/>
              </w:rPr>
              <w:t xml:space="preserve">Import słowników TERYT</w:t>
            </w:r>
          </w:p>
        </w:tc>
        <w:tc>
          <w:tcPr>
            <w:tcW w:type="dxa" w:w="1700"/>
            <w:shd w:fill="EDF5EE" w:color="auto" w:val="clear"/>
            <w:tcMar>
              <w:top w:type="dxa" w:w="70"/>
              <w:left w:type="dxa" w:w="110"/>
              <w:bottom w:type="dxa" w:w="70"/>
              <w:right w:type="dxa" w:w="110"/>
            </w:tcMar>
            <w:vAlign w:val="center"/>
          </w:tcPr>
          <w:p>
            <w:pPr>
              <w:spacing w:after="0" w:line="240"/>
            </w:pPr>
            <w:r>
              <w:rPr>
                <w:sz w:val="19"/>
                <w:szCs w:val="19"/>
              </w:rPr>
              <w:t xml:space="preserve">Gotowe</w:t>
            </w:r>
          </w:p>
        </w:tc>
        <w:tc>
          <w:tcPr>
            <w:tcW w:type="dxa" w:w="4326"/>
            <w:shd w:fill="EDF5EE" w:color="auto" w:val="clear"/>
            <w:tcMar>
              <w:top w:type="dxa" w:w="70"/>
              <w:left w:type="dxa" w:w="110"/>
              <w:bottom w:type="dxa" w:w="70"/>
              <w:right w:type="dxa" w:w="110"/>
            </w:tcMar>
            <w:vAlign w:val="center"/>
          </w:tcPr>
          <w:p>
            <w:pPr>
              <w:spacing w:after="0" w:line="240"/>
            </w:pPr>
            <w:r>
              <w:rPr>
                <w:sz w:val="19"/>
                <w:szCs w:val="19"/>
              </w:rPr>
              <w:t xml:space="preserve">Pliki pełne z eTeryt, bez konta w GUS. 101 865 miejscowości, 308 888 ulic</w:t>
            </w:r>
          </w:p>
        </w:tc>
      </w:tr>
      <w:tr>
        <w:tc>
          <w:tcPr>
            <w:tcW w:type="dxa" w:w="3000"/>
            <w:shd w:fill="EDF5EE" w:color="auto" w:val="clear"/>
            <w:tcMar>
              <w:top w:type="dxa" w:w="70"/>
              <w:left w:type="dxa" w:w="110"/>
              <w:bottom w:type="dxa" w:w="70"/>
              <w:right w:type="dxa" w:w="110"/>
            </w:tcMar>
            <w:vAlign w:val="center"/>
          </w:tcPr>
          <w:p>
            <w:pPr>
              <w:spacing w:after="0" w:line="240"/>
            </w:pPr>
            <w:r>
              <w:rPr>
                <w:sz w:val="19"/>
                <w:szCs w:val="19"/>
              </w:rPr>
              <w:t xml:space="preserve">Metryki i reguły alertów</w:t>
            </w:r>
          </w:p>
        </w:tc>
        <w:tc>
          <w:tcPr>
            <w:tcW w:type="dxa" w:w="1700"/>
            <w:shd w:fill="EDF5EE" w:color="auto" w:val="clear"/>
            <w:tcMar>
              <w:top w:type="dxa" w:w="70"/>
              <w:left w:type="dxa" w:w="110"/>
              <w:bottom w:type="dxa" w:w="70"/>
              <w:right w:type="dxa" w:w="110"/>
            </w:tcMar>
            <w:vAlign w:val="center"/>
          </w:tcPr>
          <w:p>
            <w:pPr>
              <w:spacing w:after="0" w:line="240"/>
            </w:pPr>
            <w:r>
              <w:rPr>
                <w:sz w:val="19"/>
                <w:szCs w:val="19"/>
              </w:rPr>
              <w:t xml:space="preserve">Gotowe</w:t>
            </w:r>
          </w:p>
        </w:tc>
        <w:tc>
          <w:tcPr>
            <w:tcW w:type="dxa" w:w="4326"/>
            <w:shd w:fill="EDF5EE" w:color="auto" w:val="clear"/>
            <w:tcMar>
              <w:top w:type="dxa" w:w="70"/>
              <w:left w:type="dxa" w:w="110"/>
              <w:bottom w:type="dxa" w:w="70"/>
              <w:right w:type="dxa" w:w="110"/>
            </w:tcMar>
            <w:vAlign w:val="center"/>
          </w:tcPr>
          <w:p>
            <w:pPr>
              <w:spacing w:after="0" w:line="240"/>
            </w:pPr>
            <w:r>
              <w:rPr>
                <w:sz w:val="19"/>
                <w:szCs w:val="19"/>
              </w:rPr>
              <w:t xml:space="preserve">17 metryk pod /metrics, 6 reguł alertów, manifest zadania cyklicznego</w:t>
            </w:r>
          </w:p>
        </w:tc>
      </w:tr>
      <w:tr>
        <w:tc>
          <w:tcPr>
            <w:tcW w:type="dxa" w:w="3000"/>
            <w:shd w:fill="E8EDF2" w:color="auto" w:val="clear"/>
            <w:tcMar>
              <w:top w:type="dxa" w:w="70"/>
              <w:left w:type="dxa" w:w="110"/>
              <w:bottom w:type="dxa" w:w="70"/>
              <w:right w:type="dxa" w:w="110"/>
            </w:tcMar>
            <w:vAlign w:val="center"/>
          </w:tcPr>
          <w:p>
            <w:pPr>
              <w:spacing w:after="0" w:line="240"/>
            </w:pPr>
            <w:r>
              <w:rPr>
                <w:sz w:val="19"/>
                <w:szCs w:val="19"/>
              </w:rPr>
              <w:t xml:space="preserve">Uruchomienie na danych rzeczywistych</w:t>
            </w:r>
          </w:p>
        </w:tc>
        <w:tc>
          <w:tcPr>
            <w:tcW w:type="dxa" w:w="1700"/>
            <w:shd w:fill="E8EDF2" w:color="auto" w:val="clear"/>
            <w:tcMar>
              <w:top w:type="dxa" w:w="70"/>
              <w:left w:type="dxa" w:w="110"/>
              <w:bottom w:type="dxa" w:w="70"/>
              <w:right w:type="dxa" w:w="110"/>
            </w:tcMar>
            <w:vAlign w:val="center"/>
          </w:tcPr>
          <w:p>
            <w:pPr>
              <w:spacing w:after="0" w:line="240"/>
            </w:pPr>
            <w:r>
              <w:rPr>
                <w:sz w:val="19"/>
                <w:szCs w:val="19"/>
              </w:rPr>
              <w:t xml:space="preserve">Częściowo</w:t>
            </w:r>
          </w:p>
        </w:tc>
        <w:tc>
          <w:tcPr>
            <w:tcW w:type="dxa" w:w="4326"/>
            <w:shd w:fill="E8EDF2" w:color="auto" w:val="clear"/>
            <w:tcMar>
              <w:top w:type="dxa" w:w="70"/>
              <w:left w:type="dxa" w:w="110"/>
              <w:bottom w:type="dxa" w:w="70"/>
              <w:right w:type="dxa" w:w="110"/>
            </w:tcMar>
            <w:vAlign w:val="center"/>
          </w:tcPr>
          <w:p>
            <w:pPr>
              <w:spacing w:after="0" w:line="240"/>
            </w:pPr>
            <w:r>
              <w:rPr>
                <w:sz w:val="19"/>
                <w:szCs w:val="19"/>
              </w:rPr>
              <w:t xml:space="preserve">4 województwa z 16 opublikowane: 1 990 483 punkty. Pozostałe 12 pobrane, czeka na przetworzenie</w:t>
            </w:r>
          </w:p>
        </w:tc>
      </w:tr>
      <w:tr>
        <w:tc>
          <w:tcPr>
            <w:tcW w:type="dxa" w:w="3000"/>
            <w:shd w:fill="FDF1E7" w:color="auto" w:val="clear"/>
            <w:tcMar>
              <w:top w:type="dxa" w:w="70"/>
              <w:left w:type="dxa" w:w="110"/>
              <w:bottom w:type="dxa" w:w="70"/>
              <w:right w:type="dxa" w:w="110"/>
            </w:tcMar>
            <w:vAlign w:val="center"/>
          </w:tcPr>
          <w:p>
            <w:pPr>
              <w:spacing w:after="0" w:line="240"/>
            </w:pPr>
            <w:r>
              <w:rPr>
                <w:sz w:val="19"/>
                <w:szCs w:val="19"/>
              </w:rPr>
              <w:t xml:space="preserve">Odbiorca metryk i powiadomienia</w:t>
            </w:r>
          </w:p>
        </w:tc>
        <w:tc>
          <w:tcPr>
            <w:tcW w:type="dxa" w:w="1700"/>
            <w:shd w:fill="FDF1E7" w:color="auto" w:val="clear"/>
            <w:tcMar>
              <w:top w:type="dxa" w:w="70"/>
              <w:left w:type="dxa" w:w="110"/>
              <w:bottom w:type="dxa" w:w="70"/>
              <w:right w:type="dxa" w:w="110"/>
            </w:tcMar>
            <w:vAlign w:val="center"/>
          </w:tcPr>
          <w:p>
            <w:pPr>
              <w:spacing w:after="0" w:line="240"/>
            </w:pPr>
            <w:r>
              <w:rPr>
                <w:sz w:val="19"/>
                <w:szCs w:val="19"/>
              </w:rPr>
              <w:t xml:space="preserve">Do zrobienia</w:t>
            </w:r>
          </w:p>
        </w:tc>
        <w:tc>
          <w:tcPr>
            <w:tcW w:type="dxa" w:w="4326"/>
            <w:shd w:fill="FDF1E7" w:color="auto" w:val="clear"/>
            <w:tcMar>
              <w:top w:type="dxa" w:w="70"/>
              <w:left w:type="dxa" w:w="110"/>
              <w:bottom w:type="dxa" w:w="70"/>
              <w:right w:type="dxa" w:w="110"/>
            </w:tcMar>
            <w:vAlign w:val="center"/>
          </w:tcPr>
          <w:p>
            <w:pPr>
              <w:spacing w:after="0" w:line="240"/>
            </w:pPr>
            <w:r>
              <w:rPr>
                <w:sz w:val="19"/>
                <w:szCs w:val="19"/>
              </w:rPr>
              <w:t xml:space="preserve">Metryki i reguły są, brakuje tego, co je zbiera — patrz 1.2</w:t>
            </w:r>
          </w:p>
        </w:tc>
      </w:tr>
      <w:tr>
        <w:tc>
          <w:tcPr>
            <w:tcW w:type="dxa" w:w="3000"/>
            <w:shd w:fill="FDF1E7" w:color="auto" w:val="clear"/>
            <w:tcMar>
              <w:top w:type="dxa" w:w="70"/>
              <w:left w:type="dxa" w:w="110"/>
              <w:bottom w:type="dxa" w:w="70"/>
              <w:right w:type="dxa" w:w="110"/>
            </w:tcMar>
            <w:vAlign w:val="center"/>
          </w:tcPr>
          <w:p>
            <w:pPr>
              <w:spacing w:after="0" w:line="240"/>
            </w:pPr>
            <w:r>
              <w:rPr>
                <w:sz w:val="19"/>
                <w:szCs w:val="19"/>
              </w:rPr>
              <w:t xml:space="preserve">Uwierzytelnianie klientów API</w:t>
            </w:r>
          </w:p>
        </w:tc>
        <w:tc>
          <w:tcPr>
            <w:tcW w:type="dxa" w:w="1700"/>
            <w:shd w:fill="FDF1E7" w:color="auto" w:val="clear"/>
            <w:tcMar>
              <w:top w:type="dxa" w:w="70"/>
              <w:left w:type="dxa" w:w="110"/>
              <w:bottom w:type="dxa" w:w="70"/>
              <w:right w:type="dxa" w:w="110"/>
            </w:tcMar>
            <w:vAlign w:val="center"/>
          </w:tcPr>
          <w:p>
            <w:pPr>
              <w:spacing w:after="0" w:line="240"/>
            </w:pPr>
            <w:r>
              <w:rPr>
                <w:sz w:val="19"/>
                <w:szCs w:val="19"/>
              </w:rPr>
              <w:t xml:space="preserve">Do zrobienia</w:t>
            </w:r>
          </w:p>
        </w:tc>
        <w:tc>
          <w:tcPr>
            <w:tcW w:type="dxa" w:w="4326"/>
            <w:shd w:fill="FDF1E7" w:color="auto" w:val="clear"/>
            <w:tcMar>
              <w:top w:type="dxa" w:w="70"/>
              <w:left w:type="dxa" w:w="110"/>
              <w:bottom w:type="dxa" w:w="70"/>
              <w:right w:type="dxa" w:w="110"/>
            </w:tcMar>
            <w:vAlign w:val="center"/>
          </w:tcPr>
          <w:p>
            <w:pPr>
              <w:spacing w:after="0" w:line="240"/>
            </w:pPr>
            <w:r>
              <w:rPr>
                <w:sz w:val="19"/>
                <w:szCs w:val="19"/>
              </w:rPr>
              <w:t xml:space="preserve">Serwis nie weryfikuje dziś tożsamości klienta — patrz 5.5</w:t>
            </w:r>
          </w:p>
        </w:tc>
      </w:tr>
      <w:tr>
        <w:tc>
          <w:tcPr>
            <w:tcW w:type="dxa" w:w="3000"/>
            <w:shd w:fill="FDF1E7" w:color="auto" w:val="clear"/>
            <w:tcMar>
              <w:top w:type="dxa" w:w="70"/>
              <w:left w:type="dxa" w:w="110"/>
              <w:bottom w:type="dxa" w:w="70"/>
              <w:right w:type="dxa" w:w="110"/>
            </w:tcMar>
            <w:vAlign w:val="center"/>
          </w:tcPr>
          <w:p>
            <w:pPr>
              <w:spacing w:after="0" w:line="240"/>
            </w:pPr>
            <w:r>
              <w:rPr>
                <w:sz w:val="19"/>
                <w:szCs w:val="19"/>
              </w:rPr>
              <w:t xml:space="preserve">Kopie zapasowe poza maszyną</w:t>
            </w:r>
          </w:p>
        </w:tc>
        <w:tc>
          <w:tcPr>
            <w:tcW w:type="dxa" w:w="1700"/>
            <w:shd w:fill="FDF1E7" w:color="auto" w:val="clear"/>
            <w:tcMar>
              <w:top w:type="dxa" w:w="70"/>
              <w:left w:type="dxa" w:w="110"/>
              <w:bottom w:type="dxa" w:w="70"/>
              <w:right w:type="dxa" w:w="110"/>
            </w:tcMar>
            <w:vAlign w:val="center"/>
          </w:tcPr>
          <w:p>
            <w:pPr>
              <w:spacing w:after="0" w:line="240"/>
            </w:pPr>
            <w:r>
              <w:rPr>
                <w:sz w:val="19"/>
                <w:szCs w:val="19"/>
              </w:rPr>
              <w:t xml:space="preserve">Do zrobienia</w:t>
            </w:r>
          </w:p>
        </w:tc>
        <w:tc>
          <w:tcPr>
            <w:tcW w:type="dxa" w:w="4326"/>
            <w:shd w:fill="FDF1E7" w:color="auto" w:val="clear"/>
            <w:tcMar>
              <w:top w:type="dxa" w:w="70"/>
              <w:left w:type="dxa" w:w="110"/>
              <w:bottom w:type="dxa" w:w="70"/>
              <w:right w:type="dxa" w:w="110"/>
            </w:tcMar>
            <w:vAlign w:val="center"/>
          </w:tcPr>
          <w:p>
            <w:pPr>
              <w:spacing w:after="0" w:line="240"/>
            </w:pPr>
            <w:r>
              <w:rPr>
                <w:sz w:val="19"/>
                <w:szCs w:val="19"/>
              </w:rPr>
              <w:t xml:space="preserve">Archiwum i zrzut bazy leżą wyłącznie na dysku lokalnym — patrz 7.3</w:t>
            </w:r>
          </w:p>
        </w:tc>
      </w:tr>
      <w:tr>
        <w:tc>
          <w:tcPr>
            <w:tcW w:type="dxa" w:w="3000"/>
            <w:shd w:fill="FDF1E7" w:color="auto" w:val="clear"/>
            <w:tcMar>
              <w:top w:type="dxa" w:w="70"/>
              <w:left w:type="dxa" w:w="110"/>
              <w:bottom w:type="dxa" w:w="70"/>
              <w:right w:type="dxa" w:w="110"/>
            </w:tcMar>
            <w:vAlign w:val="center"/>
          </w:tcPr>
          <w:p>
            <w:pPr>
              <w:spacing w:after="0" w:line="240"/>
            </w:pPr>
            <w:r>
              <w:rPr>
                <w:sz w:val="19"/>
                <w:szCs w:val="19"/>
              </w:rPr>
              <w:t xml:space="preserve">Automatyzacja cyklu aktualizacji</w:t>
            </w:r>
          </w:p>
        </w:tc>
        <w:tc>
          <w:tcPr>
            <w:tcW w:type="dxa" w:w="1700"/>
            <w:shd w:fill="FDF1E7" w:color="auto" w:val="clear"/>
            <w:tcMar>
              <w:top w:type="dxa" w:w="70"/>
              <w:left w:type="dxa" w:w="110"/>
              <w:bottom w:type="dxa" w:w="70"/>
              <w:right w:type="dxa" w:w="110"/>
            </w:tcMar>
            <w:vAlign w:val="center"/>
          </w:tcPr>
          <w:p>
            <w:pPr>
              <w:spacing w:after="0" w:line="240"/>
            </w:pPr>
            <w:r>
              <w:rPr>
                <w:sz w:val="19"/>
                <w:szCs w:val="19"/>
              </w:rPr>
              <w:t xml:space="preserve">Do zrobienia</w:t>
            </w:r>
          </w:p>
        </w:tc>
        <w:tc>
          <w:tcPr>
            <w:tcW w:type="dxa" w:w="4326"/>
            <w:shd w:fill="FDF1E7" w:color="auto" w:val="clear"/>
            <w:tcMar>
              <w:top w:type="dxa" w:w="70"/>
              <w:left w:type="dxa" w:w="110"/>
              <w:bottom w:type="dxa" w:w="70"/>
              <w:right w:type="dxa" w:w="110"/>
            </w:tcMar>
            <w:vAlign w:val="center"/>
          </w:tcPr>
          <w:p>
            <w:pPr>
              <w:spacing w:after="0" w:line="240"/>
            </w:pPr>
            <w:r>
              <w:rPr>
                <w:sz w:val="19"/>
                <w:szCs w:val="19"/>
              </w:rPr>
              <w:t xml:space="preserve">Uruchomienie zadania cyklicznego, wznawianie przerwanych przebiegów</w:t>
            </w:r>
          </w:p>
        </w:tc>
      </w:tr>
      <w:tr>
        <w:tc>
          <w:tcPr>
            <w:tcW w:type="dxa" w:w="3000"/>
            <w:shd w:fill="FDF1E7" w:color="auto" w:val="clear"/>
            <w:tcMar>
              <w:top w:type="dxa" w:w="70"/>
              <w:left w:type="dxa" w:w="110"/>
              <w:bottom w:type="dxa" w:w="70"/>
              <w:right w:type="dxa" w:w="110"/>
            </w:tcMar>
            <w:vAlign w:val="center"/>
          </w:tcPr>
          <w:p>
            <w:pPr>
              <w:spacing w:after="0" w:line="240"/>
            </w:pPr>
            <w:r>
              <w:rPr>
                <w:sz w:val="19"/>
                <w:szCs w:val="19"/>
              </w:rPr>
              <w:t xml:space="preserve">Drugie źródło danych (iMPA)</w:t>
            </w:r>
          </w:p>
        </w:tc>
        <w:tc>
          <w:tcPr>
            <w:tcW w:type="dxa" w:w="1700"/>
            <w:shd w:fill="FDF1E7" w:color="auto" w:val="clear"/>
            <w:tcMar>
              <w:top w:type="dxa" w:w="70"/>
              <w:left w:type="dxa" w:w="110"/>
              <w:bottom w:type="dxa" w:w="70"/>
              <w:right w:type="dxa" w:w="110"/>
            </w:tcMar>
            <w:vAlign w:val="center"/>
          </w:tcPr>
          <w:p>
            <w:pPr>
              <w:spacing w:after="0" w:line="240"/>
            </w:pPr>
            <w:r>
              <w:rPr>
                <w:sz w:val="19"/>
                <w:szCs w:val="19"/>
              </w:rPr>
              <w:t xml:space="preserve">Do zrobienia</w:t>
            </w:r>
          </w:p>
        </w:tc>
        <w:tc>
          <w:tcPr>
            <w:tcW w:type="dxa" w:w="4326"/>
            <w:shd w:fill="FDF1E7" w:color="auto" w:val="clear"/>
            <w:tcMar>
              <w:top w:type="dxa" w:w="70"/>
              <w:left w:type="dxa" w:w="110"/>
              <w:bottom w:type="dxa" w:w="70"/>
              <w:right w:type="dxa" w:w="110"/>
            </w:tcMar>
            <w:vAlign w:val="center"/>
          </w:tcPr>
          <w:p>
            <w:pPr>
              <w:spacing w:after="0" w:line="240"/>
            </w:pPr>
            <w:r>
              <w:rPr>
                <w:sz w:val="19"/>
                <w:szCs w:val="19"/>
              </w:rPr>
              <w:t xml:space="preserve">Zabezpieczenie na wypadek awarii źródła podstawowego</w:t>
            </w:r>
          </w:p>
        </w:tc>
      </w:tr>
    </w:tbl>
    <w:p>
      <w:pPr>
        <w:spacing w:after="160"/>
      </w:pPr>
    </w:p>
    <w:p>
      <w:pPr>
        <w:spacing w:after="120" w:line="276"/>
      </w:pPr>
      <w:r>
        <w:rPr>
          <w:sz w:val="21"/>
          <w:szCs w:val="21"/>
        </w:rPr>
        <w:t xml:space="preserve">Szacowany nakład do wersji produkcyjnej: 11–15 tygodni pracy jednej osoby (55–73 dni roboczych) na sam back-end. Rozbicie na etapy znajduje się w rozdziale 10. Nakład nie zawiera panelu administracyjnego ani prac po stronie interfejsu użytkownika, które są przedmiotem odrębnych opracowań.</w:t>
      </w:r>
    </w:p>
    <w:p>
      <w:pPr>
        <w:pStyle w:val="Heading2"/>
        <w:spacing w:after="140" w:before="280"/>
      </w:pPr>
      <w:r>
        <w:t xml:space="preserve">1.2. Braki blokujące wdrożenie produkcyjne</w:t>
      </w:r>
    </w:p>
    <w:p>
      <w:pPr>
        <w:spacing w:after="120" w:line="276"/>
      </w:pPr>
      <w:r>
        <w:rPr>
          <w:sz w:val="21"/>
          <w:szCs w:val="21"/>
        </w:rPr>
        <w:t xml:space="preserve">Rdzeń rozwiązania działa i został zmierzony na rzeczywistych danych. Cztery braki dzielą go jednak od wersji, którą można wystawić klientom. Wymieniamy je w streszczeniu, ponieważ każdy z nich wpływa na termin i na decyzje Zamawiającego.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4926"/>
        <w:gridCol w:w="1600"/>
      </w:tblGrid>
      <w:tr>
        <w:trPr>
          <w:tblHeader/>
        </w:trPr>
        <w:tc>
          <w:tcPr>
            <w:tcW w:type="dxa" w:w="2500"/>
            <w:shd w:fill="E8EDF2" w:color="auto" w:val="clear"/>
            <w:tcMar>
              <w:top w:type="dxa" w:w="70"/>
              <w:left w:type="dxa" w:w="110"/>
              <w:bottom w:type="dxa" w:w="70"/>
              <w:right w:type="dxa" w:w="110"/>
            </w:tcMar>
            <w:vAlign w:val="center"/>
          </w:tcPr>
          <w:p>
            <w:pPr>
              <w:spacing w:after="0" w:line="240"/>
            </w:pPr>
            <w:r>
              <w:rPr>
                <w:b/>
                <w:bCs/>
                <w:sz w:val="19"/>
                <w:szCs w:val="19"/>
              </w:rPr>
              <w:t xml:space="preserve">Brak</w:t>
            </w:r>
          </w:p>
        </w:tc>
        <w:tc>
          <w:tcPr>
            <w:tcW w:type="dxa" w:w="4926"/>
            <w:shd w:fill="E8EDF2" w:color="auto" w:val="clear"/>
            <w:tcMar>
              <w:top w:type="dxa" w:w="70"/>
              <w:left w:type="dxa" w:w="110"/>
              <w:bottom w:type="dxa" w:w="70"/>
              <w:right w:type="dxa" w:w="110"/>
            </w:tcMar>
            <w:vAlign w:val="center"/>
          </w:tcPr>
          <w:p>
            <w:pPr>
              <w:spacing w:after="0" w:line="240"/>
            </w:pPr>
            <w:r>
              <w:rPr>
                <w:b/>
                <w:bCs/>
                <w:sz w:val="19"/>
                <w:szCs w:val="19"/>
              </w:rPr>
              <w:t xml:space="preserve">Na czym polega</w:t>
            </w:r>
          </w:p>
        </w:tc>
        <w:tc>
          <w:tcPr>
            <w:tcW w:type="dxa" w:w="1600"/>
            <w:shd w:fill="E8EDF2" w:color="auto" w:val="clear"/>
            <w:tcMar>
              <w:top w:type="dxa" w:w="70"/>
              <w:left w:type="dxa" w:w="110"/>
              <w:bottom w:type="dxa" w:w="70"/>
              <w:right w:type="dxa" w:w="110"/>
            </w:tcMar>
            <w:vAlign w:val="center"/>
          </w:tcPr>
          <w:p>
            <w:pPr>
              <w:spacing w:after="0" w:line="240"/>
            </w:pPr>
            <w:r>
              <w:rPr>
                <w:b/>
                <w:bCs/>
                <w:sz w:val="19"/>
                <w:szCs w:val="19"/>
              </w:rPr>
              <w:t xml:space="preserve">Nakład</w:t>
            </w:r>
          </w:p>
        </w:tc>
      </w:tr>
      <w:tr>
        <w:tc>
          <w:tcPr>
            <w:tcW w:type="dxa" w:w="2500"/>
            <w:shd w:fill="FDF1E7" w:color="auto" w:val="clear"/>
            <w:tcMar>
              <w:top w:type="dxa" w:w="70"/>
              <w:left w:type="dxa" w:w="110"/>
              <w:bottom w:type="dxa" w:w="70"/>
              <w:right w:type="dxa" w:w="110"/>
            </w:tcMar>
            <w:vAlign w:val="center"/>
          </w:tcPr>
          <w:p>
            <w:pPr>
              <w:spacing w:after="0" w:line="240"/>
            </w:pPr>
            <w:r>
              <w:rPr>
                <w:sz w:val="19"/>
                <w:szCs w:val="19"/>
              </w:rPr>
              <w:t xml:space="preserve">Serwis nie uwierzytelnia klientów</w:t>
            </w:r>
          </w:p>
        </w:tc>
        <w:tc>
          <w:tcPr>
            <w:tcW w:type="dxa" w:w="4926"/>
            <w:shd w:fill="FDF1E7" w:color="auto" w:val="clear"/>
            <w:tcMar>
              <w:top w:type="dxa" w:w="70"/>
              <w:left w:type="dxa" w:w="110"/>
              <w:bottom w:type="dxa" w:w="70"/>
              <w:right w:type="dxa" w:w="110"/>
            </w:tcMar>
            <w:vAlign w:val="center"/>
          </w:tcPr>
          <w:p>
            <w:pPr>
              <w:spacing w:after="0" w:line="240"/>
            </w:pPr>
            <w:r>
              <w:rPr>
                <w:sz w:val="19"/>
                <w:szCs w:val="19"/>
              </w:rPr>
              <w:t xml:space="preserve">Nagłówek klucza API nie jest weryfikowany, a limitowanie zapytań da się obejść, wysyłając za każdym razem inną wartość nagłówka. Do czasu naprawy serwis nie powinien opuszczać sieci wewnętrznej</w:t>
            </w:r>
          </w:p>
        </w:tc>
        <w:tc>
          <w:tcPr>
            <w:tcW w:type="dxa" w:w="1600"/>
            <w:shd w:fill="FDF1E7" w:color="auto" w:val="clear"/>
            <w:tcMar>
              <w:top w:type="dxa" w:w="70"/>
              <w:left w:type="dxa" w:w="110"/>
              <w:bottom w:type="dxa" w:w="70"/>
              <w:right w:type="dxa" w:w="110"/>
            </w:tcMar>
            <w:vAlign w:val="center"/>
          </w:tcPr>
          <w:p>
            <w:pPr>
              <w:spacing w:after="0" w:line="240"/>
            </w:pPr>
            <w:r>
              <w:rPr>
                <w:sz w:val="19"/>
                <w:szCs w:val="19"/>
              </w:rPr>
              <w:t xml:space="preserve">9–11 dni; doraźne zamknięcie luki 0,25 dnia</w:t>
            </w:r>
          </w:p>
        </w:tc>
      </w:tr>
      <w:tr>
        <w:tc>
          <w:tcPr>
            <w:tcW w:type="dxa" w:w="2500"/>
            <w:shd w:fill="FDF1E7" w:color="auto" w:val="clear"/>
            <w:tcMar>
              <w:top w:type="dxa" w:w="70"/>
              <w:left w:type="dxa" w:w="110"/>
              <w:bottom w:type="dxa" w:w="70"/>
              <w:right w:type="dxa" w:w="110"/>
            </w:tcMar>
            <w:vAlign w:val="center"/>
          </w:tcPr>
          <w:p>
            <w:pPr>
              <w:spacing w:after="0" w:line="240"/>
            </w:pPr>
            <w:r>
              <w:rPr>
                <w:sz w:val="19"/>
                <w:szCs w:val="19"/>
              </w:rPr>
              <w:t xml:space="preserve">Kopie zapasowe nie opuszczają maszyny</w:t>
            </w:r>
          </w:p>
        </w:tc>
        <w:tc>
          <w:tcPr>
            <w:tcW w:type="dxa" w:w="4926"/>
            <w:shd w:fill="FDF1E7" w:color="auto" w:val="clear"/>
            <w:tcMar>
              <w:top w:type="dxa" w:w="70"/>
              <w:left w:type="dxa" w:w="110"/>
              <w:bottom w:type="dxa" w:w="70"/>
              <w:right w:type="dxa" w:w="110"/>
            </w:tcMar>
            <w:vAlign w:val="center"/>
          </w:tcPr>
          <w:p>
            <w:pPr>
              <w:spacing w:after="0" w:line="240"/>
            </w:pPr>
            <w:r>
              <w:rPr>
                <w:sz w:val="19"/>
                <w:szCs w:val="19"/>
              </w:rPr>
              <w:t xml:space="preserve">Archiwum plików źródłowych i zrzut bazy leżą wyłącznie na dysku roboczym. Deklarowany czwarty poziom odporności na awarię źródła nie istnieje jeszcze fizycznie</w:t>
            </w:r>
          </w:p>
        </w:tc>
        <w:tc>
          <w:tcPr>
            <w:tcW w:type="dxa" w:w="1600"/>
            <w:shd w:fill="FDF1E7" w:color="auto" w:val="clear"/>
            <w:tcMar>
              <w:top w:type="dxa" w:w="70"/>
              <w:left w:type="dxa" w:w="110"/>
              <w:bottom w:type="dxa" w:w="70"/>
              <w:right w:type="dxa" w:w="110"/>
            </w:tcMar>
            <w:vAlign w:val="center"/>
          </w:tcPr>
          <w:p>
            <w:pPr>
              <w:spacing w:after="0" w:line="240"/>
            </w:pPr>
            <w:r>
              <w:rPr>
                <w:sz w:val="19"/>
                <w:szCs w:val="19"/>
              </w:rPr>
              <w:t xml:space="preserve">5–7 dni</w:t>
            </w:r>
          </w:p>
        </w:tc>
      </w:tr>
      <w:tr>
        <w:tc>
          <w:tcPr>
            <w:tcW w:type="dxa" w:w="2500"/>
            <w:shd w:fill="FDF1E7" w:color="auto" w:val="clear"/>
            <w:tcMar>
              <w:top w:type="dxa" w:w="70"/>
              <w:left w:type="dxa" w:w="110"/>
              <w:bottom w:type="dxa" w:w="70"/>
              <w:right w:type="dxa" w:w="110"/>
            </w:tcMar>
            <w:vAlign w:val="center"/>
          </w:tcPr>
          <w:p>
            <w:pPr>
              <w:spacing w:after="0" w:line="240"/>
            </w:pPr>
            <w:r>
              <w:rPr>
                <w:sz w:val="19"/>
                <w:szCs w:val="19"/>
              </w:rPr>
              <w:t xml:space="preserve">Metryki nie mają odbiorcy</w:t>
            </w:r>
          </w:p>
        </w:tc>
        <w:tc>
          <w:tcPr>
            <w:tcW w:type="dxa" w:w="4926"/>
            <w:shd w:fill="FDF1E7" w:color="auto" w:val="clear"/>
            <w:tcMar>
              <w:top w:type="dxa" w:w="70"/>
              <w:left w:type="dxa" w:w="110"/>
              <w:bottom w:type="dxa" w:w="70"/>
              <w:right w:type="dxa" w:w="110"/>
            </w:tcMar>
            <w:vAlign w:val="center"/>
          </w:tcPr>
          <w:p>
            <w:pPr>
              <w:spacing w:after="0" w:line="240"/>
            </w:pPr>
            <w:r>
              <w:rPr>
                <w:sz w:val="19"/>
                <w:szCs w:val="19"/>
              </w:rPr>
              <w:t xml:space="preserve">Aplikacja wystawia 17 metryk i ma 6 gotowych reguł alertów, ale w konfiguracji uruchomieniowej nie ma niczego, co je zbiera. Awarie wykrywa dziś człowiek</w:t>
            </w:r>
          </w:p>
        </w:tc>
        <w:tc>
          <w:tcPr>
            <w:tcW w:type="dxa" w:w="1600"/>
            <w:shd w:fill="FDF1E7" w:color="auto" w:val="clear"/>
            <w:tcMar>
              <w:top w:type="dxa" w:w="70"/>
              <w:left w:type="dxa" w:w="110"/>
              <w:bottom w:type="dxa" w:w="70"/>
              <w:right w:type="dxa" w:w="110"/>
            </w:tcMar>
            <w:vAlign w:val="center"/>
          </w:tcPr>
          <w:p>
            <w:pPr>
              <w:spacing w:after="0" w:line="240"/>
            </w:pPr>
            <w:r>
              <w:rPr>
                <w:sz w:val="19"/>
                <w:szCs w:val="19"/>
              </w:rPr>
              <w:t xml:space="preserve">6–8 dni; pierwsze 3 dni dają większość efektu</w:t>
            </w:r>
          </w:p>
        </w:tc>
      </w:tr>
      <w:tr>
        <w:tc>
          <w:tcPr>
            <w:tcW w:type="dxa" w:w="2500"/>
            <w:shd w:fill="FDF1E7" w:color="auto" w:val="clear"/>
            <w:tcMar>
              <w:top w:type="dxa" w:w="70"/>
              <w:left w:type="dxa" w:w="110"/>
              <w:bottom w:type="dxa" w:w="70"/>
              <w:right w:type="dxa" w:w="110"/>
            </w:tcMar>
            <w:vAlign w:val="center"/>
          </w:tcPr>
          <w:p>
            <w:pPr>
              <w:spacing w:after="0" w:line="240"/>
            </w:pPr>
            <w:r>
              <w:rPr>
                <w:sz w:val="19"/>
                <w:szCs w:val="19"/>
              </w:rPr>
              <w:t xml:space="preserve">Dane obejmują 4 województwa z 16</w:t>
            </w:r>
          </w:p>
        </w:tc>
        <w:tc>
          <w:tcPr>
            <w:tcW w:type="dxa" w:w="4926"/>
            <w:shd w:fill="FDF1E7" w:color="auto" w:val="clear"/>
            <w:tcMar>
              <w:top w:type="dxa" w:w="70"/>
              <w:left w:type="dxa" w:w="110"/>
              <w:bottom w:type="dxa" w:w="70"/>
              <w:right w:type="dxa" w:w="110"/>
            </w:tcMar>
            <w:vAlign w:val="center"/>
          </w:tcPr>
          <w:p>
            <w:pPr>
              <w:spacing w:after="0" w:line="240"/>
            </w:pPr>
            <w:r>
              <w:rPr>
                <w:sz w:val="19"/>
                <w:szCs w:val="19"/>
              </w:rPr>
              <w:t xml:space="preserve">Rozwiązanie działa na ok. 23% kraju. Pozostałe pliki są pobrane i czekają na przetworzenie</w:t>
            </w:r>
          </w:p>
        </w:tc>
        <w:tc>
          <w:tcPr>
            <w:tcW w:type="dxa" w:w="1600"/>
            <w:shd w:fill="FDF1E7" w:color="auto" w:val="clear"/>
            <w:tcMar>
              <w:top w:type="dxa" w:w="70"/>
              <w:left w:type="dxa" w:w="110"/>
              <w:bottom w:type="dxa" w:w="70"/>
              <w:right w:type="dxa" w:w="110"/>
            </w:tcMar>
            <w:vAlign w:val="center"/>
          </w:tcPr>
          <w:p>
            <w:pPr>
              <w:spacing w:after="0" w:line="240"/>
            </w:pPr>
            <w:r>
              <w:rPr>
                <w:sz w:val="19"/>
                <w:szCs w:val="19"/>
              </w:rPr>
              <w:t xml:space="preserve">3–4 dni</w:t>
            </w:r>
          </w:p>
        </w:tc>
      </w:tr>
    </w:tbl>
    <w:p>
      <w:pPr>
        <w:spacing w:after="160"/>
      </w:pPr>
    </w:p>
    <w:p>
      <w:pPr>
        <w:spacing w:after="120" w:line="276"/>
      </w:pPr>
      <w:r>
        <w:rPr>
          <w:b/>
          <w:bCs/>
          <w:sz w:val="21"/>
          <w:szCs w:val="21"/>
        </w:rPr>
        <w:t xml:space="preserve">Kolejność ma znaczenie. </w:t>
      </w:r>
      <w:r>
        <w:rPr>
          <w:sz w:val="21"/>
          <w:szCs w:val="21"/>
        </w:rPr>
        <w:t xml:space="preserve">Trzy z czterech braków są niezależne i można je prowadzić równolegle. Doraźne zamknięcie luki w limitowaniu zapytań kosztuje ćwierć dnia i warto je wykonać niezależnie od decyzji o pozostałych etapach — szczegóły w rozdziale 5.5.</w:t>
      </w:r>
    </w:p>
    <w:p>
      <w:pPr>
        <w:pStyle w:val="Heading2"/>
        <w:spacing w:after="140" w:before="280"/>
      </w:pPr>
      <w:r>
        <w:t xml:space="preserve">1.3. Wrześniowa zmiana formatu danych — ryzyko zamknięte</w:t>
      </w:r>
    </w:p>
    <w:p>
      <w:pPr>
        <w:pBdr>
          <w:top w:val="single" w:color="D5DBE0" w:sz="4"/>
          <w:bottom w:val="single" w:color="D5DBE0" w:sz="0"/>
          <w:left w:val="single" w:color="D5DBE0" w:sz="4"/>
          <w:right w:val="single" w:color="D5DBE0" w:sz="4"/>
        </w:pBdr>
        <w:shd w:fill="EDF5EE" w:color="auto" w:val="clear"/>
        <w:spacing w:after="0" w:before="160" w:line="276"/>
        <w:ind w:left="120" w:right="120"/>
      </w:pPr>
      <w:r>
        <w:rPr>
          <w:b/>
          <w:bCs/>
          <w:sz w:val="21"/>
          <w:szCs w:val="21"/>
        </w:rPr>
        <w:t xml:space="preserve">Termin: 1 września 2026 — zabezpieczenie wykonane 6.08.2026</w:t>
      </w:r>
    </w:p>
    <w:p>
      <w:pPr>
        <w:pBdr>
          <w:top w:val="single" w:color="D5DBE0" w:sz="0"/>
          <w:bottom w:val="single" w:color="D5DBE0" w:sz="0"/>
          <w:left w:val="single" w:color="D5DBE0" w:sz="4"/>
          <w:right w:val="single" w:color="D5DBE0" w:sz="4"/>
        </w:pBdr>
        <w:shd w:fill="EDF5EE" w:color="auto" w:val="clear"/>
        <w:spacing w:after="60" w:line="276"/>
        <w:ind w:left="120" w:right="120"/>
      </w:pPr>
      <w:r>
        <w:rPr>
          <w:sz w:val="20"/>
          <w:szCs w:val="20"/>
        </w:rPr>
        <w:t xml:space="preserve">Główny Urząd Geodezji i Kartografii przestaje wtedy publikować dane adresowe w dotychczasowej strukturze. Format SHP przeszedł na nową strukturę już 1 lipca 2026.</w:t>
      </w:r>
    </w:p>
    <w:p>
      <w:pPr>
        <w:pBdr>
          <w:top w:val="single" w:color="D5DBE0" w:sz="0"/>
          <w:bottom w:val="single" w:color="D5DBE0" w:sz="0"/>
          <w:left w:val="single" w:color="D5DBE0" w:sz="4"/>
          <w:right w:val="single" w:color="D5DBE0" w:sz="4"/>
        </w:pBdr>
        <w:shd w:fill="EDF5EE" w:color="auto" w:val="clear"/>
        <w:spacing w:after="60" w:line="276"/>
        <w:ind w:left="120" w:right="120"/>
      </w:pPr>
      <w:r>
        <w:rPr>
          <w:sz w:val="20"/>
          <w:szCs w:val="20"/>
        </w:rPr>
        <w:t xml:space="preserve">Nowa struktura nie zawiera trzech informacji, które dziś wykorzystujemy: statusu budynku (istniejący / w budowie / planowany), numeru lokalu oraz przynależności administracyjnej.</w:t>
      </w:r>
    </w:p>
    <w:p>
      <w:pPr>
        <w:pBdr>
          <w:top w:val="single" w:color="D5DBE0" w:sz="0"/>
          <w:bottom w:val="single" w:color="D5DBE0" w:sz="0"/>
          <w:left w:val="single" w:color="D5DBE0" w:sz="4"/>
          <w:right w:val="single" w:color="D5DBE0" w:sz="4"/>
        </w:pBdr>
        <w:shd w:fill="EDF5EE" w:color="auto" w:val="clear"/>
        <w:spacing w:after="60" w:line="276"/>
        <w:ind w:left="120" w:right="120"/>
      </w:pPr>
      <w:r>
        <w:rPr>
          <w:sz w:val="20"/>
          <w:szCs w:val="20"/>
        </w:rPr>
        <w:t xml:space="preserve">Zalecenie z wydania 1.0 zostało zrealizowane: pełny zrzut w dotychczasowej strukturze — komplet 16 województw, 1,8 GB, z sumą kontrolną każdego pliku — zarchiwizowano 6 sierpnia 2026.</w:t>
      </w:r>
    </w:p>
    <w:p>
      <w:pPr>
        <w:pBdr>
          <w:top w:val="single" w:color="D5DBE0" w:sz="0"/>
          <w:bottom w:val="single" w:color="D5DBE0" w:sz="4"/>
          <w:left w:val="single" w:color="D5DBE0" w:sz="4"/>
          <w:right w:val="single" w:color="D5DBE0" w:sz="4"/>
        </w:pBdr>
        <w:shd w:fill="EDF5EE" w:color="auto" w:val="clear"/>
        <w:spacing w:after="0" w:line="276"/>
        <w:ind w:left="120" w:right="120"/>
      </w:pPr>
      <w:r>
        <w:rPr>
          <w:sz w:val="20"/>
          <w:szCs w:val="20"/>
        </w:rPr>
        <w:t xml:space="preserve">Parser przeszedł przez rzeczywisty plik w nowej strukturze bez odrzucenia jednego rekordu. Ryzyko bezpowrotnej utraty atrybutów jest zamknięte; pozostaje wyłącznie brak tych trzech atrybutów w danych bieżących po 1 września.</w:t>
      </w:r>
    </w:p>
    <w:p>
      <w:pPr>
        <w:spacing w:after="180"/>
      </w:pPr>
    </w:p>
    <w:p>
      <w:pPr>
        <w:spacing w:after="120" w:line="276"/>
      </w:pPr>
      <w:r>
        <w:rPr>
          <w:b/>
          <w:bCs/>
          <w:sz w:val="21"/>
          <w:szCs w:val="21"/>
        </w:rPr>
        <w:t xml:space="preserve">Uwaga do trwałości zabezpieczenia: </w:t>
      </w:r>
      <w:r>
        <w:rPr>
          <w:sz w:val="21"/>
          <w:szCs w:val="21"/>
        </w:rPr>
        <w:t xml:space="preserve">archiwum spełnia swoją rolę tylko dopóki istnieje. Dziś jest to jedna kopia na dysku roboczym — po 1 września 2026 danych w starej strukturze nie da się pobrać ponownie z żadnego źródła. Wyniesienie tej kopii poza maszynę jest zadaniem pilnym, nie porządkowym (rozdz. 7.3 i 10).</w:t>
      </w:r>
    </w:p>
    <w:p>
      <w:pPr>
        <w:pStyle w:val="Heading2"/>
        <w:spacing w:after="140" w:before="280"/>
      </w:pPr>
      <w:r>
        <w:t xml:space="preserve">1.4. Rekomendacja</w:t>
      </w:r>
    </w:p>
    <w:p>
      <w:pPr>
        <w:spacing w:after="120" w:line="276"/>
      </w:pPr>
      <w:r>
        <w:rPr>
          <w:sz w:val="21"/>
          <w:szCs w:val="21"/>
        </w:rPr>
        <w:t xml:space="preserve">Rekomendujemy kontynuację w obecnym modelu: własna baza zbudowana na państwowym rejestrze PRG, uzupełniona o niezależne źródło zapasowe, serwowana przez bezstanowy mikroserwis. Uzasadnienie:</w:t>
      </w:r>
    </w:p>
    <w:p>
      <w:pPr>
        <w:pStyle w:val="ListParagraph"/>
        <w:numPr>
          <w:ilvl w:val="0"/>
          <w:numId w:val="2"/>
        </w:numPr>
        <w:spacing w:after="80" w:line="276"/>
      </w:pPr>
      <w:r>
        <w:rPr>
          <w:sz w:val="21"/>
          <w:szCs w:val="21"/>
        </w:rPr>
        <w:t xml:space="preserve">Dane rejestru PRG i TERYT są bezpłatne, bez licencji, z prawem do komercyjnego wykorzystania i redystrybucji. Jedynym obowiązkiem jest podanie źródła.</w:t>
      </w:r>
    </w:p>
    <w:p>
      <w:pPr>
        <w:pStyle w:val="ListParagraph"/>
        <w:numPr>
          <w:ilvl w:val="0"/>
          <w:numId w:val="2"/>
        </w:numPr>
        <w:spacing w:after="80" w:line="276"/>
      </w:pPr>
      <w:r>
        <w:rPr>
          <w:sz w:val="21"/>
          <w:szCs w:val="21"/>
        </w:rPr>
        <w:t xml:space="preserve">Brak uzależnienia od zewnętrznego dostawcy w ścieżce krytycznej — żaden podmiot nie może podnieść ceny ani wycofać usługi.</w:t>
      </w:r>
    </w:p>
    <w:p>
      <w:pPr>
        <w:pStyle w:val="ListParagraph"/>
        <w:numPr>
          <w:ilvl w:val="0"/>
          <w:numId w:val="2"/>
        </w:numPr>
        <w:spacing w:after="80" w:line="276"/>
      </w:pPr>
      <w:r>
        <w:rPr>
          <w:sz w:val="21"/>
          <w:szCs w:val="21"/>
        </w:rPr>
        <w:t xml:space="preserve">Adresy klientów nie opuszczają infrastruktury Zamawiającego, co upraszcza zgodność z RODO.</w:t>
      </w:r>
    </w:p>
    <w:p>
      <w:pPr>
        <w:pStyle w:val="ListParagraph"/>
        <w:numPr>
          <w:ilvl w:val="0"/>
          <w:numId w:val="2"/>
        </w:numPr>
        <w:spacing w:after="80" w:line="276"/>
      </w:pPr>
      <w:r>
        <w:rPr>
          <w:sz w:val="21"/>
          <w:szCs w:val="21"/>
        </w:rPr>
        <w:t xml:space="preserve">Zmierzona wydajność jest ok. 30-krotnie lepsza niż zapytanie do bazy z indeksem tekstowym i ponad tysiąckrotnie lepsza niż sortowanie po podobieństwie tekstowym.</w:t>
      </w:r>
    </w:p>
    <w:p>
      <w:r>
        <w:br w:type="page"/>
      </w:r>
    </w:p>
    <w:p>
      <w:pPr>
        <w:pStyle w:val="Heading1"/>
        <w:spacing w:after="180" w:before="360"/>
      </w:pPr>
      <w:r>
        <w:t xml:space="preserve">2. Kontekst biznesowy</w:t>
      </w:r>
    </w:p>
    <w:p>
      <w:pPr>
        <w:pStyle w:val="Heading2"/>
        <w:spacing w:after="140" w:before="280"/>
      </w:pPr>
      <w:r>
        <w:t xml:space="preserve">2.1. Problem</w:t>
      </w:r>
    </w:p>
    <w:p>
      <w:pPr>
        <w:spacing w:after="120" w:line="276"/>
      </w:pPr>
      <w:r>
        <w:rPr>
          <w:sz w:val="21"/>
          <w:szCs w:val="21"/>
        </w:rPr>
        <w:t xml:space="preserve">Adres wpisany ręcznie przez użytkownika jest jednym z najczęstszych źródeł błędów w systemach obsługujących wysyłkę, fakturowanie i obsługę klienta. Typowe konsekwencje to nieudane doręczenia, dodatkowe koszty kuriera, opóźnienia, reklamacje oraz konieczność ręcznej korekty danych.</w:t>
      </w:r>
    </w:p>
    <w:p>
      <w:pPr>
        <w:spacing w:after="120" w:line="276"/>
      </w:pPr>
      <w:r>
        <w:rPr>
          <w:sz w:val="21"/>
          <w:szCs w:val="21"/>
        </w:rPr>
        <w:t xml:space="preserve">Najczęstsze przyczyny błędów w polskich danych adresowych:</w:t>
      </w:r>
    </w:p>
    <w:p>
      <w:pPr>
        <w:pStyle w:val="ListParagraph"/>
        <w:numPr>
          <w:ilvl w:val="0"/>
          <w:numId w:val="2"/>
        </w:numPr>
        <w:spacing w:after="80" w:line="276"/>
      </w:pPr>
      <w:r>
        <w:rPr>
          <w:sz w:val="21"/>
          <w:szCs w:val="21"/>
        </w:rPr>
        <w:t xml:space="preserve">Nazwy potoczne ulic — użytkownik wpisuje „Kościuszki”, w rejestrze widnieje „Tadeusza Kościuszki”.</w:t>
      </w:r>
    </w:p>
    <w:p>
      <w:pPr>
        <w:pStyle w:val="ListParagraph"/>
        <w:numPr>
          <w:ilvl w:val="0"/>
          <w:numId w:val="2"/>
        </w:numPr>
        <w:spacing w:after="80" w:line="276"/>
      </w:pPr>
      <w:r>
        <w:rPr>
          <w:sz w:val="21"/>
          <w:szCs w:val="21"/>
        </w:rPr>
        <w:t xml:space="preserve">Brak lub niezgodny kod pocztowy.</w:t>
      </w:r>
    </w:p>
    <w:p>
      <w:pPr>
        <w:pStyle w:val="ListParagraph"/>
        <w:numPr>
          <w:ilvl w:val="0"/>
          <w:numId w:val="2"/>
        </w:numPr>
        <w:spacing w:after="80" w:line="276"/>
      </w:pPr>
      <w:r>
        <w:rPr>
          <w:sz w:val="21"/>
          <w:szCs w:val="21"/>
        </w:rPr>
        <w:t xml:space="preserve">Nieistniejące numery budynków — literówki albo budynki wyburzone.</w:t>
      </w:r>
    </w:p>
    <w:p>
      <w:pPr>
        <w:pStyle w:val="ListParagraph"/>
        <w:numPr>
          <w:ilvl w:val="0"/>
          <w:numId w:val="2"/>
        </w:numPr>
        <w:spacing w:after="80" w:line="276"/>
      </w:pPr>
      <w:r>
        <w:rPr>
          <w:sz w:val="21"/>
          <w:szCs w:val="21"/>
        </w:rPr>
        <w:t xml:space="preserve">Duplikaty nazw miejscowości — nazwy takie jak „Nowa Wieś” występują w Polsce setki razy.</w:t>
      </w:r>
    </w:p>
    <w:p>
      <w:pPr>
        <w:pStyle w:val="ListParagraph"/>
        <w:numPr>
          <w:ilvl w:val="0"/>
          <w:numId w:val="2"/>
        </w:numPr>
        <w:spacing w:after="80" w:line="276"/>
      </w:pPr>
      <w:r>
        <w:rPr>
          <w:sz w:val="21"/>
          <w:szCs w:val="21"/>
        </w:rPr>
        <w:t xml:space="preserve">Nieaktualne dane — zmienione nazwy ulic po dekomunizacji krążą w bazach klientów latami.</w:t>
      </w:r>
    </w:p>
    <w:p>
      <w:pPr>
        <w:pStyle w:val="Heading2"/>
        <w:spacing w:after="140" w:before="280"/>
      </w:pPr>
      <w:r>
        <w:t xml:space="preserve">2.2. Dlaczego budujemy własną bazę</w:t>
      </w:r>
    </w:p>
    <w:p>
      <w:pPr>
        <w:spacing w:after="120" w:line="276"/>
      </w:pPr>
      <w:r>
        <w:rPr>
          <w:sz w:val="21"/>
          <w:szCs w:val="21"/>
        </w:rPr>
        <w:t xml:space="preserve">Rozważono trzy podejścia. Szczegółowe porównanie znajduje się w rozdziale 9. W skrócie: gotowe API zewnętrzne są szybkie we wdrożeniu, ale generują koszt rosnący liniowo z ruchem, uzależniają od dostawcy i wymagają przekazywania danych osobowych klientów poza infrastrukturę Zamawiającego. Własna baza wymaga większego nakładu początkowego, ale eliminuje wszystkie trzy problemy.</w:t>
      </w:r>
    </w:p>
    <w:p>
      <w:r>
        <w:br w:type="page"/>
      </w:r>
    </w:p>
    <w:p>
      <w:pPr>
        <w:pStyle w:val="Heading1"/>
        <w:spacing w:after="180" w:before="360"/>
      </w:pPr>
      <w:r>
        <w:t xml:space="preserve">3. Źródła danych adresowych w Polsce</w:t>
      </w:r>
    </w:p>
    <w:p>
      <w:pPr>
        <w:pStyle w:val="Heading2"/>
        <w:spacing w:after="140" w:before="280"/>
      </w:pPr>
      <w:r>
        <w:t xml:space="preserve">3.1. Przegląd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2400"/>
        <w:gridCol w:w="2326"/>
      </w:tblGrid>
      <w:tr>
        <w:trPr>
          <w:tblHeader/>
        </w:trPr>
        <w:tc>
          <w:tcPr>
            <w:tcW w:type="dxa" w:w="1900"/>
            <w:shd w:fill="E8EDF2" w:color="auto" w:val="clear"/>
            <w:tcMar>
              <w:top w:type="dxa" w:w="70"/>
              <w:left w:type="dxa" w:w="110"/>
              <w:bottom w:type="dxa" w:w="70"/>
              <w:right w:type="dxa" w:w="110"/>
            </w:tcMar>
            <w:vAlign w:val="center"/>
          </w:tcPr>
          <w:p>
            <w:pPr>
              <w:spacing w:after="0" w:line="240"/>
            </w:pPr>
            <w:r>
              <w:rPr>
                <w:b/>
                <w:bCs/>
                <w:sz w:val="19"/>
                <w:szCs w:val="19"/>
              </w:rPr>
              <w:t xml:space="preserve">Źródło</w:t>
            </w:r>
          </w:p>
        </w:tc>
        <w:tc>
          <w:tcPr>
            <w:tcW w:type="dxa" w:w="2400"/>
            <w:shd w:fill="E8EDF2" w:color="auto" w:val="clear"/>
            <w:tcMar>
              <w:top w:type="dxa" w:w="70"/>
              <w:left w:type="dxa" w:w="110"/>
              <w:bottom w:type="dxa" w:w="70"/>
              <w:right w:type="dxa" w:w="110"/>
            </w:tcMar>
            <w:vAlign w:val="center"/>
          </w:tcPr>
          <w:p>
            <w:pPr>
              <w:spacing w:after="0" w:line="240"/>
            </w:pPr>
            <w:r>
              <w:rPr>
                <w:b/>
                <w:bCs/>
                <w:sz w:val="19"/>
                <w:szCs w:val="19"/>
              </w:rPr>
              <w:t xml:space="preserve">Zawartość</w:t>
            </w:r>
          </w:p>
        </w:tc>
        <w:tc>
          <w:tcPr>
            <w:tcW w:type="dxa" w:w="2400"/>
            <w:shd w:fill="E8EDF2" w:color="auto" w:val="clear"/>
            <w:tcMar>
              <w:top w:type="dxa" w:w="70"/>
              <w:left w:type="dxa" w:w="110"/>
              <w:bottom w:type="dxa" w:w="70"/>
              <w:right w:type="dxa" w:w="110"/>
            </w:tcMar>
            <w:vAlign w:val="center"/>
          </w:tcPr>
          <w:p>
            <w:pPr>
              <w:spacing w:after="0" w:line="240"/>
            </w:pPr>
            <w:r>
              <w:rPr>
                <w:b/>
                <w:bCs/>
                <w:sz w:val="19"/>
                <w:szCs w:val="19"/>
              </w:rPr>
              <w:t xml:space="preserve">Dostęp i koszt</w:t>
            </w:r>
          </w:p>
        </w:tc>
        <w:tc>
          <w:tcPr>
            <w:tcW w:type="dxa" w:w="2326"/>
            <w:shd w:fill="E8EDF2" w:color="auto" w:val="clear"/>
            <w:tcMar>
              <w:top w:type="dxa" w:w="70"/>
              <w:left w:type="dxa" w:w="110"/>
              <w:bottom w:type="dxa" w:w="70"/>
              <w:right w:type="dxa" w:w="110"/>
            </w:tcMar>
            <w:vAlign w:val="center"/>
          </w:tcPr>
          <w:p>
            <w:pPr>
              <w:spacing w:after="0" w:line="240"/>
            </w:pPr>
            <w:r>
              <w:rPr>
                <w:b/>
                <w:bCs/>
                <w:sz w:val="19"/>
                <w:szCs w:val="19"/>
              </w:rPr>
              <w:t xml:space="preserve">Licencja</w:t>
            </w:r>
          </w:p>
        </w:tc>
      </w:tr>
      <w:tr>
        <w:tc>
          <w:tcPr>
            <w:tcW w:type="dxa" w:w="1900"/>
            <w:tcMar>
              <w:top w:type="dxa" w:w="70"/>
              <w:left w:type="dxa" w:w="110"/>
              <w:bottom w:type="dxa" w:w="70"/>
              <w:right w:type="dxa" w:w="110"/>
            </w:tcMar>
            <w:vAlign w:val="center"/>
          </w:tcPr>
          <w:p>
            <w:pPr>
              <w:spacing w:after="0" w:line="240"/>
            </w:pPr>
            <w:r>
              <w:rPr>
                <w:sz w:val="19"/>
                <w:szCs w:val="19"/>
              </w:rPr>
              <w:t xml:space="preserve">PRG — punkty adresowe (GUGiK)</w:t>
            </w:r>
          </w:p>
        </w:tc>
        <w:tc>
          <w:tcPr>
            <w:tcW w:type="dxa" w:w="2400"/>
            <w:tcMar>
              <w:top w:type="dxa" w:w="70"/>
              <w:left w:type="dxa" w:w="110"/>
              <w:bottom w:type="dxa" w:w="70"/>
              <w:right w:type="dxa" w:w="110"/>
            </w:tcMar>
            <w:vAlign w:val="center"/>
          </w:tcPr>
          <w:p>
            <w:pPr>
              <w:spacing w:after="0" w:line="240"/>
            </w:pPr>
            <w:r>
              <w:rPr>
                <w:sz w:val="19"/>
                <w:szCs w:val="19"/>
              </w:rPr>
              <w:t xml:space="preserve">8 560 617 punktów adresowych, 302 793 ulic i placów (stan 31.03.2026)</w:t>
            </w:r>
          </w:p>
        </w:tc>
        <w:tc>
          <w:tcPr>
            <w:tcW w:type="dxa" w:w="2400"/>
            <w:tcMar>
              <w:top w:type="dxa" w:w="70"/>
              <w:left w:type="dxa" w:w="110"/>
              <w:bottom w:type="dxa" w:w="70"/>
              <w:right w:type="dxa" w:w="110"/>
            </w:tcMar>
            <w:vAlign w:val="center"/>
          </w:tcPr>
          <w:p>
            <w:pPr>
              <w:spacing w:after="0" w:line="240"/>
            </w:pPr>
            <w:r>
              <w:rPr>
                <w:sz w:val="19"/>
                <w:szCs w:val="19"/>
              </w:rPr>
              <w:t xml:space="preserve">Bezpłatnie, bez rejestracji</w:t>
            </w:r>
          </w:p>
        </w:tc>
        <w:tc>
          <w:tcPr>
            <w:tcW w:type="dxa" w:w="2326"/>
            <w:tcMar>
              <w:top w:type="dxa" w:w="70"/>
              <w:left w:type="dxa" w:w="110"/>
              <w:bottom w:type="dxa" w:w="70"/>
              <w:right w:type="dxa" w:w="110"/>
            </w:tcMar>
            <w:vAlign w:val="center"/>
          </w:tcPr>
          <w:p>
            <w:pPr>
              <w:spacing w:after="0" w:line="240"/>
            </w:pPr>
            <w:r>
              <w:rPr>
                <w:sz w:val="19"/>
                <w:szCs w:val="19"/>
              </w:rPr>
              <w:t xml:space="preserve">Bez licencji — art. 40c ust. 5 Prawa geodezyjnego. Wolno komercyjnie i redystrybuować</w:t>
            </w:r>
          </w:p>
        </w:tc>
      </w:tr>
      <w:tr>
        <w:tc>
          <w:tcPr>
            <w:tcW w:type="dxa" w:w="1900"/>
            <w:shd w:fill="F5F7F9" w:color="auto" w:val="clear"/>
            <w:tcMar>
              <w:top w:type="dxa" w:w="70"/>
              <w:left w:type="dxa" w:w="110"/>
              <w:bottom w:type="dxa" w:w="70"/>
              <w:right w:type="dxa" w:w="110"/>
            </w:tcMar>
            <w:vAlign w:val="center"/>
          </w:tcPr>
          <w:p>
            <w:pPr>
              <w:spacing w:after="0" w:line="240"/>
            </w:pPr>
            <w:r>
              <w:rPr>
                <w:sz w:val="19"/>
                <w:szCs w:val="19"/>
              </w:rPr>
              <w:t xml:space="preserve">TERYT (GUS)</w:t>
            </w:r>
          </w:p>
        </w:tc>
        <w:tc>
          <w:tcPr>
            <w:tcW w:type="dxa" w:w="2400"/>
            <w:shd w:fill="F5F7F9" w:color="auto" w:val="clear"/>
            <w:tcMar>
              <w:top w:type="dxa" w:w="70"/>
              <w:left w:type="dxa" w:w="110"/>
              <w:bottom w:type="dxa" w:w="70"/>
              <w:right w:type="dxa" w:w="110"/>
            </w:tcMar>
            <w:vAlign w:val="center"/>
          </w:tcPr>
          <w:p>
            <w:pPr>
              <w:spacing w:after="0" w:line="240"/>
            </w:pPr>
            <w:r>
              <w:rPr>
                <w:sz w:val="19"/>
                <w:szCs w:val="19"/>
              </w:rPr>
              <w:t xml:space="preserve">Rejestr jednostek podziału terytorialnego, miejscowości i ulic</w:t>
            </w:r>
          </w:p>
        </w:tc>
        <w:tc>
          <w:tcPr>
            <w:tcW w:type="dxa" w:w="2400"/>
            <w:shd w:fill="F5F7F9" w:color="auto" w:val="clear"/>
            <w:tcMar>
              <w:top w:type="dxa" w:w="70"/>
              <w:left w:type="dxa" w:w="110"/>
              <w:bottom w:type="dxa" w:w="70"/>
              <w:right w:type="dxa" w:w="110"/>
            </w:tcMar>
            <w:vAlign w:val="center"/>
          </w:tcPr>
          <w:p>
            <w:pPr>
              <w:spacing w:after="0" w:line="240"/>
            </w:pPr>
            <w:r>
              <w:rPr>
                <w:sz w:val="19"/>
                <w:szCs w:val="19"/>
              </w:rPr>
              <w:t xml:space="preserve">Pliki bez rejestracji — sprawdzone 6.08.2026. Usługa sieciowa nie odpowiadała na zapytania, konto produkcyjne po zgłoszeniu na teryt_ws1@stat.gov.pl</w:t>
            </w:r>
          </w:p>
        </w:tc>
        <w:tc>
          <w:tcPr>
            <w:tcW w:type="dxa" w:w="2326"/>
            <w:shd w:fill="F5F7F9" w:color="auto" w:val="clear"/>
            <w:tcMar>
              <w:top w:type="dxa" w:w="70"/>
              <w:left w:type="dxa" w:w="110"/>
              <w:bottom w:type="dxa" w:w="70"/>
              <w:right w:type="dxa" w:w="110"/>
            </w:tcMar>
            <w:vAlign w:val="center"/>
          </w:tcPr>
          <w:p>
            <w:pPr>
              <w:spacing w:after="0" w:line="240"/>
            </w:pPr>
            <w:r>
              <w:rPr>
                <w:sz w:val="19"/>
                <w:szCs w:val="19"/>
              </w:rPr>
              <w:t xml:space="preserve">Dane publiczne</w:t>
            </w:r>
          </w:p>
        </w:tc>
      </w:tr>
      <w:tr>
        <w:tc>
          <w:tcPr>
            <w:tcW w:type="dxa" w:w="1900"/>
            <w:tcMar>
              <w:top w:type="dxa" w:w="70"/>
              <w:left w:type="dxa" w:w="110"/>
              <w:bottom w:type="dxa" w:w="70"/>
              <w:right w:type="dxa" w:w="110"/>
            </w:tcMar>
            <w:vAlign w:val="center"/>
          </w:tcPr>
          <w:p>
            <w:pPr>
              <w:spacing w:after="0" w:line="240"/>
            </w:pPr>
            <w:r>
              <w:rPr>
                <w:sz w:val="19"/>
                <w:szCs w:val="19"/>
              </w:rPr>
              <w:t xml:space="preserve">iMPA (Geo-System)</w:t>
            </w:r>
          </w:p>
        </w:tc>
        <w:tc>
          <w:tcPr>
            <w:tcW w:type="dxa" w:w="2400"/>
            <w:tcMar>
              <w:top w:type="dxa" w:w="70"/>
              <w:left w:type="dxa" w:w="110"/>
              <w:bottom w:type="dxa" w:w="70"/>
              <w:right w:type="dxa" w:w="110"/>
            </w:tcMar>
            <w:vAlign w:val="center"/>
          </w:tcPr>
          <w:p>
            <w:pPr>
              <w:spacing w:after="0" w:line="240"/>
            </w:pPr>
            <w:r>
              <w:rPr>
                <w:sz w:val="19"/>
                <w:szCs w:val="19"/>
              </w:rPr>
              <w:t xml:space="preserve">Ok. 6,3 mln punktów, ewidencja prowadzona przez ok. 1400 gmin</w:t>
            </w:r>
          </w:p>
        </w:tc>
        <w:tc>
          <w:tcPr>
            <w:tcW w:type="dxa" w:w="2400"/>
            <w:tcMar>
              <w:top w:type="dxa" w:w="70"/>
              <w:left w:type="dxa" w:w="110"/>
              <w:bottom w:type="dxa" w:w="70"/>
              <w:right w:type="dxa" w:w="110"/>
            </w:tcMar>
            <w:vAlign w:val="center"/>
          </w:tcPr>
          <w:p>
            <w:pPr>
              <w:spacing w:after="0" w:line="240"/>
            </w:pPr>
            <w:r>
              <w:rPr>
                <w:sz w:val="19"/>
                <w:szCs w:val="19"/>
              </w:rPr>
              <w:t xml:space="preserve">Bezpłatnie</w:t>
            </w:r>
          </w:p>
        </w:tc>
        <w:tc>
          <w:tcPr>
            <w:tcW w:type="dxa" w:w="2326"/>
            <w:tcMar>
              <w:top w:type="dxa" w:w="70"/>
              <w:left w:type="dxa" w:w="110"/>
              <w:bottom w:type="dxa" w:w="70"/>
              <w:right w:type="dxa" w:w="110"/>
            </w:tcMar>
            <w:vAlign w:val="center"/>
          </w:tcPr>
          <w:p>
            <w:pPr>
              <w:spacing w:after="0" w:line="240"/>
            </w:pPr>
            <w:r>
              <w:rPr>
                <w:sz w:val="19"/>
                <w:szCs w:val="19"/>
              </w:rPr>
              <w:t xml:space="preserve">Niejasna — wymaga pisemnego potwierdzenia</w:t>
            </w:r>
          </w:p>
        </w:tc>
      </w:tr>
      <w:tr>
        <w:tc>
          <w:tcPr>
            <w:tcW w:type="dxa" w:w="1900"/>
            <w:shd w:fill="F5F7F9" w:color="auto" w:val="clear"/>
            <w:tcMar>
              <w:top w:type="dxa" w:w="70"/>
              <w:left w:type="dxa" w:w="110"/>
              <w:bottom w:type="dxa" w:w="70"/>
              <w:right w:type="dxa" w:w="110"/>
            </w:tcMar>
            <w:vAlign w:val="center"/>
          </w:tcPr>
          <w:p>
            <w:pPr>
              <w:spacing w:after="0" w:line="240"/>
            </w:pPr>
            <w:r>
              <w:rPr>
                <w:sz w:val="19"/>
                <w:szCs w:val="19"/>
              </w:rPr>
              <w:t xml:space="preserve">Spis PNA (Poczta Polska)</w:t>
            </w:r>
          </w:p>
        </w:tc>
        <w:tc>
          <w:tcPr>
            <w:tcW w:type="dxa" w:w="2400"/>
            <w:shd w:fill="F5F7F9" w:color="auto" w:val="clear"/>
            <w:tcMar>
              <w:top w:type="dxa" w:w="70"/>
              <w:left w:type="dxa" w:w="110"/>
              <w:bottom w:type="dxa" w:w="70"/>
              <w:right w:type="dxa" w:w="110"/>
            </w:tcMar>
            <w:vAlign w:val="center"/>
          </w:tcPr>
          <w:p>
            <w:pPr>
              <w:spacing w:after="0" w:line="240"/>
            </w:pPr>
            <w:r>
              <w:rPr>
                <w:sz w:val="19"/>
                <w:szCs w:val="19"/>
              </w:rPr>
              <w:t xml:space="preserve">Kody pocztowe według zakresów numerycznych — jedyne źródło autorytatywne</w:t>
            </w:r>
          </w:p>
        </w:tc>
        <w:tc>
          <w:tcPr>
            <w:tcW w:type="dxa" w:w="2400"/>
            <w:shd w:fill="F5F7F9" w:color="auto" w:val="clear"/>
            <w:tcMar>
              <w:top w:type="dxa" w:w="70"/>
              <w:left w:type="dxa" w:w="110"/>
              <w:bottom w:type="dxa" w:w="70"/>
              <w:right w:type="dxa" w:w="110"/>
            </w:tcMar>
            <w:vAlign w:val="center"/>
          </w:tcPr>
          <w:p>
            <w:pPr>
              <w:spacing w:after="0" w:line="240"/>
            </w:pPr>
            <w:r>
              <w:rPr>
                <w:sz w:val="19"/>
                <w:szCs w:val="19"/>
              </w:rPr>
              <w:t xml:space="preserve">Wyszukiwarka bezpłatna; plik danych płatny</w:t>
            </w:r>
          </w:p>
        </w:tc>
        <w:tc>
          <w:tcPr>
            <w:tcW w:type="dxa" w:w="2326"/>
            <w:shd w:fill="F5F7F9" w:color="auto" w:val="clear"/>
            <w:tcMar>
              <w:top w:type="dxa" w:w="70"/>
              <w:left w:type="dxa" w:w="110"/>
              <w:bottom w:type="dxa" w:w="70"/>
              <w:right w:type="dxa" w:w="110"/>
            </w:tcMar>
            <w:vAlign w:val="center"/>
          </w:tcPr>
          <w:p>
            <w:pPr>
              <w:spacing w:after="0" w:line="240"/>
            </w:pPr>
            <w:r>
              <w:rPr>
                <w:sz w:val="19"/>
                <w:szCs w:val="19"/>
              </w:rPr>
              <w:t xml:space="preserve">Zakaz redystrybucji</w:t>
            </w:r>
          </w:p>
        </w:tc>
      </w:tr>
    </w:tbl>
    <w:p>
      <w:pPr>
        <w:spacing w:after="160"/>
      </w:pPr>
    </w:p>
    <w:p>
      <w:pPr>
        <w:pStyle w:val="Heading2"/>
        <w:spacing w:after="140" w:before="280"/>
      </w:pPr>
      <w:r>
        <w:t xml:space="preserve">3.2. Pułapka pozornej redundancji</w:t>
      </w:r>
    </w:p>
    <w:p>
      <w:pPr>
        <w:spacing w:after="120" w:line="276"/>
      </w:pPr>
      <w:r>
        <w:rPr>
          <w:sz w:val="21"/>
          <w:szCs w:val="21"/>
        </w:rPr>
        <w:t xml:space="preserve">W trakcie analizy ustalono fakt istotny dla oceny ryzyka: popularne alternatywne źródła danych adresowych dla Polski — Overture Maps, OpenAddresses oraz w znacznej części OpenStreetMap — nie są źródłami niezależnymi. Wszystkie pobierają dane z tego samego pliku rejestru PRG.</w:t>
      </w:r>
    </w:p>
    <w:p>
      <w:pPr>
        <w:spacing w:after="120" w:line="276"/>
      </w:pPr>
      <w:r>
        <w:rPr>
          <w:sz w:val="21"/>
          <w:szCs w:val="21"/>
        </w:rPr>
        <w:t xml:space="preserve">Potwierdzenie: projekt OpenAddresses w definicji polskich źródeł wskazuje wprost na adres pliku PRG na serwerze GUGiK, a Overture Maps w informacji o atrybucji podaje, że dane dla Polski są dystrybuowane przez OpenAddresses. Liczby to potwierdzają — PRG podaje 8 560 617 punktów, Overture 8 584 407.</w:t>
      </w:r>
    </w:p>
    <w:p>
      <w:pPr>
        <w:pBdr>
          <w:top w:val="single" w:color="D5DBE0" w:sz="4"/>
          <w:bottom w:val="single" w:color="D5DBE0" w:sz="0"/>
          <w:left w:val="single" w:color="D5DBE0" w:sz="4"/>
          <w:right w:val="single" w:color="D5DBE0" w:sz="4"/>
        </w:pBdr>
        <w:shd w:fill="FDF1E7" w:color="auto" w:val="clear"/>
        <w:spacing w:after="0" w:before="160" w:line="276"/>
        <w:ind w:left="120" w:right="120"/>
      </w:pPr>
      <w:r>
        <w:rPr>
          <w:b/>
          <w:bCs/>
          <w:sz w:val="21"/>
          <w:szCs w:val="21"/>
        </w:rPr>
        <w:t xml:space="preserve">Konsekwencja praktyczna</w:t>
      </w:r>
    </w:p>
    <w:p>
      <w:pPr>
        <w:pBdr>
          <w:top w:val="single" w:color="D5DBE0" w:sz="0"/>
          <w:bottom w:val="single" w:color="D5DBE0" w:sz="0"/>
          <w:left w:val="single" w:color="D5DBE0" w:sz="4"/>
          <w:right w:val="single" w:color="D5DBE0" w:sz="4"/>
        </w:pBdr>
        <w:shd w:fill="FDF1E7" w:color="auto" w:val="clear"/>
        <w:spacing w:after="60" w:line="276"/>
        <w:ind w:left="120" w:right="120"/>
      </w:pPr>
      <w:r>
        <w:rPr>
          <w:sz w:val="20"/>
          <w:szCs w:val="20"/>
        </w:rPr>
        <w:t xml:space="preserve">Gdyby rejestr PRG przestał być dostępny, wszystkie trzy alternatywy zamrożą się na ostatniej pobranej wersji i przestaną się aktualizować. Nie zapewniają zabezpieczenia.</w:t>
      </w:r>
    </w:p>
    <w:p>
      <w:pPr>
        <w:pBdr>
          <w:top w:val="single" w:color="D5DBE0" w:sz="0"/>
          <w:bottom w:val="single" w:color="D5DBE0" w:sz="0"/>
          <w:left w:val="single" w:color="D5DBE0" w:sz="4"/>
          <w:right w:val="single" w:color="D5DBE0" w:sz="4"/>
        </w:pBdr>
        <w:shd w:fill="FDF1E7" w:color="auto" w:val="clear"/>
        <w:spacing w:after="60" w:line="276"/>
        <w:ind w:left="120" w:right="120"/>
      </w:pPr>
      <w:r>
        <w:rPr>
          <w:sz w:val="20"/>
          <w:szCs w:val="20"/>
        </w:rPr>
        <w:t xml:space="preserve">Jedynym niezależnym źródłem o zasięgu krajowym jest iMPA — system, w którym ok. 1400 gmin prowadzi ewidencję adresową, czyli źródło zasilające PRG. Prowadzi go podmiot komercyjny, więc ryzyko ma inny charakter niż ryzyko po stronie administracji.</w:t>
      </w:r>
    </w:p>
    <w:p>
      <w:pPr>
        <w:pBdr>
          <w:top w:val="single" w:color="D5DBE0" w:sz="0"/>
          <w:bottom w:val="single" w:color="D5DBE0" w:sz="4"/>
          <w:left w:val="single" w:color="D5DBE0" w:sz="4"/>
          <w:right w:val="single" w:color="D5DBE0" w:sz="4"/>
        </w:pBdr>
        <w:shd w:fill="FDF1E7" w:color="auto" w:val="clear"/>
        <w:spacing w:after="0" w:line="276"/>
        <w:ind w:left="120" w:right="120"/>
      </w:pPr>
      <w:r>
        <w:rPr>
          <w:sz w:val="20"/>
          <w:szCs w:val="20"/>
        </w:rPr>
        <w:t xml:space="preserve">Uzupełniająco, ale wyłącznie lokalnie, dostępne są otwarte dane dużych miast — patrz poziom 3 w rozdziale 7.3.</w:t>
      </w:r>
    </w:p>
    <w:p>
      <w:pPr>
        <w:spacing w:after="180"/>
      </w:pPr>
    </w:p>
    <w:p>
      <w:pPr>
        <w:pStyle w:val="Heading2"/>
        <w:spacing w:after="140" w:before="280"/>
      </w:pPr>
      <w:r>
        <w:t xml:space="preserve">3.3. Kwestie licencyjne</w:t>
      </w:r>
    </w:p>
    <w:p>
      <w:pPr>
        <w:spacing w:after="120" w:line="276"/>
      </w:pPr>
      <w:r>
        <w:rPr>
          <w:sz w:val="21"/>
          <w:szCs w:val="21"/>
        </w:rPr>
        <w:t xml:space="preserve">Rejestr PRG jest wolny od ograniczeń licencyjnych. Zgodnie z art. 40a ust. 2 pkt 1 lit. a ustawy Prawo geodezyjne i kartograficzne dane są udostępniane nieodpłatnie, a art. 40c ust. 5 stanowi wprost, że licencji dla tych materiałów nie wydaje się. Jedynym obowiązkiem, wynikającym z art. 40c ust. 3, jest podanie informacji o źródle w publikowanych opracowaniach.</w:t>
      </w:r>
    </w:p>
    <w:p>
      <w:pPr>
        <w:pBdr>
          <w:top w:val="single" w:color="D5DBE0" w:sz="4"/>
          <w:bottom w:val="single" w:color="D5DBE0" w:sz="0"/>
          <w:left w:val="single" w:color="D5DBE0" w:sz="4"/>
          <w:right w:val="single" w:color="D5DBE0" w:sz="4"/>
        </w:pBdr>
        <w:shd w:fill="FDF1E7" w:color="auto" w:val="clear"/>
        <w:spacing w:after="0" w:before="160" w:line="276"/>
        <w:ind w:left="120" w:right="120"/>
      </w:pPr>
      <w:r>
        <w:rPr>
          <w:b/>
          <w:bCs/>
          <w:sz w:val="21"/>
          <w:szCs w:val="21"/>
        </w:rPr>
        <w:t xml:space="preserve">Ostrzeżenie: OpenStreetMap i licencja ODbL</w:t>
      </w:r>
    </w:p>
    <w:p>
      <w:pPr>
        <w:pBdr>
          <w:top w:val="single" w:color="D5DBE0" w:sz="0"/>
          <w:bottom w:val="single" w:color="D5DBE0" w:sz="0"/>
          <w:left w:val="single" w:color="D5DBE0" w:sz="4"/>
          <w:right w:val="single" w:color="D5DBE0" w:sz="4"/>
        </w:pBdr>
        <w:shd w:fill="FDF1E7" w:color="auto" w:val="clear"/>
        <w:spacing w:after="60" w:line="276"/>
        <w:ind w:left="120" w:right="120"/>
      </w:pPr>
      <w:r>
        <w:rPr>
          <w:sz w:val="20"/>
          <w:szCs w:val="20"/>
        </w:rPr>
        <w:t xml:space="preserve">Dane OpenStreetMap są objęte licencją ODbL zawierającą klauzulę share-alike. Włączenie ich do produktowej bazy adresowej może rodzić obowiązek udostępnienia całej bazy pochodnej na tej samej licencji.</w:t>
      </w:r>
    </w:p>
    <w:p>
      <w:pPr>
        <w:pBdr>
          <w:top w:val="single" w:color="D5DBE0" w:sz="0"/>
          <w:bottom w:val="single" w:color="D5DBE0" w:sz="4"/>
          <w:left w:val="single" w:color="D5DBE0" w:sz="4"/>
          <w:right w:val="single" w:color="D5DBE0" w:sz="4"/>
        </w:pBdr>
        <w:shd w:fill="FDF1E7" w:color="auto" w:val="clear"/>
        <w:spacing w:after="0" w:line="276"/>
        <w:ind w:left="120" w:right="120"/>
      </w:pPr>
      <w:r>
        <w:rPr>
          <w:sz w:val="20"/>
          <w:szCs w:val="20"/>
        </w:rPr>
        <w:t xml:space="preserve">W zbudowanym rozwiązaniu dane OSM są odseparowane na poziomie schematu bazy danych i służą wyłącznie do wykrywania luk w rejestrze PRG. Żaden rekord z tego obszaru nie trafia do danych produktowych. Zasada ta jest zapisana w komentarzu do schematu bazy.</w:t>
      </w:r>
    </w:p>
    <w:p>
      <w:pPr>
        <w:spacing w:after="180"/>
      </w:pPr>
    </w:p>
    <w:p>
      <w:r>
        <w:br w:type="page"/>
      </w:r>
    </w:p>
    <w:p>
      <w:pPr>
        <w:pStyle w:val="Heading1"/>
        <w:spacing w:after="180" w:before="360"/>
      </w:pPr>
      <w:r>
        <w:t xml:space="preserve">4. Ryzyka i kalendarz zmian</w:t>
      </w:r>
    </w:p>
    <w:p>
      <w:pPr>
        <w:pStyle w:val="Heading2"/>
        <w:spacing w:after="140" w:before="280"/>
      </w:pPr>
      <w:r>
        <w:t xml:space="preserve">4.1. Kalendarz</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600"/>
        <w:gridCol w:w="3926"/>
      </w:tblGrid>
      <w:tr>
        <w:trPr>
          <w:tblHeader/>
        </w:trPr>
        <w:tc>
          <w:tcPr>
            <w:tcW w:type="dxa" w:w="1500"/>
            <w:shd w:fill="E8EDF2" w:color="auto" w:val="clear"/>
            <w:tcMar>
              <w:top w:type="dxa" w:w="70"/>
              <w:left w:type="dxa" w:w="110"/>
              <w:bottom w:type="dxa" w:w="70"/>
              <w:right w:type="dxa" w:w="110"/>
            </w:tcMar>
            <w:vAlign w:val="center"/>
          </w:tcPr>
          <w:p>
            <w:pPr>
              <w:spacing w:after="0" w:line="240"/>
            </w:pPr>
            <w:r>
              <w:rPr>
                <w:b/>
                <w:bCs/>
                <w:sz w:val="19"/>
                <w:szCs w:val="19"/>
              </w:rPr>
              <w:t xml:space="preserve">Data</w:t>
            </w:r>
          </w:p>
        </w:tc>
        <w:tc>
          <w:tcPr>
            <w:tcW w:type="dxa" w:w="3600"/>
            <w:shd w:fill="E8EDF2" w:color="auto" w:val="clear"/>
            <w:tcMar>
              <w:top w:type="dxa" w:w="70"/>
              <w:left w:type="dxa" w:w="110"/>
              <w:bottom w:type="dxa" w:w="70"/>
              <w:right w:type="dxa" w:w="110"/>
            </w:tcMar>
            <w:vAlign w:val="center"/>
          </w:tcPr>
          <w:p>
            <w:pPr>
              <w:spacing w:after="0" w:line="240"/>
            </w:pPr>
            <w:r>
              <w:rPr>
                <w:b/>
                <w:bCs/>
                <w:sz w:val="19"/>
                <w:szCs w:val="19"/>
              </w:rPr>
              <w:t xml:space="preserve">Zdarzenie</w:t>
            </w:r>
          </w:p>
        </w:tc>
        <w:tc>
          <w:tcPr>
            <w:tcW w:type="dxa" w:w="3926"/>
            <w:shd w:fill="E8EDF2" w:color="auto" w:val="clear"/>
            <w:tcMar>
              <w:top w:type="dxa" w:w="70"/>
              <w:left w:type="dxa" w:w="110"/>
              <w:bottom w:type="dxa" w:w="70"/>
              <w:right w:type="dxa" w:w="110"/>
            </w:tcMar>
            <w:vAlign w:val="center"/>
          </w:tcPr>
          <w:p>
            <w:pPr>
              <w:spacing w:after="0" w:line="240"/>
            </w:pPr>
            <w:r>
              <w:rPr>
                <w:b/>
                <w:bCs/>
                <w:sz w:val="19"/>
                <w:szCs w:val="19"/>
              </w:rPr>
              <w:t xml:space="preserve">Wpływ na projekt</w:t>
            </w:r>
          </w:p>
        </w:tc>
      </w:tr>
      <w:tr>
        <w:tc>
          <w:tcPr>
            <w:tcW w:type="dxa" w:w="1500"/>
            <w:tcMar>
              <w:top w:type="dxa" w:w="70"/>
              <w:left w:type="dxa" w:w="110"/>
              <w:bottom w:type="dxa" w:w="70"/>
              <w:right w:type="dxa" w:w="110"/>
            </w:tcMar>
            <w:vAlign w:val="center"/>
          </w:tcPr>
          <w:p>
            <w:pPr>
              <w:spacing w:after="0" w:line="240"/>
            </w:pPr>
            <w:r>
              <w:rPr>
                <w:sz w:val="19"/>
                <w:szCs w:val="19"/>
              </w:rPr>
              <w:t xml:space="preserve">1.07.2026</w:t>
            </w:r>
          </w:p>
        </w:tc>
        <w:tc>
          <w:tcPr>
            <w:tcW w:type="dxa" w:w="3600"/>
            <w:tcMar>
              <w:top w:type="dxa" w:w="70"/>
              <w:left w:type="dxa" w:w="110"/>
              <w:bottom w:type="dxa" w:w="70"/>
              <w:right w:type="dxa" w:w="110"/>
            </w:tcMar>
            <w:vAlign w:val="center"/>
          </w:tcPr>
          <w:p>
            <w:pPr>
              <w:spacing w:after="0" w:line="240"/>
            </w:pPr>
            <w:r>
              <w:rPr>
                <w:sz w:val="19"/>
                <w:szCs w:val="19"/>
              </w:rPr>
              <w:t xml:space="preserve">Koniec publikacji danych SHP w starej strukturze</w:t>
            </w:r>
          </w:p>
        </w:tc>
        <w:tc>
          <w:tcPr>
            <w:tcW w:type="dxa" w:w="3926"/>
            <w:tcMar>
              <w:top w:type="dxa" w:w="70"/>
              <w:left w:type="dxa" w:w="110"/>
              <w:bottom w:type="dxa" w:w="70"/>
              <w:right w:type="dxa" w:w="110"/>
            </w:tcMar>
            <w:vAlign w:val="center"/>
          </w:tcPr>
          <w:p>
            <w:pPr>
              <w:spacing w:after="0" w:line="240"/>
            </w:pPr>
            <w:r>
              <w:rPr>
                <w:sz w:val="19"/>
                <w:szCs w:val="19"/>
              </w:rPr>
              <w:t xml:space="preserve">Zrealizowane, bez wpływu — korzystamy z formatu GML</w:t>
            </w:r>
          </w:p>
        </w:tc>
      </w:tr>
      <w:tr>
        <w:tc>
          <w:tcPr>
            <w:tcW w:type="dxa" w:w="1500"/>
            <w:shd w:fill="F5F7F9" w:color="auto" w:val="clear"/>
            <w:tcMar>
              <w:top w:type="dxa" w:w="70"/>
              <w:left w:type="dxa" w:w="110"/>
              <w:bottom w:type="dxa" w:w="70"/>
              <w:right w:type="dxa" w:w="110"/>
            </w:tcMar>
            <w:vAlign w:val="center"/>
          </w:tcPr>
          <w:p>
            <w:pPr>
              <w:spacing w:after="0" w:line="240"/>
            </w:pPr>
            <w:r>
              <w:rPr>
                <w:sz w:val="19"/>
                <w:szCs w:val="19"/>
              </w:rPr>
              <w:t xml:space="preserve">1.09.2026</w:t>
            </w:r>
          </w:p>
        </w:tc>
        <w:tc>
          <w:tcPr>
            <w:tcW w:type="dxa" w:w="3600"/>
            <w:shd w:fill="F5F7F9" w:color="auto" w:val="clear"/>
            <w:tcMar>
              <w:top w:type="dxa" w:w="70"/>
              <w:left w:type="dxa" w:w="110"/>
              <w:bottom w:type="dxa" w:w="70"/>
              <w:right w:type="dxa" w:w="110"/>
            </w:tcMar>
            <w:vAlign w:val="center"/>
          </w:tcPr>
          <w:p>
            <w:pPr>
              <w:spacing w:after="0" w:line="240"/>
            </w:pPr>
            <w:r>
              <w:rPr>
                <w:sz w:val="19"/>
                <w:szCs w:val="19"/>
              </w:rPr>
              <w:t xml:space="preserve">Koniec publikacji danych GML w starej strukturze</w:t>
            </w:r>
          </w:p>
        </w:tc>
        <w:tc>
          <w:tcPr>
            <w:tcW w:type="dxa" w:w="3926"/>
            <w:shd w:fill="F5F7F9" w:color="auto" w:val="clear"/>
            <w:tcMar>
              <w:top w:type="dxa" w:w="70"/>
              <w:left w:type="dxa" w:w="110"/>
              <w:bottom w:type="dxa" w:w="70"/>
              <w:right w:type="dxa" w:w="110"/>
            </w:tcMar>
            <w:vAlign w:val="center"/>
          </w:tcPr>
          <w:p>
            <w:pPr>
              <w:spacing w:after="0" w:line="240"/>
            </w:pPr>
            <w:r>
              <w:rPr>
                <w:sz w:val="19"/>
                <w:szCs w:val="19"/>
              </w:rPr>
              <w:t xml:space="preserve">Ograniczony — archiwizacja wykonana 6.08.2026, parser potwierdzony na rzeczywistym pliku. Pozostaje brak trzech atrybutów w danych bieżących</w:t>
            </w:r>
          </w:p>
        </w:tc>
      </w:tr>
      <w:tr>
        <w:tc>
          <w:tcPr>
            <w:tcW w:type="dxa" w:w="1500"/>
            <w:tcMar>
              <w:top w:type="dxa" w:w="70"/>
              <w:left w:type="dxa" w:w="110"/>
              <w:bottom w:type="dxa" w:w="70"/>
              <w:right w:type="dxa" w:w="110"/>
            </w:tcMar>
            <w:vAlign w:val="center"/>
          </w:tcPr>
          <w:p>
            <w:pPr>
              <w:spacing w:after="0" w:line="240"/>
            </w:pPr>
            <w:r>
              <w:rPr>
                <w:sz w:val="19"/>
                <w:szCs w:val="19"/>
              </w:rPr>
              <w:t xml:space="preserve">5.10.2026</w:t>
            </w:r>
          </w:p>
        </w:tc>
        <w:tc>
          <w:tcPr>
            <w:tcW w:type="dxa" w:w="3600"/>
            <w:tcMar>
              <w:top w:type="dxa" w:w="70"/>
              <w:left w:type="dxa" w:w="110"/>
              <w:bottom w:type="dxa" w:w="70"/>
              <w:right w:type="dxa" w:w="110"/>
            </w:tcMar>
            <w:vAlign w:val="center"/>
          </w:tcPr>
          <w:p>
            <w:pPr>
              <w:spacing w:after="0" w:line="240"/>
            </w:pPr>
            <w:r>
              <w:rPr>
                <w:sz w:val="19"/>
                <w:szCs w:val="19"/>
              </w:rPr>
              <w:t xml:space="preserve">Głosowanie Parlamentu Europejskiego nad zmianą dyrektywy INSPIRE</w:t>
            </w:r>
          </w:p>
        </w:tc>
        <w:tc>
          <w:tcPr>
            <w:tcW w:type="dxa" w:w="3926"/>
            <w:tcMar>
              <w:top w:type="dxa" w:w="70"/>
              <w:left w:type="dxa" w:w="110"/>
              <w:bottom w:type="dxa" w:w="70"/>
              <w:right w:type="dxa" w:w="110"/>
            </w:tcMar>
            <w:vAlign w:val="center"/>
          </w:tcPr>
          <w:p>
            <w:pPr>
              <w:spacing w:after="0" w:line="240"/>
            </w:pPr>
            <w:r>
              <w:rPr>
                <w:sz w:val="19"/>
                <w:szCs w:val="19"/>
              </w:rPr>
              <w:t xml:space="preserve">Kierunkowy, bez bezpośrednich skutków</w:t>
            </w:r>
          </w:p>
        </w:tc>
      </w:tr>
      <w:tr>
        <w:tc>
          <w:tcPr>
            <w:tcW w:type="dxa" w:w="1500"/>
            <w:shd w:fill="F5F7F9" w:color="auto" w:val="clear"/>
            <w:tcMar>
              <w:top w:type="dxa" w:w="70"/>
              <w:left w:type="dxa" w:w="110"/>
              <w:bottom w:type="dxa" w:w="70"/>
              <w:right w:type="dxa" w:w="110"/>
            </w:tcMar>
            <w:vAlign w:val="center"/>
          </w:tcPr>
          <w:p>
            <w:pPr>
              <w:spacing w:after="0" w:line="240"/>
            </w:pPr>
            <w:r>
              <w:rPr>
                <w:sz w:val="19"/>
                <w:szCs w:val="19"/>
              </w:rPr>
              <w:t xml:space="preserve">ok. 2028–2029</w:t>
            </w:r>
          </w:p>
        </w:tc>
        <w:tc>
          <w:tcPr>
            <w:tcW w:type="dxa" w:w="3600"/>
            <w:shd w:fill="F5F7F9" w:color="auto" w:val="clear"/>
            <w:tcMar>
              <w:top w:type="dxa" w:w="70"/>
              <w:left w:type="dxa" w:w="110"/>
              <w:bottom w:type="dxa" w:w="70"/>
              <w:right w:type="dxa" w:w="110"/>
            </w:tcMar>
            <w:vAlign w:val="center"/>
          </w:tcPr>
          <w:p>
            <w:pPr>
              <w:spacing w:after="0" w:line="240"/>
            </w:pPr>
            <w:r>
              <w:rPr>
                <w:sz w:val="19"/>
                <w:szCs w:val="19"/>
              </w:rPr>
              <w:t xml:space="preserve">Transpozycja zmienionej dyrektywy INSPIRE</w:t>
            </w:r>
          </w:p>
        </w:tc>
        <w:tc>
          <w:tcPr>
            <w:tcW w:type="dxa" w:w="3926"/>
            <w:shd w:fill="F5F7F9" w:color="auto" w:val="clear"/>
            <w:tcMar>
              <w:top w:type="dxa" w:w="70"/>
              <w:left w:type="dxa" w:w="110"/>
              <w:bottom w:type="dxa" w:w="70"/>
              <w:right w:type="dxa" w:w="110"/>
            </w:tcMar>
            <w:vAlign w:val="center"/>
          </w:tcPr>
          <w:p>
            <w:pPr>
              <w:spacing w:after="0" w:line="240"/>
            </w:pPr>
            <w:r>
              <w:rPr>
                <w:sz w:val="19"/>
                <w:szCs w:val="19"/>
              </w:rPr>
              <w:t xml:space="preserve">Średni — zanikają unijne wymogi dotyczące usług sieciowych</w:t>
            </w:r>
          </w:p>
        </w:tc>
      </w:tr>
      <w:tr>
        <w:tc>
          <w:tcPr>
            <w:tcW w:type="dxa" w:w="1500"/>
            <w:tcMar>
              <w:top w:type="dxa" w:w="70"/>
              <w:left w:type="dxa" w:w="110"/>
              <w:bottom w:type="dxa" w:w="70"/>
              <w:right w:type="dxa" w:w="110"/>
            </w:tcMar>
            <w:vAlign w:val="center"/>
          </w:tcPr>
          <w:p>
            <w:pPr>
              <w:spacing w:after="0" w:line="240"/>
            </w:pPr>
            <w:r>
              <w:rPr>
                <w:sz w:val="19"/>
                <w:szCs w:val="19"/>
              </w:rPr>
              <w:t xml:space="preserve">bez daty</w:t>
            </w:r>
          </w:p>
        </w:tc>
        <w:tc>
          <w:tcPr>
            <w:tcW w:type="dxa" w:w="3600"/>
            <w:tcMar>
              <w:top w:type="dxa" w:w="70"/>
              <w:left w:type="dxa" w:w="110"/>
              <w:bottom w:type="dxa" w:w="70"/>
              <w:right w:type="dxa" w:w="110"/>
            </w:tcMar>
            <w:vAlign w:val="center"/>
          </w:tcPr>
          <w:p>
            <w:pPr>
              <w:spacing w:after="0" w:line="240"/>
            </w:pPr>
            <w:r>
              <w:rPr>
                <w:sz w:val="19"/>
                <w:szCs w:val="19"/>
              </w:rPr>
              <w:t xml:space="preserve">Projekt nowelizacji Prawa geodezyjnego — uprawnienie MON do ograniczania dostępu</w:t>
            </w:r>
          </w:p>
        </w:tc>
        <w:tc>
          <w:tcPr>
            <w:tcW w:type="dxa" w:w="3926"/>
            <w:tcMar>
              <w:top w:type="dxa" w:w="70"/>
              <w:left w:type="dxa" w:w="110"/>
              <w:bottom w:type="dxa" w:w="70"/>
              <w:right w:type="dxa" w:w="110"/>
            </w:tcMar>
            <w:vAlign w:val="center"/>
          </w:tcPr>
          <w:p>
            <w:pPr>
              <w:spacing w:after="0" w:line="240"/>
            </w:pPr>
            <w:r>
              <w:rPr>
                <w:sz w:val="19"/>
                <w:szCs w:val="19"/>
              </w:rPr>
              <w:t xml:space="preserve">Niski — dotyczy terenów obronnych</w:t>
            </w:r>
          </w:p>
        </w:tc>
      </w:tr>
    </w:tbl>
    <w:p>
      <w:pPr>
        <w:spacing w:after="160"/>
      </w:pPr>
    </w:p>
    <w:p>
      <w:pPr>
        <w:pStyle w:val="Heading2"/>
        <w:spacing w:after="140" w:before="280"/>
      </w:pPr>
      <w:r>
        <w:t xml:space="preserve">4.2. Incydenty historyczne po stronie źródła</w:t>
      </w:r>
    </w:p>
    <w:p>
      <w:pPr>
        <w:spacing w:after="120" w:line="276"/>
      </w:pPr>
      <w:r>
        <w:rPr>
          <w:sz w:val="21"/>
          <w:szCs w:val="21"/>
        </w:rPr>
        <w:t xml:space="preserve">Analiza dostępności rejestru PRG w poprzednich latach wykazała dwa typy zdarzeń, które przekładają się bezpośrednio na wymagania wobec procesu aktualizacji:</w:t>
      </w:r>
    </w:p>
    <w:p>
      <w:pPr>
        <w:pStyle w:val="ListParagraph"/>
        <w:numPr>
          <w:ilvl w:val="0"/>
          <w:numId w:val="2"/>
        </w:numPr>
        <w:spacing w:after="80" w:line="276"/>
      </w:pPr>
      <w:r>
        <w:rPr>
          <w:b/>
          <w:bCs/>
          <w:sz w:val="21"/>
          <w:szCs w:val="21"/>
        </w:rPr>
        <w:t xml:space="preserve">Czerwiec 2024 — dane zamrożone. </w:t>
      </w:r>
      <w:r>
        <w:rPr>
          <w:sz w:val="21"/>
          <w:szCs w:val="21"/>
        </w:rPr>
        <w:t xml:space="preserve">Paczki nie były odświeżane przez co najmniej dwa tygodnie. Problem wykryła i zgłosiła firma zewnętrzna, nie instytucja prowadząca rejestr.</w:t>
      </w:r>
    </w:p>
    <w:p>
      <w:pPr>
        <w:pStyle w:val="ListParagraph"/>
        <w:numPr>
          <w:ilvl w:val="0"/>
          <w:numId w:val="2"/>
        </w:numPr>
        <w:spacing w:after="80" w:line="276"/>
      </w:pPr>
      <w:r>
        <w:rPr>
          <w:b/>
          <w:bCs/>
          <w:sz w:val="21"/>
          <w:szCs w:val="21"/>
        </w:rPr>
        <w:t xml:space="preserve">Marzec 2016 — zrzut niekompletny. </w:t>
      </w:r>
      <w:r>
        <w:rPr>
          <w:sz w:val="21"/>
          <w:szCs w:val="21"/>
        </w:rPr>
        <w:t xml:space="preserve">Opublikowany plik nie zawierał danych Wrocławia. Podobny przypadek dotyczył Białegostoku.</w:t>
      </w:r>
    </w:p>
    <w:p>
      <w:pPr>
        <w:spacing w:after="120" w:line="276"/>
      </w:pPr>
      <w:r>
        <w:rPr>
          <w:sz w:val="21"/>
          <w:szCs w:val="21"/>
        </w:rPr>
        <w:t xml:space="preserve">Wniosek: poprawna odpowiedź serwera i poprawny plik archiwum nie stanowią wystarczającego potwierdzenia jakości danych. Z tego powodu proces aktualizacji zawiera zestaw kontroli opisany w rozdziale 7.2.</w:t>
      </w:r>
    </w:p>
    <w:p>
      <w:pPr>
        <w:pStyle w:val="Heading2"/>
        <w:spacing w:after="140" w:before="280"/>
      </w:pPr>
      <w:r>
        <w:t xml:space="preserve">4.3. Ograniczenia po stronie źródła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tblHeader/>
        </w:trPr>
        <w:tc>
          <w:tcPr>
            <w:tcW w:type="dxa" w:w="4000"/>
            <w:shd w:fill="E8EDF2" w:color="auto" w:val="clear"/>
            <w:tcMar>
              <w:top w:type="dxa" w:w="70"/>
              <w:left w:type="dxa" w:w="110"/>
              <w:bottom w:type="dxa" w:w="70"/>
              <w:right w:type="dxa" w:w="110"/>
            </w:tcMar>
            <w:vAlign w:val="center"/>
          </w:tcPr>
          <w:p>
            <w:pPr>
              <w:spacing w:after="0" w:line="240"/>
            </w:pPr>
            <w:r>
              <w:rPr>
                <w:b/>
                <w:bCs/>
                <w:sz w:val="19"/>
                <w:szCs w:val="19"/>
              </w:rPr>
              <w:t xml:space="preserve">Czego brakuje</w:t>
            </w:r>
          </w:p>
        </w:tc>
        <w:tc>
          <w:tcPr>
            <w:tcW w:type="dxa" w:w="5026"/>
            <w:shd w:fill="E8EDF2" w:color="auto" w:val="clear"/>
            <w:tcMar>
              <w:top w:type="dxa" w:w="70"/>
              <w:left w:type="dxa" w:w="110"/>
              <w:bottom w:type="dxa" w:w="70"/>
              <w:right w:type="dxa" w:w="110"/>
            </w:tcMar>
            <w:vAlign w:val="center"/>
          </w:tcPr>
          <w:p>
            <w:pPr>
              <w:spacing w:after="0" w:line="240"/>
            </w:pPr>
            <w:r>
              <w:rPr>
                <w:b/>
                <w:bCs/>
                <w:sz w:val="19"/>
                <w:szCs w:val="19"/>
              </w:rPr>
              <w:t xml:space="preserve">Zastosowane obejście</w:t>
            </w:r>
          </w:p>
        </w:tc>
      </w:tr>
      <w:tr>
        <w:tc>
          <w:tcPr>
            <w:tcW w:type="dxa" w:w="4000"/>
            <w:tcMar>
              <w:top w:type="dxa" w:w="70"/>
              <w:left w:type="dxa" w:w="110"/>
              <w:bottom w:type="dxa" w:w="70"/>
              <w:right w:type="dxa" w:w="110"/>
            </w:tcMar>
            <w:vAlign w:val="center"/>
          </w:tcPr>
          <w:p>
            <w:pPr>
              <w:spacing w:after="0" w:line="240"/>
            </w:pPr>
            <w:r>
              <w:rPr>
                <w:sz w:val="19"/>
                <w:szCs w:val="19"/>
              </w:rPr>
              <w:t xml:space="preserve">Plików różnicowych dla rejestru PRG</w:t>
            </w:r>
          </w:p>
        </w:tc>
        <w:tc>
          <w:tcPr>
            <w:tcW w:type="dxa" w:w="5026"/>
            <w:tcMar>
              <w:top w:type="dxa" w:w="70"/>
              <w:left w:type="dxa" w:w="110"/>
              <w:bottom w:type="dxa" w:w="70"/>
              <w:right w:type="dxa" w:w="110"/>
            </w:tcMar>
            <w:vAlign w:val="center"/>
          </w:tcPr>
          <w:p>
            <w:pPr>
              <w:spacing w:after="0" w:line="240"/>
            </w:pPr>
            <w:r>
              <w:rPr>
                <w:sz w:val="19"/>
                <w:szCs w:val="19"/>
              </w:rPr>
              <w:t xml:space="preserve">Porównanie sum kontrolnych treści i pełne przeładowanie</w:t>
            </w:r>
          </w:p>
        </w:tc>
      </w:tr>
      <w:tr>
        <w:tc>
          <w:tcPr>
            <w:tcW w:type="dxa" w:w="4000"/>
            <w:shd w:fill="F5F7F9" w:color="auto" w:val="clear"/>
            <w:tcMar>
              <w:top w:type="dxa" w:w="70"/>
              <w:left w:type="dxa" w:w="110"/>
              <w:bottom w:type="dxa" w:w="70"/>
              <w:right w:type="dxa" w:w="110"/>
            </w:tcMar>
            <w:vAlign w:val="center"/>
          </w:tcPr>
          <w:p>
            <w:pPr>
              <w:spacing w:after="0" w:line="240"/>
            </w:pPr>
            <w:r>
              <w:rPr>
                <w:sz w:val="19"/>
                <w:szCs w:val="19"/>
              </w:rPr>
              <w:t xml:space="preserve">Interfejsu podającego datę aktualizacji</w:t>
            </w:r>
          </w:p>
        </w:tc>
        <w:tc>
          <w:tcPr>
            <w:tcW w:type="dxa" w:w="5026"/>
            <w:shd w:fill="F5F7F9" w:color="auto" w:val="clear"/>
            <w:tcMar>
              <w:top w:type="dxa" w:w="70"/>
              <w:left w:type="dxa" w:w="110"/>
              <w:bottom w:type="dxa" w:w="70"/>
              <w:right w:type="dxa" w:w="110"/>
            </w:tcMar>
            <w:vAlign w:val="center"/>
          </w:tcPr>
          <w:p>
            <w:pPr>
              <w:spacing w:after="0" w:line="240"/>
            </w:pPr>
            <w:r>
              <w:rPr>
                <w:sz w:val="19"/>
                <w:szCs w:val="19"/>
              </w:rPr>
              <w:t xml:space="preserve">Sprawdzono 6.08.2026: serwer nie zwraca ani ETag, ani Last-Modified dla żadnego z 16 województw. Obowiązuje harmonogram tygodniowy i porównanie sumy kontrolnej pobranego pliku</w:t>
            </w:r>
          </w:p>
        </w:tc>
      </w:tr>
      <w:tr>
        <w:tc>
          <w:tcPr>
            <w:tcW w:type="dxa" w:w="4000"/>
            <w:tcMar>
              <w:top w:type="dxa" w:w="70"/>
              <w:left w:type="dxa" w:w="110"/>
              <w:bottom w:type="dxa" w:w="70"/>
              <w:right w:type="dxa" w:w="110"/>
            </w:tcMar>
            <w:vAlign w:val="center"/>
          </w:tcPr>
          <w:p>
            <w:pPr>
              <w:spacing w:after="0" w:line="240"/>
            </w:pPr>
            <w:r>
              <w:rPr>
                <w:sz w:val="19"/>
                <w:szCs w:val="19"/>
              </w:rPr>
              <w:t xml:space="preserve">Gwarancji stabilności adresów pobierania</w:t>
            </w:r>
          </w:p>
        </w:tc>
        <w:tc>
          <w:tcPr>
            <w:tcW w:type="dxa" w:w="5026"/>
            <w:tcMar>
              <w:top w:type="dxa" w:w="70"/>
              <w:left w:type="dxa" w:w="110"/>
              <w:bottom w:type="dxa" w:w="70"/>
              <w:right w:type="dxa" w:w="110"/>
            </w:tcMar>
            <w:vAlign w:val="center"/>
          </w:tcPr>
          <w:p>
            <w:pPr>
              <w:spacing w:after="0" w:line="240"/>
            </w:pPr>
            <w:r>
              <w:rPr>
                <w:sz w:val="19"/>
                <w:szCs w:val="19"/>
              </w:rPr>
              <w:t xml:space="preserve">Własne wersjonowane archiwum plików źródłowych</w:t>
            </w:r>
          </w:p>
        </w:tc>
      </w:tr>
      <w:tr>
        <w:tc>
          <w:tcPr>
            <w:tcW w:type="dxa" w:w="4000"/>
            <w:shd w:fill="F5F7F9" w:color="auto" w:val="clear"/>
            <w:tcMar>
              <w:top w:type="dxa" w:w="70"/>
              <w:left w:type="dxa" w:w="110"/>
              <w:bottom w:type="dxa" w:w="70"/>
              <w:right w:type="dxa" w:w="110"/>
            </w:tcMar>
            <w:vAlign w:val="center"/>
          </w:tcPr>
          <w:p>
            <w:pPr>
              <w:spacing w:after="0" w:line="240"/>
            </w:pPr>
            <w:r>
              <w:rPr>
                <w:sz w:val="19"/>
                <w:szCs w:val="19"/>
              </w:rPr>
              <w:t xml:space="preserve">Poprawnych schematów walidacyjnych XML</w:t>
            </w:r>
          </w:p>
        </w:tc>
        <w:tc>
          <w:tcPr>
            <w:tcW w:type="dxa" w:w="5026"/>
            <w:shd w:fill="F5F7F9" w:color="auto" w:val="clear"/>
            <w:tcMar>
              <w:top w:type="dxa" w:w="70"/>
              <w:left w:type="dxa" w:w="110"/>
              <w:bottom w:type="dxa" w:w="70"/>
              <w:right w:type="dxa" w:w="110"/>
            </w:tcMar>
            <w:vAlign w:val="center"/>
          </w:tcPr>
          <w:p>
            <w:pPr>
              <w:spacing w:after="0" w:line="240"/>
            </w:pPr>
            <w:r>
              <w:rPr>
                <w:sz w:val="19"/>
                <w:szCs w:val="19"/>
              </w:rPr>
              <w:t xml:space="preserve">Własny parser strumieniowy zamiast narzędzi wymagających schematu</w:t>
            </w:r>
          </w:p>
        </w:tc>
      </w:tr>
    </w:tbl>
    <w:p>
      <w:pPr>
        <w:spacing w:after="160"/>
      </w:pPr>
    </w:p>
    <w:p>
      <w:pPr>
        <w:spacing w:after="120" w:line="276"/>
      </w:pPr>
      <w:r>
        <w:rPr>
          <w:b/>
          <w:bCs/>
          <w:sz w:val="21"/>
          <w:szCs w:val="21"/>
        </w:rPr>
        <w:t xml:space="preserve">Konsekwencja kosztowa braku sondażu: </w:t>
      </w:r>
      <w:r>
        <w:rPr>
          <w:sz w:val="21"/>
          <w:szCs w:val="21"/>
        </w:rPr>
        <w:t xml:space="preserve">każde sprawdzenie, czy dane się zmieniły, wymaga pobrania kompletu plików (1,8 GB) i policzenia sumy kontrolnej. To przesądza o tygodniowym, a nie dobowym cyklu aktualizacji — patrz 5.1.</w:t>
      </w:r>
    </w:p>
    <w:p>
      <w:r>
        <w:br w:type="page"/>
      </w:r>
    </w:p>
    <w:p>
      <w:pPr>
        <w:pStyle w:val="Heading1"/>
        <w:spacing w:after="180" w:before="360"/>
      </w:pPr>
      <w:r>
        <w:t xml:space="preserve">5. Architektura rozwiązania</w:t>
      </w:r>
    </w:p>
    <w:p>
      <w:pPr>
        <w:pStyle w:val="Heading2"/>
        <w:spacing w:after="140" w:before="280"/>
      </w:pPr>
      <w:r>
        <w:t xml:space="preserve">5.1. Podział na komponenty</w:t>
      </w:r>
    </w:p>
    <w:p>
      <w:pPr>
        <w:spacing w:after="120" w:line="276"/>
      </w:pPr>
      <w:r>
        <w:rPr>
          <w:sz w:val="21"/>
          <w:szCs w:val="21"/>
        </w:rPr>
        <w:t xml:space="preserve">Rozwiązanie dzieli się na dwa niezależnie skalowane elementy. Podział ten jest najważniejszą decyzją architektoniczną projektu.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2100"/>
        <w:gridCol w:w="3326"/>
      </w:tblGrid>
      <w:tr>
        <w:trPr>
          <w:tblHeader/>
        </w:trPr>
        <w:tc>
          <w:tcPr>
            <w:tcW w:type="dxa" w:w="1700"/>
            <w:shd w:fill="E8EDF2" w:color="auto" w:val="clear"/>
            <w:tcMar>
              <w:top w:type="dxa" w:w="70"/>
              <w:left w:type="dxa" w:w="110"/>
              <w:bottom w:type="dxa" w:w="70"/>
              <w:right w:type="dxa" w:w="110"/>
            </w:tcMar>
            <w:vAlign w:val="center"/>
          </w:tcPr>
          <w:p>
            <w:pPr>
              <w:spacing w:after="0" w:line="240"/>
            </w:pPr>
            <w:r>
              <w:rPr>
                <w:b/>
                <w:bCs/>
                <w:sz w:val="19"/>
                <w:szCs w:val="19"/>
              </w:rPr>
              <w:t xml:space="preserve">Komponent</w:t>
            </w:r>
          </w:p>
        </w:tc>
        <w:tc>
          <w:tcPr>
            <w:tcW w:type="dxa" w:w="1900"/>
            <w:shd w:fill="E8EDF2" w:color="auto" w:val="clear"/>
            <w:tcMar>
              <w:top w:type="dxa" w:w="70"/>
              <w:left w:type="dxa" w:w="110"/>
              <w:bottom w:type="dxa" w:w="70"/>
              <w:right w:type="dxa" w:w="110"/>
            </w:tcMar>
            <w:vAlign w:val="center"/>
          </w:tcPr>
          <w:p>
            <w:pPr>
              <w:spacing w:after="0" w:line="240"/>
            </w:pPr>
            <w:r>
              <w:rPr>
                <w:b/>
                <w:bCs/>
                <w:sz w:val="19"/>
                <w:szCs w:val="19"/>
              </w:rPr>
              <w:t xml:space="preserve">Charakter</w:t>
            </w:r>
          </w:p>
        </w:tc>
        <w:tc>
          <w:tcPr>
            <w:tcW w:type="dxa" w:w="2100"/>
            <w:shd w:fill="E8EDF2" w:color="auto" w:val="clear"/>
            <w:tcMar>
              <w:top w:type="dxa" w:w="70"/>
              <w:left w:type="dxa" w:w="110"/>
              <w:bottom w:type="dxa" w:w="70"/>
              <w:right w:type="dxa" w:w="110"/>
            </w:tcMar>
            <w:vAlign w:val="center"/>
          </w:tcPr>
          <w:p>
            <w:pPr>
              <w:spacing w:after="0" w:line="240"/>
            </w:pPr>
            <w:r>
              <w:rPr>
                <w:b/>
                <w:bCs/>
                <w:sz w:val="19"/>
                <w:szCs w:val="19"/>
              </w:rPr>
              <w:t xml:space="preserve">Uruchamianie</w:t>
            </w:r>
          </w:p>
        </w:tc>
        <w:tc>
          <w:tcPr>
            <w:tcW w:type="dxa" w:w="3326"/>
            <w:shd w:fill="E8EDF2" w:color="auto" w:val="clear"/>
            <w:tcMar>
              <w:top w:type="dxa" w:w="70"/>
              <w:left w:type="dxa" w:w="110"/>
              <w:bottom w:type="dxa" w:w="70"/>
              <w:right w:type="dxa" w:w="110"/>
            </w:tcMar>
            <w:vAlign w:val="center"/>
          </w:tcPr>
          <w:p>
            <w:pPr>
              <w:spacing w:after="0" w:line="240"/>
            </w:pPr>
            <w:r>
              <w:rPr>
                <w:b/>
                <w:bCs/>
                <w:sz w:val="19"/>
                <w:szCs w:val="19"/>
              </w:rPr>
              <w:t xml:space="preserve">Odpowiedzialność</w:t>
            </w:r>
          </w:p>
        </w:tc>
      </w:tr>
      <w:tr>
        <w:tc>
          <w:tcPr>
            <w:tcW w:type="dxa" w:w="1700"/>
            <w:tcMar>
              <w:top w:type="dxa" w:w="70"/>
              <w:left w:type="dxa" w:w="110"/>
              <w:bottom w:type="dxa" w:w="70"/>
              <w:right w:type="dxa" w:w="110"/>
            </w:tcMar>
            <w:vAlign w:val="center"/>
          </w:tcPr>
          <w:p>
            <w:pPr>
              <w:spacing w:after="0" w:line="240"/>
            </w:pPr>
            <w:r>
              <w:rPr>
                <w:sz w:val="19"/>
                <w:szCs w:val="19"/>
              </w:rPr>
              <w:t xml:space="preserve">Proces przetwarzania danych</w:t>
            </w:r>
          </w:p>
        </w:tc>
        <w:tc>
          <w:tcPr>
            <w:tcW w:type="dxa" w:w="1900"/>
            <w:tcMar>
              <w:top w:type="dxa" w:w="70"/>
              <w:left w:type="dxa" w:w="110"/>
              <w:bottom w:type="dxa" w:w="70"/>
              <w:right w:type="dxa" w:w="110"/>
            </w:tcMar>
            <w:vAlign w:val="center"/>
          </w:tcPr>
          <w:p>
            <w:pPr>
              <w:spacing w:after="0" w:line="240"/>
            </w:pPr>
            <w:r>
              <w:rPr>
                <w:sz w:val="19"/>
                <w:szCs w:val="19"/>
              </w:rPr>
              <w:t xml:space="preserve">Stanowy, zasobożerny</w:t>
            </w:r>
          </w:p>
        </w:tc>
        <w:tc>
          <w:tcPr>
            <w:tcW w:type="dxa" w:w="2100"/>
            <w:tcMar>
              <w:top w:type="dxa" w:w="70"/>
              <w:left w:type="dxa" w:w="110"/>
              <w:bottom w:type="dxa" w:w="70"/>
              <w:right w:type="dxa" w:w="110"/>
            </w:tcMar>
            <w:vAlign w:val="center"/>
          </w:tcPr>
          <w:p>
            <w:pPr>
              <w:spacing w:after="0" w:line="240"/>
            </w:pPr>
            <w:r>
              <w:rPr>
                <w:sz w:val="19"/>
                <w:szCs w:val="19"/>
              </w:rPr>
              <w:t xml:space="preserve">Raz w tygodniu, zadanie cykliczne</w:t>
            </w:r>
          </w:p>
        </w:tc>
        <w:tc>
          <w:tcPr>
            <w:tcW w:type="dxa" w:w="3326"/>
            <w:tcMar>
              <w:top w:type="dxa" w:w="70"/>
              <w:left w:type="dxa" w:w="110"/>
              <w:bottom w:type="dxa" w:w="70"/>
              <w:right w:type="dxa" w:w="110"/>
            </w:tcMar>
            <w:vAlign w:val="center"/>
          </w:tcPr>
          <w:p>
            <w:pPr>
              <w:spacing w:after="0" w:line="240"/>
            </w:pPr>
            <w:r>
              <w:rPr>
                <w:sz w:val="19"/>
                <w:szCs w:val="19"/>
              </w:rPr>
              <w:t xml:space="preserve">Pobranie, przetworzenie, kontrole jakości, publikacja</w:t>
            </w:r>
          </w:p>
        </w:tc>
      </w:tr>
      <w:tr>
        <w:tc>
          <w:tcPr>
            <w:tcW w:type="dxa" w:w="1700"/>
            <w:shd w:fill="F5F7F9" w:color="auto" w:val="clear"/>
            <w:tcMar>
              <w:top w:type="dxa" w:w="70"/>
              <w:left w:type="dxa" w:w="110"/>
              <w:bottom w:type="dxa" w:w="70"/>
              <w:right w:type="dxa" w:w="110"/>
            </w:tcMar>
            <w:vAlign w:val="center"/>
          </w:tcPr>
          <w:p>
            <w:pPr>
              <w:spacing w:after="0" w:line="240"/>
            </w:pPr>
            <w:r>
              <w:rPr>
                <w:sz w:val="19"/>
                <w:szCs w:val="19"/>
              </w:rPr>
              <w:t xml:space="preserve">Mikroserwis HTTP</w:t>
            </w:r>
          </w:p>
        </w:tc>
        <w:tc>
          <w:tcPr>
            <w:tcW w:type="dxa" w:w="1900"/>
            <w:shd w:fill="F5F7F9" w:color="auto" w:val="clear"/>
            <w:tcMar>
              <w:top w:type="dxa" w:w="70"/>
              <w:left w:type="dxa" w:w="110"/>
              <w:bottom w:type="dxa" w:w="70"/>
              <w:right w:type="dxa" w:w="110"/>
            </w:tcMar>
            <w:vAlign w:val="center"/>
          </w:tcPr>
          <w:p>
            <w:pPr>
              <w:spacing w:after="0" w:line="240"/>
            </w:pPr>
            <w:r>
              <w:rPr>
                <w:sz w:val="19"/>
                <w:szCs w:val="19"/>
              </w:rPr>
              <w:t xml:space="preserve">Bezstanowy, lekki</w:t>
            </w:r>
          </w:p>
        </w:tc>
        <w:tc>
          <w:tcPr>
            <w:tcW w:type="dxa" w:w="2100"/>
            <w:shd w:fill="F5F7F9" w:color="auto" w:val="clear"/>
            <w:tcMar>
              <w:top w:type="dxa" w:w="70"/>
              <w:left w:type="dxa" w:w="110"/>
              <w:bottom w:type="dxa" w:w="70"/>
              <w:right w:type="dxa" w:w="110"/>
            </w:tcMar>
            <w:vAlign w:val="center"/>
          </w:tcPr>
          <w:p>
            <w:pPr>
              <w:spacing w:after="0" w:line="240"/>
            </w:pPr>
            <w:r>
              <w:rPr>
                <w:sz w:val="19"/>
                <w:szCs w:val="19"/>
              </w:rPr>
              <w:t xml:space="preserve">Ciągle, skalowany poziomo</w:t>
            </w:r>
          </w:p>
        </w:tc>
        <w:tc>
          <w:tcPr>
            <w:tcW w:type="dxa" w:w="3326"/>
            <w:shd w:fill="F5F7F9" w:color="auto" w:val="clear"/>
            <w:tcMar>
              <w:top w:type="dxa" w:w="70"/>
              <w:left w:type="dxa" w:w="110"/>
              <w:bottom w:type="dxa" w:w="70"/>
              <w:right w:type="dxa" w:w="110"/>
            </w:tcMar>
            <w:vAlign w:val="center"/>
          </w:tcPr>
          <w:p>
            <w:pPr>
              <w:spacing w:after="0" w:line="240"/>
            </w:pPr>
            <w:r>
              <w:rPr>
                <w:sz w:val="19"/>
                <w:szCs w:val="19"/>
              </w:rPr>
              <w:t xml:space="preserve">Podpowiedzi, walidacja, geokodowanie</w:t>
            </w:r>
          </w:p>
        </w:tc>
      </w:tr>
    </w:tbl>
    <w:p>
      <w:pPr>
        <w:spacing w:after="160"/>
      </w:pPr>
    </w:p>
    <w:p>
      <w:pPr>
        <w:spacing w:after="120" w:line="276"/>
      </w:pPr>
      <w:r>
        <w:rPr>
          <w:b/>
          <w:bCs/>
          <w:sz w:val="21"/>
          <w:szCs w:val="21"/>
        </w:rPr>
        <w:t xml:space="preserve">Dlaczego tydzień, a nie doba: </w:t>
      </w:r>
      <w:r>
        <w:rPr>
          <w:sz w:val="21"/>
          <w:szCs w:val="21"/>
        </w:rPr>
        <w:t xml:space="preserve">brak nagłówków umożliwiających tani sondaż (4.3) oznacza, że każde sprawdzenie to pełne pobranie 1,8 GB. Rejestr aktualizowany jest przez gminy na bieżąco, ale opublikowana paczka zmienia się rzadziej niż raz na dobę, więc cykl dobowy generowałby ruch bez przyrostu wartości. Do archiwum trafia wyłącznie zrzut, w którym wykryto zmianę treści — stąd szacunki pojemności w 7.3 liczone są dla zrzutów miesięcznych.</w:t>
      </w:r>
    </w:p>
    <w:p>
      <w:pPr>
        <w:pStyle w:val="Heading2"/>
        <w:spacing w:after="140" w:before="280"/>
      </w:pPr>
      <w:r>
        <w:t xml:space="preserve">5.2. Kluczowa decyzja: artefakt wyszukiwania</w:t>
      </w:r>
    </w:p>
    <w:p>
      <w:pPr>
        <w:spacing w:after="120" w:line="276"/>
      </w:pPr>
      <w:r>
        <w:rPr>
          <w:sz w:val="21"/>
          <w:szCs w:val="21"/>
        </w:rPr>
        <w:t xml:space="preserve">Proces przetwarzania wytwarza pojedynczy, niezmienny plik indeksu wyszukiwania, oznaczony wersją danych. Instancje mikroserwisu pobierają go przy starcie i utrzymują w pamięci operacyjnej. Podpowiedzi adresowe nie wymagają zapytań do bazy danych.</w:t>
      </w:r>
    </w:p>
    <w:p>
      <w:pPr>
        <w:spacing w:after="120" w:line="276"/>
      </w:pPr>
      <w:r>
        <w:rPr>
          <w:sz w:val="21"/>
          <w:szCs w:val="21"/>
        </w:rPr>
        <w:t xml:space="preserve">Korzyści tego rozwiązania:</w:t>
      </w:r>
    </w:p>
    <w:p>
      <w:pPr>
        <w:pStyle w:val="ListParagraph"/>
        <w:numPr>
          <w:ilvl w:val="0"/>
          <w:numId w:val="2"/>
        </w:numPr>
        <w:spacing w:after="80" w:line="276"/>
      </w:pPr>
      <w:r>
        <w:rPr>
          <w:sz w:val="21"/>
          <w:szCs w:val="21"/>
        </w:rPr>
        <w:t xml:space="preserve">Wycofanie zmiany sprowadza się do przestawienia wskaźnika wersji — do minuty od przestawienia, plus czas pobrania artefaktu, bez migracji danych.</w:t>
      </w:r>
    </w:p>
    <w:p>
      <w:pPr>
        <w:pStyle w:val="ListParagraph"/>
        <w:numPr>
          <w:ilvl w:val="0"/>
          <w:numId w:val="2"/>
        </w:numPr>
        <w:spacing w:after="80" w:line="276"/>
      </w:pPr>
      <w:r>
        <w:rPr>
          <w:sz w:val="21"/>
          <w:szCs w:val="21"/>
        </w:rPr>
        <w:t xml:space="preserve">Skalowanie poziome jest trywialne — instancje nie współdzielą stanu danych.</w:t>
      </w:r>
    </w:p>
    <w:p>
      <w:pPr>
        <w:pStyle w:val="ListParagraph"/>
        <w:numPr>
          <w:ilvl w:val="0"/>
          <w:numId w:val="2"/>
        </w:numPr>
        <w:spacing w:after="80" w:line="276"/>
      </w:pPr>
      <w:r>
        <w:rPr>
          <w:sz w:val="21"/>
          <w:szCs w:val="21"/>
        </w:rPr>
        <w:t xml:space="preserve">Wyniki są w pełni powtarzalne, co umożliwia automatyczne testy regresyjne jakości wyszukiwania.</w:t>
      </w:r>
    </w:p>
    <w:p>
      <w:pPr>
        <w:pStyle w:val="ListParagraph"/>
        <w:numPr>
          <w:ilvl w:val="0"/>
          <w:numId w:val="2"/>
        </w:numPr>
        <w:spacing w:after="80" w:line="276"/>
      </w:pPr>
      <w:r>
        <w:rPr>
          <w:sz w:val="21"/>
          <w:szCs w:val="21"/>
        </w:rPr>
        <w:t xml:space="preserve">Baza danych nie jest obciążana ruchem podpowiedzi, który jest najintensywniejszy.</w:t>
      </w:r>
    </w:p>
    <w:p>
      <w:pPr>
        <w:pBdr>
          <w:top w:val="single" w:color="D5DBE0" w:sz="4"/>
          <w:bottom w:val="single" w:color="D5DBE0" w:sz="0"/>
          <w:left w:val="single" w:color="D5DBE0" w:sz="4"/>
          <w:right w:val="single" w:color="D5DBE0" w:sz="4"/>
        </w:pBdr>
        <w:shd w:fill="FDF1E7" w:color="auto" w:val="clear"/>
        <w:spacing w:after="0" w:before="160" w:line="276"/>
        <w:ind w:left="120" w:right="120"/>
      </w:pPr>
      <w:r>
        <w:rPr>
          <w:b/>
          <w:bCs/>
          <w:sz w:val="21"/>
          <w:szCs w:val="21"/>
        </w:rPr>
        <w:t xml:space="preserve">Dwa ograniczenia obecnej wersji</w:t>
      </w:r>
    </w:p>
    <w:p>
      <w:pPr>
        <w:pBdr>
          <w:top w:val="single" w:color="D5DBE0" w:sz="0"/>
          <w:bottom w:val="single" w:color="D5DBE0" w:sz="0"/>
          <w:left w:val="single" w:color="D5DBE0" w:sz="4"/>
          <w:right w:val="single" w:color="D5DBE0" w:sz="4"/>
        </w:pBdr>
        <w:shd w:fill="FDF1E7" w:color="auto" w:val="clear"/>
        <w:spacing w:after="60" w:line="276"/>
        <w:ind w:left="120" w:right="120"/>
      </w:pPr>
      <w:r>
        <w:rPr>
          <w:sz w:val="20"/>
          <w:szCs w:val="20"/>
        </w:rPr>
        <w:t xml:space="preserve">Podmiana artefaktu działa przez odpytywanie wskaźnika wersji co 60 sekund, a nie przez powiadomienie. Bez jawnie skonfigurowanego wskaźnika podmiana bez restartu instancji nie działa wcale.</w:t>
      </w:r>
    </w:p>
    <w:p>
      <w:pPr>
        <w:pBdr>
          <w:top w:val="single" w:color="D5DBE0" w:sz="0"/>
          <w:bottom w:val="single" w:color="D5DBE0" w:sz="4"/>
          <w:left w:val="single" w:color="D5DBE0" w:sz="4"/>
          <w:right w:val="single" w:color="D5DBE0" w:sz="4"/>
        </w:pBdr>
        <w:shd w:fill="FDF1E7" w:color="auto" w:val="clear"/>
        <w:spacing w:after="0" w:line="276"/>
        <w:ind w:left="120" w:right="120"/>
      </w:pPr>
      <w:r>
        <w:rPr>
          <w:sz w:val="20"/>
          <w:szCs w:val="20"/>
        </w:rPr>
        <w:t xml:space="preserve">Sonda gotowości instancji odpytuje bazę danych, więc awaria bazy wyłącza instancję z ruchu również dla podpowiedzi, które bazy nie potrzebują. Rozdzielenie sond to 1 dzień pracy — pozycja w etapie komercjalizacji, rozdz. 10.</w:t>
      </w:r>
    </w:p>
    <w:p>
      <w:pPr>
        <w:spacing w:after="180"/>
      </w:pPr>
    </w:p>
    <w:p>
      <w:pPr>
        <w:pStyle w:val="Heading2"/>
        <w:spacing w:after="140" w:before="280"/>
      </w:pPr>
      <w:r>
        <w:t xml:space="preserve">5.3. Warstwa danych</w:t>
      </w:r>
    </w:p>
    <w:p>
      <w:pPr>
        <w:spacing w:after="120" w:line="276"/>
      </w:pPr>
      <w:r>
        <w:rPr>
          <w:sz w:val="21"/>
          <w:szCs w:val="21"/>
        </w:rPr>
        <w:t xml:space="preserve">Tabela rozdziela stan zbudowany od elementów przewidzianych w architekturze docelowej. Rozróżnienie jest istotne przy planowaniu wdrożenia.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4300"/>
        <w:gridCol w:w="2826"/>
      </w:tblGrid>
      <w:tr>
        <w:trPr>
          <w:tblHeader/>
        </w:trPr>
        <w:tc>
          <w:tcPr>
            <w:tcW w:type="dxa" w:w="1900"/>
            <w:shd w:fill="E8EDF2" w:color="auto" w:val="clear"/>
            <w:tcMar>
              <w:top w:type="dxa" w:w="70"/>
              <w:left w:type="dxa" w:w="110"/>
              <w:bottom w:type="dxa" w:w="70"/>
              <w:right w:type="dxa" w:w="110"/>
            </w:tcMar>
            <w:vAlign w:val="center"/>
          </w:tcPr>
          <w:p>
            <w:pPr>
              <w:spacing w:after="0" w:line="240"/>
            </w:pPr>
            <w:r>
              <w:rPr>
                <w:b/>
                <w:bCs/>
                <w:sz w:val="19"/>
                <w:szCs w:val="19"/>
              </w:rPr>
              <w:t xml:space="preserve">Technologia</w:t>
            </w:r>
          </w:p>
        </w:tc>
        <w:tc>
          <w:tcPr>
            <w:tcW w:type="dxa" w:w="4300"/>
            <w:shd w:fill="E8EDF2" w:color="auto" w:val="clear"/>
            <w:tcMar>
              <w:top w:type="dxa" w:w="70"/>
              <w:left w:type="dxa" w:w="110"/>
              <w:bottom w:type="dxa" w:w="70"/>
              <w:right w:type="dxa" w:w="110"/>
            </w:tcMar>
            <w:vAlign w:val="center"/>
          </w:tcPr>
          <w:p>
            <w:pPr>
              <w:spacing w:after="0" w:line="240"/>
            </w:pPr>
            <w:r>
              <w:rPr>
                <w:b/>
                <w:bCs/>
                <w:sz w:val="19"/>
                <w:szCs w:val="19"/>
              </w:rPr>
              <w:t xml:space="preserve">Zastosowanie</w:t>
            </w:r>
          </w:p>
        </w:tc>
        <w:tc>
          <w:tcPr>
            <w:tcW w:type="dxa" w:w="2826"/>
            <w:shd w:fill="E8EDF2" w:color="auto" w:val="clear"/>
            <w:tcMar>
              <w:top w:type="dxa" w:w="70"/>
              <w:left w:type="dxa" w:w="110"/>
              <w:bottom w:type="dxa" w:w="70"/>
              <w:right w:type="dxa" w:w="110"/>
            </w:tcMar>
            <w:vAlign w:val="center"/>
          </w:tcPr>
          <w:p>
            <w:pPr>
              <w:spacing w:after="0" w:line="240"/>
            </w:pPr>
            <w:r>
              <w:rPr>
                <w:b/>
                <w:bCs/>
                <w:sz w:val="19"/>
                <w:szCs w:val="19"/>
              </w:rPr>
              <w:t xml:space="preserve">Stan</w:t>
            </w:r>
          </w:p>
        </w:tc>
      </w:tr>
      <w:tr>
        <w:tc>
          <w:tcPr>
            <w:tcW w:type="dxa" w:w="1900"/>
            <w:shd w:fill="EDF5EE" w:color="auto" w:val="clear"/>
            <w:tcMar>
              <w:top w:type="dxa" w:w="70"/>
              <w:left w:type="dxa" w:w="110"/>
              <w:bottom w:type="dxa" w:w="70"/>
              <w:right w:type="dxa" w:w="110"/>
            </w:tcMar>
            <w:vAlign w:val="center"/>
          </w:tcPr>
          <w:p>
            <w:pPr>
              <w:spacing w:after="0" w:line="240"/>
            </w:pPr>
            <w:r>
              <w:rPr>
                <w:sz w:val="19"/>
                <w:szCs w:val="19"/>
              </w:rPr>
              <w:t xml:space="preserve">PostgreSQL + PostGIS</w:t>
            </w:r>
          </w:p>
        </w:tc>
        <w:tc>
          <w:tcPr>
            <w:tcW w:type="dxa" w:w="4300"/>
            <w:shd w:fill="EDF5EE" w:color="auto" w:val="clear"/>
            <w:tcMar>
              <w:top w:type="dxa" w:w="70"/>
              <w:left w:type="dxa" w:w="110"/>
              <w:bottom w:type="dxa" w:w="70"/>
              <w:right w:type="dxa" w:w="110"/>
            </w:tcMar>
            <w:vAlign w:val="center"/>
          </w:tcPr>
          <w:p>
            <w:pPr>
              <w:spacing w:after="0" w:line="240"/>
            </w:pPr>
            <w:r>
              <w:rPr>
                <w:sz w:val="19"/>
                <w:szCs w:val="19"/>
              </w:rPr>
              <w:t xml:space="preserve">Źródło prawdy, numery budynków, geokodowanie odwrotne</w:t>
            </w:r>
          </w:p>
        </w:tc>
        <w:tc>
          <w:tcPr>
            <w:tcW w:type="dxa" w:w="2826"/>
            <w:shd w:fill="EDF5EE" w:color="auto" w:val="clear"/>
            <w:tcMar>
              <w:top w:type="dxa" w:w="70"/>
              <w:left w:type="dxa" w:w="110"/>
              <w:bottom w:type="dxa" w:w="70"/>
              <w:right w:type="dxa" w:w="110"/>
            </w:tcMar>
            <w:vAlign w:val="center"/>
          </w:tcPr>
          <w:p>
            <w:pPr>
              <w:spacing w:after="0" w:line="240"/>
            </w:pPr>
            <w:r>
              <w:rPr>
                <w:sz w:val="19"/>
                <w:szCs w:val="19"/>
              </w:rPr>
              <w:t xml:space="preserve">Wdrożone — dane adresowe są ściśle relacyjne i przestrzenne</w:t>
            </w:r>
          </w:p>
        </w:tc>
      </w:tr>
      <w:tr>
        <w:tc>
          <w:tcPr>
            <w:tcW w:type="dxa" w:w="1900"/>
            <w:shd w:fill="EDF5EE" w:color="auto" w:val="clear"/>
            <w:tcMar>
              <w:top w:type="dxa" w:w="70"/>
              <w:left w:type="dxa" w:w="110"/>
              <w:bottom w:type="dxa" w:w="70"/>
              <w:right w:type="dxa" w:w="110"/>
            </w:tcMar>
            <w:vAlign w:val="center"/>
          </w:tcPr>
          <w:p>
            <w:pPr>
              <w:spacing w:after="0" w:line="240"/>
            </w:pPr>
            <w:r>
              <w:rPr>
                <w:sz w:val="19"/>
                <w:szCs w:val="19"/>
              </w:rPr>
              <w:t xml:space="preserve">Indeks w pamięci procesu</w:t>
            </w:r>
          </w:p>
        </w:tc>
        <w:tc>
          <w:tcPr>
            <w:tcW w:type="dxa" w:w="4300"/>
            <w:shd w:fill="EDF5EE" w:color="auto" w:val="clear"/>
            <w:tcMar>
              <w:top w:type="dxa" w:w="70"/>
              <w:left w:type="dxa" w:w="110"/>
              <w:bottom w:type="dxa" w:w="70"/>
              <w:right w:type="dxa" w:w="110"/>
            </w:tcMar>
            <w:vAlign w:val="center"/>
          </w:tcPr>
          <w:p>
            <w:pPr>
              <w:spacing w:after="0" w:line="240"/>
            </w:pPr>
            <w:r>
              <w:rPr>
                <w:sz w:val="19"/>
                <w:szCs w:val="19"/>
              </w:rPr>
              <w:t xml:space="preserve">Podpowiedzi adresowe</w:t>
            </w:r>
          </w:p>
        </w:tc>
        <w:tc>
          <w:tcPr>
            <w:tcW w:type="dxa" w:w="2826"/>
            <w:shd w:fill="EDF5EE" w:color="auto" w:val="clear"/>
            <w:tcMar>
              <w:top w:type="dxa" w:w="70"/>
              <w:left w:type="dxa" w:w="110"/>
              <w:bottom w:type="dxa" w:w="70"/>
              <w:right w:type="dxa" w:w="110"/>
            </w:tcMar>
            <w:vAlign w:val="center"/>
          </w:tcPr>
          <w:p>
            <w:pPr>
              <w:spacing w:after="0" w:line="240"/>
            </w:pPr>
            <w:r>
              <w:rPr>
                <w:sz w:val="19"/>
                <w:szCs w:val="19"/>
              </w:rPr>
              <w:t xml:space="preserve">Wdrożone — ok. 30× szybciej niż zapytanie do bazy z indeksem tekstowym</w:t>
            </w:r>
          </w:p>
        </w:tc>
      </w:tr>
      <w:tr>
        <w:tc>
          <w:tcPr>
            <w:tcW w:type="dxa" w:w="1900"/>
            <w:shd w:fill="FDF1E7" w:color="auto" w:val="clear"/>
            <w:tcMar>
              <w:top w:type="dxa" w:w="70"/>
              <w:left w:type="dxa" w:w="110"/>
              <w:bottom w:type="dxa" w:w="70"/>
              <w:right w:type="dxa" w:w="110"/>
            </w:tcMar>
            <w:vAlign w:val="center"/>
          </w:tcPr>
          <w:p>
            <w:pPr>
              <w:spacing w:after="0" w:line="240"/>
            </w:pPr>
            <w:r>
              <w:rPr>
                <w:sz w:val="19"/>
                <w:szCs w:val="19"/>
              </w:rPr>
              <w:t xml:space="preserve">Redis</w:t>
            </w:r>
          </w:p>
        </w:tc>
        <w:tc>
          <w:tcPr>
            <w:tcW w:type="dxa" w:w="4300"/>
            <w:shd w:fill="FDF1E7" w:color="auto" w:val="clear"/>
            <w:tcMar>
              <w:top w:type="dxa" w:w="70"/>
              <w:left w:type="dxa" w:w="110"/>
              <w:bottom w:type="dxa" w:w="70"/>
              <w:right w:type="dxa" w:w="110"/>
            </w:tcMar>
            <w:vAlign w:val="center"/>
          </w:tcPr>
          <w:p>
            <w:pPr>
              <w:spacing w:after="0" w:line="240"/>
            </w:pPr>
            <w:r>
              <w:rPr>
                <w:sz w:val="19"/>
                <w:szCs w:val="19"/>
              </w:rPr>
              <w:t xml:space="preserve">Limitowanie zapytań współdzielone między instancjami, pamięć podręczna, powiadamianie o nowej wersji</w:t>
            </w:r>
          </w:p>
        </w:tc>
        <w:tc>
          <w:tcPr>
            <w:tcW w:type="dxa" w:w="2826"/>
            <w:shd w:fill="FDF1E7" w:color="auto" w:val="clear"/>
            <w:tcMar>
              <w:top w:type="dxa" w:w="70"/>
              <w:left w:type="dxa" w:w="110"/>
              <w:bottom w:type="dxa" w:w="70"/>
              <w:right w:type="dxa" w:w="110"/>
            </w:tcMar>
            <w:vAlign w:val="center"/>
          </w:tcPr>
          <w:p>
            <w:pPr>
              <w:spacing w:after="0" w:line="240"/>
            </w:pPr>
            <w:r>
              <w:rPr>
                <w:sz w:val="19"/>
                <w:szCs w:val="19"/>
              </w:rPr>
              <w:t xml:space="preserve">NIEWDROŻONE — licznik limitera działa dziś w pamięci pojedynczej instancji, więc przy N replikach efektywny limit jest N-krotnie wyższy</w:t>
            </w:r>
          </w:p>
        </w:tc>
      </w:tr>
      <w:tr>
        <w:tc>
          <w:tcPr>
            <w:tcW w:type="dxa" w:w="1900"/>
            <w:shd w:fill="FDF1E7" w:color="auto" w:val="clear"/>
            <w:tcMar>
              <w:top w:type="dxa" w:w="70"/>
              <w:left w:type="dxa" w:w="110"/>
              <w:bottom w:type="dxa" w:w="70"/>
              <w:right w:type="dxa" w:w="110"/>
            </w:tcMar>
            <w:vAlign w:val="center"/>
          </w:tcPr>
          <w:p>
            <w:pPr>
              <w:spacing w:after="0" w:line="240"/>
            </w:pPr>
            <w:r>
              <w:rPr>
                <w:sz w:val="19"/>
                <w:szCs w:val="19"/>
              </w:rPr>
              <w:t xml:space="preserve">Magazyn obiektowy</w:t>
            </w:r>
          </w:p>
        </w:tc>
        <w:tc>
          <w:tcPr>
            <w:tcW w:type="dxa" w:w="4300"/>
            <w:shd w:fill="FDF1E7" w:color="auto" w:val="clear"/>
            <w:tcMar>
              <w:top w:type="dxa" w:w="70"/>
              <w:left w:type="dxa" w:w="110"/>
              <w:bottom w:type="dxa" w:w="70"/>
              <w:right w:type="dxa" w:w="110"/>
            </w:tcMar>
            <w:vAlign w:val="center"/>
          </w:tcPr>
          <w:p>
            <w:pPr>
              <w:spacing w:after="0" w:line="240"/>
            </w:pPr>
            <w:r>
              <w:rPr>
                <w:sz w:val="19"/>
                <w:szCs w:val="19"/>
              </w:rPr>
              <w:t xml:space="preserve">Archiwum plików źródłowych i artefaktów indeksu poza maszyną roboczą</w:t>
            </w:r>
          </w:p>
        </w:tc>
        <w:tc>
          <w:tcPr>
            <w:tcW w:type="dxa" w:w="2826"/>
            <w:shd w:fill="FDF1E7" w:color="auto" w:val="clear"/>
            <w:tcMar>
              <w:top w:type="dxa" w:w="70"/>
              <w:left w:type="dxa" w:w="110"/>
              <w:bottom w:type="dxa" w:w="70"/>
              <w:right w:type="dxa" w:w="110"/>
            </w:tcMar>
            <w:vAlign w:val="center"/>
          </w:tcPr>
          <w:p>
            <w:pPr>
              <w:spacing w:after="0" w:line="240"/>
            </w:pPr>
            <w:r>
              <w:rPr>
                <w:sz w:val="19"/>
                <w:szCs w:val="19"/>
              </w:rPr>
              <w:t xml:space="preserve">NIEWDROŻONE — usługa zadeklarowana w konfiguracji uruchomieniowej, ale nic z niej nie korzysta. Archiwum leży na dysku lokalnym</w:t>
            </w:r>
          </w:p>
        </w:tc>
      </w:tr>
    </w:tbl>
    <w:p>
      <w:pPr>
        <w:spacing w:after="160"/>
      </w:pPr>
    </w:p>
    <w:p>
      <w:pPr>
        <w:spacing w:after="120" w:line="276"/>
      </w:pPr>
      <w:r>
        <w:rPr>
          <w:b/>
          <w:bCs/>
          <w:sz w:val="21"/>
          <w:szCs w:val="21"/>
        </w:rPr>
        <w:t xml:space="preserve">Rozwiązania świadomie odrzucone: </w:t>
      </w:r>
      <w:r>
        <w:rPr>
          <w:sz w:val="21"/>
          <w:szCs w:val="21"/>
        </w:rPr>
        <w:t xml:space="preserve">MongoDB (brak zastosowania — model danych jest relacyjny), kolejka komunikatów w pierwszej wersji (proces aktualizacji nie wymaga brokera), zewnętrzne silniki wyszukiwania takie jak Elasticsearch czy Meilisearch (dodają infrastrukturę do problemu rozwiązanego w pamięci procesu).</w:t>
      </w:r>
    </w:p>
    <w:p>
      <w:pPr>
        <w:pStyle w:val="Heading2"/>
        <w:spacing w:after="140" w:before="280"/>
      </w:pPr>
      <w:r>
        <w:t xml:space="preserve">5.4. Interfejs udostępniany aplikacjom</w:t>
      </w:r>
    </w:p>
    <w:p>
      <w:pPr>
        <w:spacing w:after="120" w:line="276"/>
      </w:pPr>
      <w:r>
        <w:rPr>
          <w:sz w:val="21"/>
          <w:szCs w:val="21"/>
        </w:rPr>
        <w:t xml:space="preserve">Mikroserwis udostępnia interfejs REST. Poniższa tabela opisuje zakres funkcjonalny. Formalny kontrakt — specyfikacja OpenAPI z metodami, ścieżkami, parametrami i kodami odpowiedzi — jest przedmiotem osobnego zadania (rozdz. 10, 1,5 dnia). Do czasu jego wykonania zespoły integrujące powinny uzgadniać szczegóły z zespołem wdrożeniowym, a nie wyprowadzać ich z tej tabeli.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4100"/>
        <w:gridCol w:w="2226"/>
      </w:tblGrid>
      <w:tr>
        <w:trPr>
          <w:tblHeader/>
        </w:trPr>
        <w:tc>
          <w:tcPr>
            <w:tcW w:type="dxa" w:w="2700"/>
            <w:shd w:fill="E8EDF2" w:color="auto" w:val="clear"/>
            <w:tcMar>
              <w:top w:type="dxa" w:w="70"/>
              <w:left w:type="dxa" w:w="110"/>
              <w:bottom w:type="dxa" w:w="70"/>
              <w:right w:type="dxa" w:w="110"/>
            </w:tcMar>
            <w:vAlign w:val="center"/>
          </w:tcPr>
          <w:p>
            <w:pPr>
              <w:spacing w:after="0" w:line="240"/>
            </w:pPr>
            <w:r>
              <w:rPr>
                <w:b/>
                <w:bCs/>
                <w:sz w:val="19"/>
                <w:szCs w:val="19"/>
              </w:rPr>
              <w:t xml:space="preserve">Funkcja</w:t>
            </w:r>
          </w:p>
        </w:tc>
        <w:tc>
          <w:tcPr>
            <w:tcW w:type="dxa" w:w="4100"/>
            <w:shd w:fill="E8EDF2" w:color="auto" w:val="clear"/>
            <w:tcMar>
              <w:top w:type="dxa" w:w="70"/>
              <w:left w:type="dxa" w:w="110"/>
              <w:bottom w:type="dxa" w:w="70"/>
              <w:right w:type="dxa" w:w="110"/>
            </w:tcMar>
            <w:vAlign w:val="center"/>
          </w:tcPr>
          <w:p>
            <w:pPr>
              <w:spacing w:after="0" w:line="240"/>
            </w:pPr>
            <w:r>
              <w:rPr>
                <w:b/>
                <w:bCs/>
                <w:sz w:val="19"/>
                <w:szCs w:val="19"/>
              </w:rPr>
              <w:t xml:space="preserve">Przeznaczenie</w:t>
            </w:r>
          </w:p>
        </w:tc>
        <w:tc>
          <w:tcPr>
            <w:tcW w:type="dxa" w:w="2226"/>
            <w:shd w:fill="E8EDF2" w:color="auto" w:val="clear"/>
            <w:tcMar>
              <w:top w:type="dxa" w:w="70"/>
              <w:left w:type="dxa" w:w="110"/>
              <w:bottom w:type="dxa" w:w="70"/>
              <w:right w:type="dxa" w:w="110"/>
            </w:tcMar>
            <w:vAlign w:val="center"/>
          </w:tcPr>
          <w:p>
            <w:pPr>
              <w:spacing w:after="0" w:line="240"/>
            </w:pPr>
            <w:r>
              <w:rPr>
                <w:b/>
                <w:bCs/>
                <w:sz w:val="19"/>
                <w:szCs w:val="19"/>
              </w:rPr>
              <w:t xml:space="preserve">Źródło danych</w:t>
            </w:r>
          </w:p>
        </w:tc>
      </w:tr>
      <w:tr>
        <w:tc>
          <w:tcPr>
            <w:tcW w:type="dxa" w:w="2700"/>
            <w:tcMar>
              <w:top w:type="dxa" w:w="70"/>
              <w:left w:type="dxa" w:w="110"/>
              <w:bottom w:type="dxa" w:w="70"/>
              <w:right w:type="dxa" w:w="110"/>
            </w:tcMar>
            <w:vAlign w:val="center"/>
          </w:tcPr>
          <w:p>
            <w:pPr>
              <w:spacing w:after="0" w:line="240"/>
            </w:pPr>
            <w:r>
              <w:rPr>
                <w:sz w:val="19"/>
                <w:szCs w:val="19"/>
              </w:rPr>
              <w:t xml:space="preserve">Podpowiedzi uniwersalne</w:t>
            </w:r>
          </w:p>
        </w:tc>
        <w:tc>
          <w:tcPr>
            <w:tcW w:type="dxa" w:w="4100"/>
            <w:tcMar>
              <w:top w:type="dxa" w:w="70"/>
              <w:left w:type="dxa" w:w="110"/>
              <w:bottom w:type="dxa" w:w="70"/>
              <w:right w:type="dxa" w:w="110"/>
            </w:tcMar>
            <w:vAlign w:val="center"/>
          </w:tcPr>
          <w:p>
            <w:pPr>
              <w:spacing w:after="0" w:line="240"/>
            </w:pPr>
            <w:r>
              <w:rPr>
                <w:sz w:val="19"/>
                <w:szCs w:val="19"/>
              </w:rPr>
              <w:t xml:space="preserve">Pojedyncze pole „zacznij pisać adres” — miejscowości i ulice łącznie</w:t>
            </w:r>
          </w:p>
        </w:tc>
        <w:tc>
          <w:tcPr>
            <w:tcW w:type="dxa" w:w="2226"/>
            <w:tcMar>
              <w:top w:type="dxa" w:w="70"/>
              <w:left w:type="dxa" w:w="110"/>
              <w:bottom w:type="dxa" w:w="70"/>
              <w:right w:type="dxa" w:w="110"/>
            </w:tcMar>
            <w:vAlign w:val="center"/>
          </w:tcPr>
          <w:p>
            <w:pPr>
              <w:spacing w:after="0" w:line="240"/>
            </w:pPr>
            <w:r>
              <w:rPr>
                <w:sz w:val="19"/>
                <w:szCs w:val="19"/>
              </w:rPr>
              <w:t xml:space="preserve">Indeks w pamięci</w:t>
            </w:r>
          </w:p>
        </w:tc>
      </w:tr>
      <w:tr>
        <w:tc>
          <w:tcPr>
            <w:tcW w:type="dxa" w:w="2700"/>
            <w:shd w:fill="F5F7F9" w:color="auto" w:val="clear"/>
            <w:tcMar>
              <w:top w:type="dxa" w:w="70"/>
              <w:left w:type="dxa" w:w="110"/>
              <w:bottom w:type="dxa" w:w="70"/>
              <w:right w:type="dxa" w:w="110"/>
            </w:tcMar>
            <w:vAlign w:val="center"/>
          </w:tcPr>
          <w:p>
            <w:pPr>
              <w:spacing w:after="0" w:line="240"/>
            </w:pPr>
            <w:r>
              <w:rPr>
                <w:sz w:val="19"/>
                <w:szCs w:val="19"/>
              </w:rPr>
              <w:t xml:space="preserve">Podpowiedzi miejscowości</w:t>
            </w:r>
          </w:p>
        </w:tc>
        <w:tc>
          <w:tcPr>
            <w:tcW w:type="dxa" w:w="4100"/>
            <w:shd w:fill="F5F7F9" w:color="auto" w:val="clear"/>
            <w:tcMar>
              <w:top w:type="dxa" w:w="70"/>
              <w:left w:type="dxa" w:w="110"/>
              <w:bottom w:type="dxa" w:w="70"/>
              <w:right w:type="dxa" w:w="110"/>
            </w:tcMar>
            <w:vAlign w:val="center"/>
          </w:tcPr>
          <w:p>
            <w:pPr>
              <w:spacing w:after="0" w:line="240"/>
            </w:pPr>
            <w:r>
              <w:rPr>
                <w:sz w:val="19"/>
                <w:szCs w:val="19"/>
              </w:rPr>
              <w:t xml:space="preserve">Pole „miejscowość”</w:t>
            </w:r>
          </w:p>
        </w:tc>
        <w:tc>
          <w:tcPr>
            <w:tcW w:type="dxa" w:w="2226"/>
            <w:shd w:fill="F5F7F9" w:color="auto" w:val="clear"/>
            <w:tcMar>
              <w:top w:type="dxa" w:w="70"/>
              <w:left w:type="dxa" w:w="110"/>
              <w:bottom w:type="dxa" w:w="70"/>
              <w:right w:type="dxa" w:w="110"/>
            </w:tcMar>
            <w:vAlign w:val="center"/>
          </w:tcPr>
          <w:p>
            <w:pPr>
              <w:spacing w:after="0" w:line="240"/>
            </w:pPr>
            <w:r>
              <w:rPr>
                <w:sz w:val="19"/>
                <w:szCs w:val="19"/>
              </w:rPr>
              <w:t xml:space="preserve">Indeks w pamięci</w:t>
            </w:r>
          </w:p>
        </w:tc>
      </w:tr>
      <w:tr>
        <w:tc>
          <w:tcPr>
            <w:tcW w:type="dxa" w:w="2700"/>
            <w:tcMar>
              <w:top w:type="dxa" w:w="70"/>
              <w:left w:type="dxa" w:w="110"/>
              <w:bottom w:type="dxa" w:w="70"/>
              <w:right w:type="dxa" w:w="110"/>
            </w:tcMar>
            <w:vAlign w:val="center"/>
          </w:tcPr>
          <w:p>
            <w:pPr>
              <w:spacing w:after="0" w:line="240"/>
            </w:pPr>
            <w:r>
              <w:rPr>
                <w:sz w:val="19"/>
                <w:szCs w:val="19"/>
              </w:rPr>
              <w:t xml:space="preserve">Podpowiedzi ulic</w:t>
            </w:r>
          </w:p>
        </w:tc>
        <w:tc>
          <w:tcPr>
            <w:tcW w:type="dxa" w:w="4100"/>
            <w:tcMar>
              <w:top w:type="dxa" w:w="70"/>
              <w:left w:type="dxa" w:w="110"/>
              <w:bottom w:type="dxa" w:w="70"/>
              <w:right w:type="dxa" w:w="110"/>
            </w:tcMar>
            <w:vAlign w:val="center"/>
          </w:tcPr>
          <w:p>
            <w:pPr>
              <w:spacing w:after="0" w:line="240"/>
            </w:pPr>
            <w:r>
              <w:rPr>
                <w:sz w:val="19"/>
                <w:szCs w:val="19"/>
              </w:rPr>
              <w:t xml:space="preserve">Pole „ulica”, zawężone do wybranej miejscowości</w:t>
            </w:r>
          </w:p>
        </w:tc>
        <w:tc>
          <w:tcPr>
            <w:tcW w:type="dxa" w:w="2226"/>
            <w:tcMar>
              <w:top w:type="dxa" w:w="70"/>
              <w:left w:type="dxa" w:w="110"/>
              <w:bottom w:type="dxa" w:w="70"/>
              <w:right w:type="dxa" w:w="110"/>
            </w:tcMar>
            <w:vAlign w:val="center"/>
          </w:tcPr>
          <w:p>
            <w:pPr>
              <w:spacing w:after="0" w:line="240"/>
            </w:pPr>
            <w:r>
              <w:rPr>
                <w:sz w:val="19"/>
                <w:szCs w:val="19"/>
              </w:rPr>
              <w:t xml:space="preserve">Indeks w pamięci</w:t>
            </w:r>
          </w:p>
        </w:tc>
      </w:tr>
      <w:tr>
        <w:tc>
          <w:tcPr>
            <w:tcW w:type="dxa" w:w="2700"/>
            <w:shd w:fill="F5F7F9" w:color="auto" w:val="clear"/>
            <w:tcMar>
              <w:top w:type="dxa" w:w="70"/>
              <w:left w:type="dxa" w:w="110"/>
              <w:bottom w:type="dxa" w:w="70"/>
              <w:right w:type="dxa" w:w="110"/>
            </w:tcMar>
            <w:vAlign w:val="center"/>
          </w:tcPr>
          <w:p>
            <w:pPr>
              <w:spacing w:after="0" w:line="240"/>
            </w:pPr>
            <w:r>
              <w:rPr>
                <w:sz w:val="19"/>
                <w:szCs w:val="19"/>
              </w:rPr>
              <w:t xml:space="preserve">Szczegóły miejscowości</w:t>
            </w:r>
          </w:p>
        </w:tc>
        <w:tc>
          <w:tcPr>
            <w:tcW w:type="dxa" w:w="4100"/>
            <w:shd w:fill="F5F7F9" w:color="auto" w:val="clear"/>
            <w:tcMar>
              <w:top w:type="dxa" w:w="70"/>
              <w:left w:type="dxa" w:w="110"/>
              <w:bottom w:type="dxa" w:w="70"/>
              <w:right w:type="dxa" w:w="110"/>
            </w:tcMar>
            <w:vAlign w:val="center"/>
          </w:tcPr>
          <w:p>
            <w:pPr>
              <w:spacing w:after="0" w:line="240"/>
            </w:pPr>
            <w:r>
              <w:rPr>
                <w:sz w:val="19"/>
                <w:szCs w:val="19"/>
              </w:rPr>
              <w:t xml:space="preserve">Zwraca m.in. znacznik występowania ulic sterujący formularzem</w:t>
            </w:r>
          </w:p>
        </w:tc>
        <w:tc>
          <w:tcPr>
            <w:tcW w:type="dxa" w:w="2226"/>
            <w:shd w:fill="F5F7F9" w:color="auto" w:val="clear"/>
            <w:tcMar>
              <w:top w:type="dxa" w:w="70"/>
              <w:left w:type="dxa" w:w="110"/>
              <w:bottom w:type="dxa" w:w="70"/>
              <w:right w:type="dxa" w:w="110"/>
            </w:tcMar>
            <w:vAlign w:val="center"/>
          </w:tcPr>
          <w:p>
            <w:pPr>
              <w:spacing w:after="0" w:line="240"/>
            </w:pPr>
            <w:r>
              <w:rPr>
                <w:sz w:val="19"/>
                <w:szCs w:val="19"/>
              </w:rPr>
              <w:t xml:space="preserve">Baza danych</w:t>
            </w:r>
          </w:p>
        </w:tc>
      </w:tr>
      <w:tr>
        <w:tc>
          <w:tcPr>
            <w:tcW w:type="dxa" w:w="2700"/>
            <w:tcMar>
              <w:top w:type="dxa" w:w="70"/>
              <w:left w:type="dxa" w:w="110"/>
              <w:bottom w:type="dxa" w:w="70"/>
              <w:right w:type="dxa" w:w="110"/>
            </w:tcMar>
            <w:vAlign w:val="center"/>
          </w:tcPr>
          <w:p>
            <w:pPr>
              <w:spacing w:after="0" w:line="240"/>
            </w:pPr>
            <w:r>
              <w:rPr>
                <w:sz w:val="19"/>
                <w:szCs w:val="19"/>
              </w:rPr>
              <w:t xml:space="preserve">Numery budynków</w:t>
            </w:r>
          </w:p>
        </w:tc>
        <w:tc>
          <w:tcPr>
            <w:tcW w:type="dxa" w:w="4100"/>
            <w:tcMar>
              <w:top w:type="dxa" w:w="70"/>
              <w:left w:type="dxa" w:w="110"/>
              <w:bottom w:type="dxa" w:w="70"/>
              <w:right w:type="dxa" w:w="110"/>
            </w:tcMar>
            <w:vAlign w:val="center"/>
          </w:tcPr>
          <w:p>
            <w:pPr>
              <w:spacing w:after="0" w:line="240"/>
            </w:pPr>
            <w:r>
              <w:rPr>
                <w:sz w:val="19"/>
                <w:szCs w:val="19"/>
              </w:rPr>
              <w:t xml:space="preserve">Lista numerów na wybranej ulicy lub w miejscowości bez ulic</w:t>
            </w:r>
          </w:p>
        </w:tc>
        <w:tc>
          <w:tcPr>
            <w:tcW w:type="dxa" w:w="2226"/>
            <w:tcMar>
              <w:top w:type="dxa" w:w="70"/>
              <w:left w:type="dxa" w:w="110"/>
              <w:bottom w:type="dxa" w:w="70"/>
              <w:right w:type="dxa" w:w="110"/>
            </w:tcMar>
            <w:vAlign w:val="center"/>
          </w:tcPr>
          <w:p>
            <w:pPr>
              <w:spacing w:after="0" w:line="240"/>
            </w:pPr>
            <w:r>
              <w:rPr>
                <w:sz w:val="19"/>
                <w:szCs w:val="19"/>
              </w:rPr>
              <w:t xml:space="preserve">Baza danych</w:t>
            </w:r>
          </w:p>
        </w:tc>
      </w:tr>
      <w:tr>
        <w:tc>
          <w:tcPr>
            <w:tcW w:type="dxa" w:w="2700"/>
            <w:shd w:fill="F5F7F9" w:color="auto" w:val="clear"/>
            <w:tcMar>
              <w:top w:type="dxa" w:w="70"/>
              <w:left w:type="dxa" w:w="110"/>
              <w:bottom w:type="dxa" w:w="70"/>
              <w:right w:type="dxa" w:w="110"/>
            </w:tcMar>
            <w:vAlign w:val="center"/>
          </w:tcPr>
          <w:p>
            <w:pPr>
              <w:spacing w:after="0" w:line="240"/>
            </w:pPr>
            <w:r>
              <w:rPr>
                <w:sz w:val="19"/>
                <w:szCs w:val="19"/>
              </w:rPr>
              <w:t xml:space="preserve">Kod pocztowy</w:t>
            </w:r>
          </w:p>
        </w:tc>
        <w:tc>
          <w:tcPr>
            <w:tcW w:type="dxa" w:w="4100"/>
            <w:shd w:fill="F5F7F9" w:color="auto" w:val="clear"/>
            <w:tcMar>
              <w:top w:type="dxa" w:w="70"/>
              <w:left w:type="dxa" w:w="110"/>
              <w:bottom w:type="dxa" w:w="70"/>
              <w:right w:type="dxa" w:w="110"/>
            </w:tcMar>
            <w:vAlign w:val="center"/>
          </w:tcPr>
          <w:p>
            <w:pPr>
              <w:spacing w:after="0" w:line="240"/>
            </w:pPr>
            <w:r>
              <w:rPr>
                <w:sz w:val="19"/>
                <w:szCs w:val="19"/>
              </w:rPr>
              <w:t xml:space="preserve">Kod dla konkretnego adresu; w razie braku — kod dominujący na ulicy z oznaczeniem</w:t>
            </w:r>
          </w:p>
        </w:tc>
        <w:tc>
          <w:tcPr>
            <w:tcW w:type="dxa" w:w="2226"/>
            <w:shd w:fill="F5F7F9" w:color="auto" w:val="clear"/>
            <w:tcMar>
              <w:top w:type="dxa" w:w="70"/>
              <w:left w:type="dxa" w:w="110"/>
              <w:bottom w:type="dxa" w:w="70"/>
              <w:right w:type="dxa" w:w="110"/>
            </w:tcMar>
            <w:vAlign w:val="center"/>
          </w:tcPr>
          <w:p>
            <w:pPr>
              <w:spacing w:after="0" w:line="240"/>
            </w:pPr>
            <w:r>
              <w:rPr>
                <w:sz w:val="19"/>
                <w:szCs w:val="19"/>
              </w:rPr>
              <w:t xml:space="preserve">Baza danych</w:t>
            </w:r>
          </w:p>
        </w:tc>
      </w:tr>
      <w:tr>
        <w:tc>
          <w:tcPr>
            <w:tcW w:type="dxa" w:w="2700"/>
            <w:tcMar>
              <w:top w:type="dxa" w:w="70"/>
              <w:left w:type="dxa" w:w="110"/>
              <w:bottom w:type="dxa" w:w="70"/>
              <w:right w:type="dxa" w:w="110"/>
            </w:tcMar>
            <w:vAlign w:val="center"/>
          </w:tcPr>
          <w:p>
            <w:pPr>
              <w:spacing w:after="0" w:line="240"/>
            </w:pPr>
            <w:r>
              <w:rPr>
                <w:sz w:val="19"/>
                <w:szCs w:val="19"/>
              </w:rPr>
              <w:t xml:space="preserve">Rozbiór adresu</w:t>
            </w:r>
          </w:p>
        </w:tc>
        <w:tc>
          <w:tcPr>
            <w:tcW w:type="dxa" w:w="4100"/>
            <w:tcMar>
              <w:top w:type="dxa" w:w="70"/>
              <w:left w:type="dxa" w:w="110"/>
              <w:bottom w:type="dxa" w:w="70"/>
              <w:right w:type="dxa" w:w="110"/>
            </w:tcMar>
            <w:vAlign w:val="center"/>
          </w:tcPr>
          <w:p>
            <w:pPr>
              <w:spacing w:after="0" w:line="240"/>
            </w:pPr>
            <w:r>
              <w:rPr>
                <w:sz w:val="19"/>
                <w:szCs w:val="19"/>
              </w:rPr>
              <w:t xml:space="preserve">Rozdzielenie ciągu tekstowego na pola, bez odpytywania rejestru</w:t>
            </w:r>
          </w:p>
        </w:tc>
        <w:tc>
          <w:tcPr>
            <w:tcW w:type="dxa" w:w="2226"/>
            <w:tcMar>
              <w:top w:type="dxa" w:w="70"/>
              <w:left w:type="dxa" w:w="110"/>
              <w:bottom w:type="dxa" w:w="70"/>
              <w:right w:type="dxa" w:w="110"/>
            </w:tcMar>
            <w:vAlign w:val="center"/>
          </w:tcPr>
          <w:p>
            <w:pPr>
              <w:spacing w:after="0" w:line="240"/>
            </w:pPr>
            <w:r>
              <w:rPr>
                <w:sz w:val="19"/>
                <w:szCs w:val="19"/>
              </w:rPr>
              <w:t xml:space="preserve">Reguły lokalne</w:t>
            </w:r>
          </w:p>
        </w:tc>
      </w:tr>
      <w:tr>
        <w:tc>
          <w:tcPr>
            <w:tcW w:type="dxa" w:w="2700"/>
            <w:shd w:fill="F5F7F9" w:color="auto" w:val="clear"/>
            <w:tcMar>
              <w:top w:type="dxa" w:w="70"/>
              <w:left w:type="dxa" w:w="110"/>
              <w:bottom w:type="dxa" w:w="70"/>
              <w:right w:type="dxa" w:w="110"/>
            </w:tcMar>
            <w:vAlign w:val="center"/>
          </w:tcPr>
          <w:p>
            <w:pPr>
              <w:spacing w:after="0" w:line="240"/>
            </w:pPr>
            <w:r>
              <w:rPr>
                <w:sz w:val="19"/>
                <w:szCs w:val="19"/>
              </w:rPr>
              <w:t xml:space="preserve">Walidacja adresu</w:t>
            </w:r>
          </w:p>
        </w:tc>
        <w:tc>
          <w:tcPr>
            <w:tcW w:type="dxa" w:w="4100"/>
            <w:shd w:fill="F5F7F9" w:color="auto" w:val="clear"/>
            <w:tcMar>
              <w:top w:type="dxa" w:w="70"/>
              <w:left w:type="dxa" w:w="110"/>
              <w:bottom w:type="dxa" w:w="70"/>
              <w:right w:type="dxa" w:w="110"/>
            </w:tcMar>
            <w:vAlign w:val="center"/>
          </w:tcPr>
          <w:p>
            <w:pPr>
              <w:spacing w:after="0" w:line="240"/>
            </w:pPr>
            <w:r>
              <w:rPr>
                <w:sz w:val="19"/>
                <w:szCs w:val="19"/>
              </w:rPr>
              <w:t xml:space="preserve">Pełna weryfikacja z poziomem pewności i listą uwag</w:t>
            </w:r>
          </w:p>
        </w:tc>
        <w:tc>
          <w:tcPr>
            <w:tcW w:type="dxa" w:w="2226"/>
            <w:shd w:fill="F5F7F9" w:color="auto" w:val="clear"/>
            <w:tcMar>
              <w:top w:type="dxa" w:w="70"/>
              <w:left w:type="dxa" w:w="110"/>
              <w:bottom w:type="dxa" w:w="70"/>
              <w:right w:type="dxa" w:w="110"/>
            </w:tcMar>
            <w:vAlign w:val="center"/>
          </w:tcPr>
          <w:p>
            <w:pPr>
              <w:spacing w:after="0" w:line="240"/>
            </w:pPr>
            <w:r>
              <w:rPr>
                <w:sz w:val="19"/>
                <w:szCs w:val="19"/>
              </w:rPr>
              <w:t xml:space="preserve">Indeks + baza</w:t>
            </w:r>
          </w:p>
        </w:tc>
      </w:tr>
      <w:tr>
        <w:tc>
          <w:tcPr>
            <w:tcW w:type="dxa" w:w="2700"/>
            <w:tcMar>
              <w:top w:type="dxa" w:w="70"/>
              <w:left w:type="dxa" w:w="110"/>
              <w:bottom w:type="dxa" w:w="70"/>
              <w:right w:type="dxa" w:w="110"/>
            </w:tcMar>
            <w:vAlign w:val="center"/>
          </w:tcPr>
          <w:p>
            <w:pPr>
              <w:spacing w:after="0" w:line="240"/>
            </w:pPr>
            <w:r>
              <w:rPr>
                <w:sz w:val="19"/>
                <w:szCs w:val="19"/>
              </w:rPr>
              <w:t xml:space="preserve">Walidacja wsadowa (synchroniczna)</w:t>
            </w:r>
          </w:p>
        </w:tc>
        <w:tc>
          <w:tcPr>
            <w:tcW w:type="dxa" w:w="4100"/>
            <w:tcMar>
              <w:top w:type="dxa" w:w="70"/>
              <w:left w:type="dxa" w:w="110"/>
              <w:bottom w:type="dxa" w:w="70"/>
              <w:right w:type="dxa" w:w="110"/>
            </w:tcMar>
            <w:vAlign w:val="center"/>
          </w:tcPr>
          <w:p>
            <w:pPr>
              <w:spacing w:after="0" w:line="240"/>
            </w:pPr>
            <w:r>
              <w:rPr>
                <w:sz w:val="19"/>
                <w:szCs w:val="19"/>
              </w:rPr>
              <w:t xml:space="preserve">Do 1000 adresów przekazanych w treści żądania. Bez wysyłki pliku i bez kolejki — przetwarzanie sekwencyjne w jednym żądaniu HTTP</w:t>
            </w:r>
          </w:p>
        </w:tc>
        <w:tc>
          <w:tcPr>
            <w:tcW w:type="dxa" w:w="2226"/>
            <w:tcMar>
              <w:top w:type="dxa" w:w="70"/>
              <w:left w:type="dxa" w:w="110"/>
              <w:bottom w:type="dxa" w:w="70"/>
              <w:right w:type="dxa" w:w="110"/>
            </w:tcMar>
            <w:vAlign w:val="center"/>
          </w:tcPr>
          <w:p>
            <w:pPr>
              <w:spacing w:after="0" w:line="240"/>
            </w:pPr>
            <w:r>
              <w:rPr>
                <w:sz w:val="19"/>
                <w:szCs w:val="19"/>
              </w:rPr>
              <w:t xml:space="preserve">Indeks + baza</w:t>
            </w:r>
          </w:p>
        </w:tc>
      </w:tr>
      <w:tr>
        <w:tc>
          <w:tcPr>
            <w:tcW w:type="dxa" w:w="2700"/>
            <w:shd w:fill="F5F7F9" w:color="auto" w:val="clear"/>
            <w:tcMar>
              <w:top w:type="dxa" w:w="70"/>
              <w:left w:type="dxa" w:w="110"/>
              <w:bottom w:type="dxa" w:w="70"/>
              <w:right w:type="dxa" w:w="110"/>
            </w:tcMar>
            <w:vAlign w:val="center"/>
          </w:tcPr>
          <w:p>
            <w:pPr>
              <w:spacing w:after="0" w:line="240"/>
            </w:pPr>
            <w:r>
              <w:rPr>
                <w:sz w:val="19"/>
                <w:szCs w:val="19"/>
              </w:rPr>
              <w:t xml:space="preserve">Geokodowanie odwrotne</w:t>
            </w:r>
          </w:p>
        </w:tc>
        <w:tc>
          <w:tcPr>
            <w:tcW w:type="dxa" w:w="4100"/>
            <w:shd w:fill="F5F7F9" w:color="auto" w:val="clear"/>
            <w:tcMar>
              <w:top w:type="dxa" w:w="70"/>
              <w:left w:type="dxa" w:w="110"/>
              <w:bottom w:type="dxa" w:w="70"/>
              <w:right w:type="dxa" w:w="110"/>
            </w:tcMar>
            <w:vAlign w:val="center"/>
          </w:tcPr>
          <w:p>
            <w:pPr>
              <w:spacing w:after="0" w:line="240"/>
            </w:pPr>
            <w:r>
              <w:rPr>
                <w:sz w:val="19"/>
                <w:szCs w:val="19"/>
              </w:rPr>
              <w:t xml:space="preserve">Najbliższy adres dla podanych współrzędnych</w:t>
            </w:r>
          </w:p>
        </w:tc>
        <w:tc>
          <w:tcPr>
            <w:tcW w:type="dxa" w:w="2226"/>
            <w:shd w:fill="F5F7F9" w:color="auto" w:val="clear"/>
            <w:tcMar>
              <w:top w:type="dxa" w:w="70"/>
              <w:left w:type="dxa" w:w="110"/>
              <w:bottom w:type="dxa" w:w="70"/>
              <w:right w:type="dxa" w:w="110"/>
            </w:tcMar>
            <w:vAlign w:val="center"/>
          </w:tcPr>
          <w:p>
            <w:pPr>
              <w:spacing w:after="0" w:line="240"/>
            </w:pPr>
            <w:r>
              <w:rPr>
                <w:sz w:val="19"/>
                <w:szCs w:val="19"/>
              </w:rPr>
              <w:t xml:space="preserve">Baza danych</w:t>
            </w:r>
          </w:p>
        </w:tc>
      </w:tr>
      <w:tr>
        <w:tc>
          <w:tcPr>
            <w:tcW w:type="dxa" w:w="2700"/>
            <w:tcMar>
              <w:top w:type="dxa" w:w="70"/>
              <w:left w:type="dxa" w:w="110"/>
              <w:bottom w:type="dxa" w:w="70"/>
              <w:right w:type="dxa" w:w="110"/>
            </w:tcMar>
            <w:vAlign w:val="center"/>
          </w:tcPr>
          <w:p>
            <w:pPr>
              <w:spacing w:after="0" w:line="240"/>
            </w:pPr>
            <w:r>
              <w:rPr>
                <w:sz w:val="19"/>
                <w:szCs w:val="19"/>
              </w:rPr>
              <w:t xml:space="preserve">Metadane zbioru</w:t>
            </w:r>
          </w:p>
        </w:tc>
        <w:tc>
          <w:tcPr>
            <w:tcW w:type="dxa" w:w="4100"/>
            <w:tcMar>
              <w:top w:type="dxa" w:w="70"/>
              <w:left w:type="dxa" w:w="110"/>
              <w:bottom w:type="dxa" w:w="70"/>
              <w:right w:type="dxa" w:w="110"/>
            </w:tcMar>
            <w:vAlign w:val="center"/>
          </w:tcPr>
          <w:p>
            <w:pPr>
              <w:spacing w:after="0" w:line="240"/>
            </w:pPr>
            <w:r>
              <w:rPr>
                <w:sz w:val="19"/>
                <w:szCs w:val="19"/>
              </w:rPr>
              <w:t xml:space="preserve">Wersja danych, data ostatniego zrzutu, ostrzeżenie o przeterminowaniu</w:t>
            </w:r>
          </w:p>
        </w:tc>
        <w:tc>
          <w:tcPr>
            <w:tcW w:type="dxa" w:w="2226"/>
            <w:tcMar>
              <w:top w:type="dxa" w:w="70"/>
              <w:left w:type="dxa" w:w="110"/>
              <w:bottom w:type="dxa" w:w="70"/>
              <w:right w:type="dxa" w:w="110"/>
            </w:tcMar>
            <w:vAlign w:val="center"/>
          </w:tcPr>
          <w:p>
            <w:pPr>
              <w:spacing w:after="0" w:line="240"/>
            </w:pPr>
            <w:r>
              <w:rPr>
                <w:sz w:val="19"/>
                <w:szCs w:val="19"/>
              </w:rPr>
              <w:t xml:space="preserve">Indeks + baza</w:t>
            </w:r>
          </w:p>
        </w:tc>
      </w:tr>
    </w:tbl>
    <w:p>
      <w:pPr>
        <w:spacing w:after="160"/>
      </w:pPr>
    </w:p>
    <w:p>
      <w:pPr>
        <w:spacing w:after="120" w:line="276"/>
      </w:pPr>
      <w:r>
        <w:rPr>
          <w:sz w:val="21"/>
          <w:szCs w:val="21"/>
        </w:rPr>
        <w:t xml:space="preserve">Poza przestrzenią /v1 serwis udostępnia cztery punkty operacyjne: sondę żywotności, sondę gotowości, 17 metryk w formacie Prometheusa oraz czytelny dla człowieka podgląd stanu z gotowymi ostrzeżeniami. Razem daje to 15 punktów końcowych.</w:t>
      </w:r>
    </w:p>
    <w:p>
      <w:pPr>
        <w:pBdr>
          <w:top w:val="single" w:color="D5DBE0" w:sz="4"/>
          <w:bottom w:val="single" w:color="D5DBE0" w:sz="0"/>
          <w:left w:val="single" w:color="D5DBE0" w:sz="4"/>
          <w:right w:val="single" w:color="D5DBE0" w:sz="4"/>
        </w:pBdr>
        <w:shd w:fill="E8EDF2" w:color="auto" w:val="clear"/>
        <w:spacing w:after="0" w:before="160" w:line="276"/>
        <w:ind w:left="120" w:right="120"/>
      </w:pPr>
      <w:r>
        <w:rPr>
          <w:b/>
          <w:bCs/>
          <w:sz w:val="21"/>
          <w:szCs w:val="21"/>
        </w:rPr>
        <w:t xml:space="preserve">Uwaga dla analityka: dwa liczniki wieku danych, ta sama liczba 30 dni</w:t>
      </w:r>
    </w:p>
    <w:p>
      <w:pPr>
        <w:pBdr>
          <w:top w:val="single" w:color="D5DBE0" w:sz="0"/>
          <w:bottom w:val="single" w:color="D5DBE0" w:sz="0"/>
          <w:left w:val="single" w:color="D5DBE0" w:sz="4"/>
          <w:right w:val="single" w:color="D5DBE0" w:sz="4"/>
        </w:pBdr>
        <w:shd w:fill="E8EDF2" w:color="auto" w:val="clear"/>
        <w:spacing w:after="60" w:line="276"/>
        <w:ind w:left="120" w:right="120"/>
      </w:pPr>
      <w:r>
        <w:rPr>
          <w:sz w:val="20"/>
          <w:szCs w:val="20"/>
        </w:rPr>
        <w:t xml:space="preserve">Funkcja metadanych zwraca ostrzeżenie, gdy najnowszy zrzut ma ponad 30 dni. Liczy jednak wiek ostatniego POBRANEGO pliku dowolnego źródła — pobranie słowników TERYT albo paczki odrzuconej potem przez kontrole jakości wygasza to ostrzeżenie, mimo że dane produkcyjne stoją.</w:t>
      </w:r>
    </w:p>
    <w:p>
      <w:pPr>
        <w:pBdr>
          <w:top w:val="single" w:color="D5DBE0" w:sz="0"/>
          <w:bottom w:val="single" w:color="D5DBE0" w:sz="0"/>
          <w:left w:val="single" w:color="D5DBE0" w:sz="4"/>
          <w:right w:val="single" w:color="D5DBE0" w:sz="4"/>
        </w:pBdr>
        <w:shd w:fill="E8EDF2" w:color="auto" w:val="clear"/>
        <w:spacing w:after="60" w:line="276"/>
        <w:ind w:left="120" w:right="120"/>
      </w:pPr>
      <w:r>
        <w:rPr>
          <w:sz w:val="20"/>
          <w:szCs w:val="20"/>
        </w:rPr>
        <w:t xml:space="preserve">Do monitorowania należy użyć metryki wieku danych z punktu /metrics, która liczy wiek ostatniego OPUBLIKOWANEGO zrzutu PRG. To ona odpowiada scenariuszowi z czerwca 2024 roku.</w:t>
      </w:r>
    </w:p>
    <w:p>
      <w:pPr>
        <w:pBdr>
          <w:top w:val="single" w:color="D5DBE0" w:sz="0"/>
          <w:bottom w:val="single" w:color="D5DBE0" w:sz="4"/>
          <w:left w:val="single" w:color="D5DBE0" w:sz="4"/>
          <w:right w:val="single" w:color="D5DBE0" w:sz="4"/>
        </w:pBdr>
        <w:shd w:fill="E8EDF2" w:color="auto" w:val="clear"/>
        <w:spacing w:after="0" w:line="276"/>
        <w:ind w:left="120" w:right="120"/>
      </w:pPr>
      <w:r>
        <w:rPr>
          <w:sz w:val="20"/>
          <w:szCs w:val="20"/>
        </w:rPr>
        <w:t xml:space="preserve">Wyrównanie obu mechanizmów jest pozycją w planie prac. Do tego czasu ostrzeżenie z funkcji metadanych należy traktować jako informację dla aplikacji, a nie jako sygnał operacyjny.</w:t>
      </w:r>
    </w:p>
    <w:p>
      <w:pPr>
        <w:spacing w:after="180"/>
      </w:pPr>
    </w:p>
    <w:p>
      <w:pPr>
        <w:pStyle w:val="Heading2"/>
        <w:spacing w:after="140" w:before="280"/>
      </w:pPr>
      <w:r>
        <w:t xml:space="preserve">5.5. Bezpieczeństwo dostępu — stan obecny</w:t>
      </w:r>
    </w:p>
    <w:p>
      <w:pPr>
        <w:pBdr>
          <w:top w:val="single" w:color="D5DBE0" w:sz="4"/>
          <w:bottom w:val="single" w:color="D5DBE0" w:sz="0"/>
          <w:left w:val="single" w:color="D5DBE0" w:sz="4"/>
          <w:right w:val="single" w:color="D5DBE0" w:sz="4"/>
        </w:pBdr>
        <w:shd w:fill="FBEAEA" w:color="auto" w:val="clear"/>
        <w:spacing w:after="0" w:before="160" w:line="276"/>
        <w:ind w:left="120" w:right="120"/>
      </w:pPr>
      <w:r>
        <w:rPr>
          <w:b/>
          <w:bCs/>
          <w:sz w:val="21"/>
          <w:szCs w:val="21"/>
        </w:rPr>
        <w:t xml:space="preserve">Serwis nie uwierzytelnia klientów</w:t>
      </w:r>
    </w:p>
    <w:p>
      <w:pPr>
        <w:pBdr>
          <w:top w:val="single" w:color="D5DBE0" w:sz="0"/>
          <w:bottom w:val="single" w:color="D5DBE0" w:sz="0"/>
          <w:left w:val="single" w:color="D5DBE0" w:sz="4"/>
          <w:right w:val="single" w:color="D5DBE0" w:sz="4"/>
        </w:pBdr>
        <w:shd w:fill="FBEAEA" w:color="auto" w:val="clear"/>
        <w:spacing w:after="60" w:line="276"/>
        <w:ind w:left="120" w:right="120"/>
      </w:pPr>
      <w:r>
        <w:rPr>
          <w:sz w:val="20"/>
          <w:szCs w:val="20"/>
        </w:rPr>
        <w:t xml:space="preserve">W mikroserwisie nie ma mechanizmu weryfikacji tożsamości klienta. Nagłówek klucza API jest odczytywany wyłącznie po to, by rozdzielić kubełki limitowania zapytań — jego wartość nie jest z niczym porównywana.</w:t>
      </w:r>
    </w:p>
    <w:p>
      <w:pPr>
        <w:pBdr>
          <w:top w:val="single" w:color="D5DBE0" w:sz="0"/>
          <w:bottom w:val="single" w:color="D5DBE0" w:sz="0"/>
          <w:left w:val="single" w:color="D5DBE0" w:sz="4"/>
          <w:right w:val="single" w:color="D5DBE0" w:sz="4"/>
        </w:pBdr>
        <w:shd w:fill="FBEAEA" w:color="auto" w:val="clear"/>
        <w:spacing w:after="60" w:line="276"/>
        <w:ind w:left="120" w:right="120"/>
      </w:pPr>
      <w:r>
        <w:rPr>
          <w:sz w:val="20"/>
          <w:szCs w:val="20"/>
        </w:rPr>
        <w:t xml:space="preserve">Ma to bezpośrednią konsekwencję: klient wysyłający przy każdym żądaniu losową wartość tego nagłówka otrzymuje za każdym razem świeży licznik i całkowicie omija limitowanie. To nie jest brak funkcji, lecz działający mechanizm obejścia zabezpieczenia.</w:t>
      </w:r>
    </w:p>
    <w:p>
      <w:pPr>
        <w:pBdr>
          <w:top w:val="single" w:color="D5DBE0" w:sz="0"/>
          <w:bottom w:val="single" w:color="D5DBE0" w:sz="0"/>
          <w:left w:val="single" w:color="D5DBE0" w:sz="4"/>
          <w:right w:val="single" w:color="D5DBE0" w:sz="4"/>
        </w:pBdr>
        <w:shd w:fill="FBEAEA" w:color="auto" w:val="clear"/>
        <w:spacing w:after="60" w:line="276"/>
        <w:ind w:left="120" w:right="120"/>
      </w:pPr>
      <w:r>
        <w:rPr>
          <w:sz w:val="20"/>
          <w:szCs w:val="20"/>
        </w:rPr>
        <w:t xml:space="preserve">Dodatkowo limiter przechowuje liczniki w pamięci pojedynczej instancji, więc przy kilku replikach efektywny limit mnoży się przez ich liczbę, a polityka pochodzenia zapytań (CORS) domyślnie dopuszcza dowolne źródło.</w:t>
      </w:r>
    </w:p>
    <w:p>
      <w:pPr>
        <w:pBdr>
          <w:top w:val="single" w:color="D5DBE0" w:sz="0"/>
          <w:bottom w:val="single" w:color="D5DBE0" w:sz="4"/>
          <w:left w:val="single" w:color="D5DBE0" w:sz="4"/>
          <w:right w:val="single" w:color="D5DBE0" w:sz="4"/>
        </w:pBdr>
        <w:shd w:fill="FBEAEA" w:color="auto" w:val="clear"/>
        <w:spacing w:after="0" w:line="276"/>
        <w:ind w:left="120" w:right="120"/>
      </w:pPr>
      <w:r>
        <w:rPr>
          <w:sz w:val="20"/>
          <w:szCs w:val="20"/>
        </w:rPr>
        <w:t xml:space="preserve">Wniosek: do czasu wdrożenia kluczy API z licencjami serwis nie powinien być wystawiany poza sieć wewnętrzną Zamawiającego.</w:t>
      </w:r>
    </w:p>
    <w:p>
      <w:pPr>
        <w:spacing w:after="180"/>
      </w:pPr>
    </w:p>
    <w:p>
      <w:pPr>
        <w:spacing w:after="120" w:line="276"/>
      </w:pPr>
      <w:r>
        <w:rPr>
          <w:b/>
          <w:bCs/>
          <w:sz w:val="21"/>
          <w:szCs w:val="21"/>
        </w:rPr>
        <w:t xml:space="preserve">Zamknięcie doraźne — 0,25 dnia. </w:t>
      </w:r>
      <w:r>
        <w:rPr>
          <w:sz w:val="21"/>
          <w:szCs w:val="21"/>
        </w:rPr>
        <w:t xml:space="preserve">Przestawienie limitowania na adres sieciowy klienta, wraz z poprawną obsługą adresu przekazywanego przez warstwę wejściową, zamyka samą lukę obejścia. Nie zastępuje uwierzytelniania, ale usuwa stan, w którym zabezpieczenie tylko pozornie działa. Pełne rozwiązanie — klucze API z terminem ważności, limitami i licencjami — opisano w rozdziale 10 jako etap komercjalizacji.</w:t>
      </w:r>
    </w:p>
    <w:p>
      <w:r>
        <w:br w:type="page"/>
      </w:r>
    </w:p>
    <w:p>
      <w:pPr>
        <w:pStyle w:val="Heading1"/>
        <w:spacing w:after="180" w:before="360"/>
      </w:pPr>
      <w:r>
        <w:t xml:space="preserve">6. Model danych i reguły — dla analityka</w:t>
      </w:r>
    </w:p>
    <w:p>
      <w:pPr>
        <w:pStyle w:val="Heading2"/>
        <w:spacing w:after="140" w:before="280"/>
      </w:pPr>
      <w:r>
        <w:t xml:space="preserve">6.1. Encje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3900"/>
        <w:gridCol w:w="1926"/>
      </w:tblGrid>
      <w:tr>
        <w:trPr>
          <w:tblHeader/>
        </w:trPr>
        <w:tc>
          <w:tcPr>
            <w:tcW w:type="dxa" w:w="1700"/>
            <w:shd w:fill="E8EDF2" w:color="auto" w:val="clear"/>
            <w:tcMar>
              <w:top w:type="dxa" w:w="70"/>
              <w:left w:type="dxa" w:w="110"/>
              <w:bottom w:type="dxa" w:w="70"/>
              <w:right w:type="dxa" w:w="110"/>
            </w:tcMar>
            <w:vAlign w:val="center"/>
          </w:tcPr>
          <w:p>
            <w:pPr>
              <w:spacing w:after="0" w:line="240"/>
            </w:pPr>
            <w:r>
              <w:rPr>
                <w:b/>
                <w:bCs/>
                <w:sz w:val="19"/>
                <w:szCs w:val="19"/>
              </w:rPr>
              <w:t xml:space="preserve">Encja</w:t>
            </w:r>
          </w:p>
        </w:tc>
        <w:tc>
          <w:tcPr>
            <w:tcW w:type="dxa" w:w="1500"/>
            <w:shd w:fill="E8EDF2" w:color="auto" w:val="clear"/>
            <w:tcMar>
              <w:top w:type="dxa" w:w="70"/>
              <w:left w:type="dxa" w:w="110"/>
              <w:bottom w:type="dxa" w:w="70"/>
              <w:right w:type="dxa" w:w="110"/>
            </w:tcMar>
            <w:vAlign w:val="center"/>
          </w:tcPr>
          <w:p>
            <w:pPr>
              <w:spacing w:after="0" w:line="240"/>
            </w:pPr>
            <w:r>
              <w:rPr>
                <w:b/>
                <w:bCs/>
                <w:sz w:val="19"/>
                <w:szCs w:val="19"/>
              </w:rPr>
              <w:t xml:space="preserve">Klucz główny</w:t>
            </w:r>
          </w:p>
        </w:tc>
        <w:tc>
          <w:tcPr>
            <w:tcW w:type="dxa" w:w="3900"/>
            <w:shd w:fill="E8EDF2" w:color="auto" w:val="clear"/>
            <w:tcMar>
              <w:top w:type="dxa" w:w="70"/>
              <w:left w:type="dxa" w:w="110"/>
              <w:bottom w:type="dxa" w:w="70"/>
              <w:right w:type="dxa" w:w="110"/>
            </w:tcMar>
            <w:vAlign w:val="center"/>
          </w:tcPr>
          <w:p>
            <w:pPr>
              <w:spacing w:after="0" w:line="240"/>
            </w:pPr>
            <w:r>
              <w:rPr>
                <w:b/>
                <w:bCs/>
                <w:sz w:val="19"/>
                <w:szCs w:val="19"/>
              </w:rPr>
              <w:t xml:space="preserve">Opis</w:t>
            </w:r>
          </w:p>
        </w:tc>
        <w:tc>
          <w:tcPr>
            <w:tcW w:type="dxa" w:w="1926"/>
            <w:shd w:fill="E8EDF2" w:color="auto" w:val="clear"/>
            <w:tcMar>
              <w:top w:type="dxa" w:w="70"/>
              <w:left w:type="dxa" w:w="110"/>
              <w:bottom w:type="dxa" w:w="70"/>
              <w:right w:type="dxa" w:w="110"/>
            </w:tcMar>
            <w:vAlign w:val="center"/>
          </w:tcPr>
          <w:p>
            <w:pPr>
              <w:spacing w:after="0" w:line="240"/>
            </w:pPr>
            <w:r>
              <w:rPr>
                <w:b/>
                <w:bCs/>
                <w:sz w:val="19"/>
                <w:szCs w:val="19"/>
              </w:rPr>
              <w:t xml:space="preserve">Liczność docelowa</w:t>
            </w:r>
          </w:p>
        </w:tc>
      </w:tr>
      <w:tr>
        <w:tc>
          <w:tcPr>
            <w:tcW w:type="dxa" w:w="1700"/>
            <w:tcMar>
              <w:top w:type="dxa" w:w="70"/>
              <w:left w:type="dxa" w:w="110"/>
              <w:bottom w:type="dxa" w:w="70"/>
              <w:right w:type="dxa" w:w="110"/>
            </w:tcMar>
            <w:vAlign w:val="center"/>
          </w:tcPr>
          <w:p>
            <w:pPr>
              <w:spacing w:after="0" w:line="240"/>
            </w:pPr>
            <w:r>
              <w:rPr>
                <w:sz w:val="19"/>
                <w:szCs w:val="19"/>
              </w:rPr>
              <w:t xml:space="preserve">Jednostka TERYT</w:t>
            </w:r>
          </w:p>
        </w:tc>
        <w:tc>
          <w:tcPr>
            <w:tcW w:type="dxa" w:w="1500"/>
            <w:tcMar>
              <w:top w:type="dxa" w:w="70"/>
              <w:left w:type="dxa" w:w="110"/>
              <w:bottom w:type="dxa" w:w="70"/>
              <w:right w:type="dxa" w:w="110"/>
            </w:tcMar>
            <w:vAlign w:val="center"/>
          </w:tcPr>
          <w:p>
            <w:pPr>
              <w:spacing w:after="0" w:line="240"/>
            </w:pPr>
            <w:r>
              <w:rPr>
                <w:sz w:val="19"/>
                <w:szCs w:val="19"/>
              </w:rPr>
              <w:t xml:space="preserve">TERC (7 znaków)</w:t>
            </w:r>
          </w:p>
        </w:tc>
        <w:tc>
          <w:tcPr>
            <w:tcW w:type="dxa" w:w="3900"/>
            <w:tcMar>
              <w:top w:type="dxa" w:w="70"/>
              <w:left w:type="dxa" w:w="110"/>
              <w:bottom w:type="dxa" w:w="70"/>
              <w:right w:type="dxa" w:w="110"/>
            </w:tcMar>
            <w:vAlign w:val="center"/>
          </w:tcPr>
          <w:p>
            <w:pPr>
              <w:spacing w:after="0" w:line="240"/>
            </w:pPr>
            <w:r>
              <w:rPr>
                <w:sz w:val="19"/>
                <w:szCs w:val="19"/>
              </w:rPr>
              <w:t xml:space="preserve">Województwo, powiat, gmina — hierarchia</w:t>
            </w:r>
          </w:p>
        </w:tc>
        <w:tc>
          <w:tcPr>
            <w:tcW w:type="dxa" w:w="1926"/>
            <w:tcMar>
              <w:top w:type="dxa" w:w="70"/>
              <w:left w:type="dxa" w:w="110"/>
              <w:bottom w:type="dxa" w:w="70"/>
              <w:right w:type="dxa" w:w="110"/>
            </w:tcMar>
            <w:vAlign w:val="center"/>
          </w:tcPr>
          <w:p>
            <w:pPr>
              <w:spacing w:after="0" w:line="240"/>
            </w:pPr>
            <w:r>
              <w:rPr>
                <w:sz w:val="19"/>
                <w:szCs w:val="19"/>
              </w:rPr>
              <w:t xml:space="preserve">ok. 3 tys.</w:t>
            </w:r>
          </w:p>
        </w:tc>
      </w:tr>
      <w:tr>
        <w:tc>
          <w:tcPr>
            <w:tcW w:type="dxa" w:w="1700"/>
            <w:shd w:fill="F5F7F9" w:color="auto" w:val="clear"/>
            <w:tcMar>
              <w:top w:type="dxa" w:w="70"/>
              <w:left w:type="dxa" w:w="110"/>
              <w:bottom w:type="dxa" w:w="70"/>
              <w:right w:type="dxa" w:w="110"/>
            </w:tcMar>
            <w:vAlign w:val="center"/>
          </w:tcPr>
          <w:p>
            <w:pPr>
              <w:spacing w:after="0" w:line="240"/>
            </w:pPr>
            <w:r>
              <w:rPr>
                <w:sz w:val="19"/>
                <w:szCs w:val="19"/>
              </w:rPr>
              <w:t xml:space="preserve">Miejscowość</w:t>
            </w:r>
          </w:p>
        </w:tc>
        <w:tc>
          <w:tcPr>
            <w:tcW w:type="dxa" w:w="1500"/>
            <w:shd w:fill="F5F7F9" w:color="auto" w:val="clear"/>
            <w:tcMar>
              <w:top w:type="dxa" w:w="70"/>
              <w:left w:type="dxa" w:w="110"/>
              <w:bottom w:type="dxa" w:w="70"/>
              <w:right w:type="dxa" w:w="110"/>
            </w:tcMar>
            <w:vAlign w:val="center"/>
          </w:tcPr>
          <w:p>
            <w:pPr>
              <w:spacing w:after="0" w:line="240"/>
            </w:pPr>
            <w:r>
              <w:rPr>
                <w:sz w:val="19"/>
                <w:szCs w:val="19"/>
              </w:rPr>
              <w:t xml:space="preserve">SIMC (7 znaków)</w:t>
            </w:r>
          </w:p>
        </w:tc>
        <w:tc>
          <w:tcPr>
            <w:tcW w:type="dxa" w:w="3900"/>
            <w:shd w:fill="F5F7F9" w:color="auto" w:val="clear"/>
            <w:tcMar>
              <w:top w:type="dxa" w:w="70"/>
              <w:left w:type="dxa" w:w="110"/>
              <w:bottom w:type="dxa" w:w="70"/>
              <w:right w:type="dxa" w:w="110"/>
            </w:tcMar>
            <w:vAlign w:val="center"/>
          </w:tcPr>
          <w:p>
            <w:pPr>
              <w:spacing w:after="0" w:line="240"/>
            </w:pPr>
            <w:r>
              <w:rPr>
                <w:sz w:val="19"/>
                <w:szCs w:val="19"/>
              </w:rPr>
              <w:t xml:space="preserve">Nazwa, rodzaj, gmina, centroid, znacznik występowania ulic</w:t>
            </w:r>
          </w:p>
        </w:tc>
        <w:tc>
          <w:tcPr>
            <w:tcW w:type="dxa" w:w="1926"/>
            <w:shd w:fill="F5F7F9" w:color="auto" w:val="clear"/>
            <w:tcMar>
              <w:top w:type="dxa" w:w="70"/>
              <w:left w:type="dxa" w:w="110"/>
              <w:bottom w:type="dxa" w:w="70"/>
              <w:right w:type="dxa" w:w="110"/>
            </w:tcMar>
            <w:vAlign w:val="center"/>
          </w:tcPr>
          <w:p>
            <w:pPr>
              <w:spacing w:after="0" w:line="240"/>
            </w:pPr>
            <w:r>
              <w:rPr>
                <w:sz w:val="19"/>
                <w:szCs w:val="19"/>
              </w:rPr>
              <w:t xml:space="preserve">ok. 103 tys.</w:t>
            </w:r>
          </w:p>
        </w:tc>
      </w:tr>
      <w:tr>
        <w:tc>
          <w:tcPr>
            <w:tcW w:type="dxa" w:w="1700"/>
            <w:tcMar>
              <w:top w:type="dxa" w:w="70"/>
              <w:left w:type="dxa" w:w="110"/>
              <w:bottom w:type="dxa" w:w="70"/>
              <w:right w:type="dxa" w:w="110"/>
            </w:tcMar>
            <w:vAlign w:val="center"/>
          </w:tcPr>
          <w:p>
            <w:pPr>
              <w:spacing w:after="0" w:line="240"/>
            </w:pPr>
            <w:r>
              <w:rPr>
                <w:sz w:val="19"/>
                <w:szCs w:val="19"/>
              </w:rPr>
              <w:t xml:space="preserve">Ulica</w:t>
            </w:r>
          </w:p>
        </w:tc>
        <w:tc>
          <w:tcPr>
            <w:tcW w:type="dxa" w:w="1500"/>
            <w:tcMar>
              <w:top w:type="dxa" w:w="70"/>
              <w:left w:type="dxa" w:w="110"/>
              <w:bottom w:type="dxa" w:w="70"/>
              <w:right w:type="dxa" w:w="110"/>
            </w:tcMar>
            <w:vAlign w:val="center"/>
          </w:tcPr>
          <w:p>
            <w:pPr>
              <w:spacing w:after="0" w:line="240"/>
            </w:pPr>
            <w:r>
              <w:rPr>
                <w:sz w:val="19"/>
                <w:szCs w:val="19"/>
              </w:rPr>
              <w:t xml:space="preserve">identyfikator wewnętrzny</w:t>
            </w:r>
          </w:p>
        </w:tc>
        <w:tc>
          <w:tcPr>
            <w:tcW w:type="dxa" w:w="3900"/>
            <w:tcMar>
              <w:top w:type="dxa" w:w="70"/>
              <w:left w:type="dxa" w:w="110"/>
              <w:bottom w:type="dxa" w:w="70"/>
              <w:right w:type="dxa" w:w="110"/>
            </w:tcMar>
            <w:vAlign w:val="center"/>
          </w:tcPr>
          <w:p>
            <w:pPr>
              <w:spacing w:after="0" w:line="240"/>
            </w:pPr>
            <w:r>
              <w:rPr>
                <w:sz w:val="19"/>
                <w:szCs w:val="19"/>
              </w:rPr>
              <w:t xml:space="preserve">Cecha, nazwa oficjalna, nazwa potoczna, powiązanie z miejscowością. Encja scala katalog TERYT z ulicami występującymi wyłącznie w PRG</w:t>
            </w:r>
          </w:p>
        </w:tc>
        <w:tc>
          <w:tcPr>
            <w:tcW w:type="dxa" w:w="1926"/>
            <w:tcMar>
              <w:top w:type="dxa" w:w="70"/>
              <w:left w:type="dxa" w:w="110"/>
              <w:bottom w:type="dxa" w:w="70"/>
              <w:right w:type="dxa" w:w="110"/>
            </w:tcMar>
            <w:vAlign w:val="center"/>
          </w:tcPr>
          <w:p>
            <w:pPr>
              <w:spacing w:after="0" w:line="240"/>
            </w:pPr>
            <w:r>
              <w:rPr>
                <w:sz w:val="19"/>
                <w:szCs w:val="19"/>
              </w:rPr>
              <w:t xml:space="preserve">ponad 385 tys. — rośnie wraz z przetwarzaniem kolejnych województw</w:t>
            </w:r>
          </w:p>
        </w:tc>
      </w:tr>
      <w:tr>
        <w:tc>
          <w:tcPr>
            <w:tcW w:type="dxa" w:w="1700"/>
            <w:shd w:fill="F5F7F9" w:color="auto" w:val="clear"/>
            <w:tcMar>
              <w:top w:type="dxa" w:w="70"/>
              <w:left w:type="dxa" w:w="110"/>
              <w:bottom w:type="dxa" w:w="70"/>
              <w:right w:type="dxa" w:w="110"/>
            </w:tcMar>
            <w:vAlign w:val="center"/>
          </w:tcPr>
          <w:p>
            <w:pPr>
              <w:spacing w:after="0" w:line="240"/>
            </w:pPr>
            <w:r>
              <w:rPr>
                <w:sz w:val="19"/>
                <w:szCs w:val="19"/>
              </w:rPr>
              <w:t xml:space="preserve">Punkt adresowy</w:t>
            </w:r>
          </w:p>
        </w:tc>
        <w:tc>
          <w:tcPr>
            <w:tcW w:type="dxa" w:w="1500"/>
            <w:shd w:fill="F5F7F9" w:color="auto" w:val="clear"/>
            <w:tcMar>
              <w:top w:type="dxa" w:w="70"/>
              <w:left w:type="dxa" w:w="110"/>
              <w:bottom w:type="dxa" w:w="70"/>
              <w:right w:type="dxa" w:w="110"/>
            </w:tcMar>
            <w:vAlign w:val="center"/>
          </w:tcPr>
          <w:p>
            <w:pPr>
              <w:spacing w:after="0" w:line="240"/>
            </w:pPr>
            <w:r>
              <w:rPr>
                <w:sz w:val="19"/>
                <w:szCs w:val="19"/>
              </w:rPr>
              <w:t xml:space="preserve">identyfikator wewnętrzny</w:t>
            </w:r>
          </w:p>
        </w:tc>
        <w:tc>
          <w:tcPr>
            <w:tcW w:type="dxa" w:w="3900"/>
            <w:shd w:fill="F5F7F9" w:color="auto" w:val="clear"/>
            <w:tcMar>
              <w:top w:type="dxa" w:w="70"/>
              <w:left w:type="dxa" w:w="110"/>
              <w:bottom w:type="dxa" w:w="70"/>
              <w:right w:type="dxa" w:w="110"/>
            </w:tcMar>
            <w:vAlign w:val="center"/>
          </w:tcPr>
          <w:p>
            <w:pPr>
              <w:spacing w:after="0" w:line="240"/>
            </w:pPr>
            <w:r>
              <w:rPr>
                <w:sz w:val="19"/>
                <w:szCs w:val="19"/>
              </w:rPr>
              <w:t xml:space="preserve">Numer budynku, kod pocztowy, współrzędne, status</w:t>
            </w:r>
          </w:p>
        </w:tc>
        <w:tc>
          <w:tcPr>
            <w:tcW w:type="dxa" w:w="1926"/>
            <w:shd w:fill="F5F7F9" w:color="auto" w:val="clear"/>
            <w:tcMar>
              <w:top w:type="dxa" w:w="70"/>
              <w:left w:type="dxa" w:w="110"/>
              <w:bottom w:type="dxa" w:w="70"/>
              <w:right w:type="dxa" w:w="110"/>
            </w:tcMar>
            <w:vAlign w:val="center"/>
          </w:tcPr>
          <w:p>
            <w:pPr>
              <w:spacing w:after="0" w:line="240"/>
            </w:pPr>
            <w:r>
              <w:rPr>
                <w:sz w:val="19"/>
                <w:szCs w:val="19"/>
              </w:rPr>
              <w:t xml:space="preserve">ok. 8,56 mln</w:t>
            </w:r>
          </w:p>
        </w:tc>
      </w:tr>
    </w:tbl>
    <w:p>
      <w:pPr>
        <w:spacing w:after="160"/>
      </w:pPr>
    </w:p>
    <w:p>
      <w:pPr>
        <w:spacing w:after="120" w:line="276"/>
      </w:pPr>
      <w:r>
        <w:rPr>
          <w:sz w:val="21"/>
          <w:szCs w:val="21"/>
        </w:rPr>
        <w:t xml:space="preserve">Trzy rozwiązania w modelu wymagają wyjaśnienia, ponieważ nie są oczywiste:</w:t>
      </w:r>
    </w:p>
    <w:p>
      <w:pPr>
        <w:pStyle w:val="ListParagraph"/>
        <w:numPr>
          <w:ilvl w:val="0"/>
          <w:numId w:val="2"/>
        </w:numPr>
        <w:spacing w:after="80" w:line="276"/>
      </w:pPr>
      <w:r>
        <w:rPr>
          <w:b/>
          <w:bCs/>
          <w:sz w:val="21"/>
          <w:szCs w:val="21"/>
        </w:rPr>
        <w:t xml:space="preserve">Znacznik występowania ulic przy miejscowości. </w:t>
      </w:r>
      <w:r>
        <w:rPr>
          <w:sz w:val="21"/>
          <w:szCs w:val="21"/>
        </w:rPr>
        <w:t xml:space="preserve">Znacząca część adresów w Polsce to adresy wiejskie, gdzie numer porządkowy odnosi się bezpośrednio do miejscowości, a ulica nie istnieje. Znacznik pozwala interfejsowi ukryć pole ulicy zanim użytkownik je zobaczy. Bez niego mieszkaniec wsi widzi puste, wymagane pole „ulica”.</w:t>
      </w:r>
    </w:p>
    <w:p>
      <w:pPr>
        <w:pStyle w:val="ListParagraph"/>
        <w:numPr>
          <w:ilvl w:val="0"/>
          <w:numId w:val="2"/>
        </w:numPr>
        <w:spacing w:after="80" w:line="276"/>
      </w:pPr>
      <w:r>
        <w:rPr>
          <w:b/>
          <w:bCs/>
          <w:sz w:val="21"/>
          <w:szCs w:val="21"/>
        </w:rPr>
        <w:t xml:space="preserve">Identyfikator z rejestru jako klucz obcy. </w:t>
      </w:r>
      <w:r>
        <w:rPr>
          <w:sz w:val="21"/>
          <w:szCs w:val="21"/>
        </w:rPr>
        <w:t xml:space="preserve">Umożliwia trwałe powiązanie rekordów między kolejnymi zrzutami. Bez niego każda aktualizacja wymagałaby zgadywania, który rekord odpowiada któremu.</w:t>
      </w:r>
    </w:p>
    <w:p>
      <w:pPr>
        <w:pStyle w:val="ListParagraph"/>
        <w:numPr>
          <w:ilvl w:val="0"/>
          <w:numId w:val="2"/>
        </w:numPr>
        <w:spacing w:after="80" w:line="276"/>
      </w:pPr>
      <w:r>
        <w:rPr>
          <w:b/>
          <w:bCs/>
          <w:sz w:val="21"/>
          <w:szCs w:val="21"/>
        </w:rPr>
        <w:t xml:space="preserve">Znacznik wycofania zamiast usuwania rekordów. </w:t>
      </w:r>
      <w:r>
        <w:rPr>
          <w:sz w:val="21"/>
          <w:szCs w:val="21"/>
        </w:rPr>
        <w:t xml:space="preserve">Gminy popełniają błędy i je cofają. Punkt adresowy, który zniknął z rejestru, może wrócić za miesiąc, a w międzyczasie może występować w zamówieniu klienta.</w:t>
      </w:r>
    </w:p>
    <w:p>
      <w:pPr>
        <w:pStyle w:val="Heading2"/>
        <w:spacing w:after="140" w:before="280"/>
      </w:pPr>
      <w:r>
        <w:t xml:space="preserve">6.2. Zależności między polami</w:t>
      </w:r>
    </w:p>
    <w:p>
      <w:pPr>
        <w:spacing w:after="120" w:line="276"/>
      </w:pPr>
      <w:r>
        <w:rPr>
          <w:sz w:val="21"/>
          <w:szCs w:val="21"/>
        </w:rPr>
        <w:t xml:space="preserve">Kotwicą adresu jest miejscowość, nie kod pocztowy. Jest to rozstrzygnięcie wbrew powszechnej intuicji i wbrew konstrukcji wielu formularzy.</w:t>
      </w:r>
    </w:p>
    <w:p>
      <w:pPr>
        <w:pBdr>
          <w:top w:val="single" w:color="D5DBE0" w:sz="4"/>
          <w:bottom w:val="single" w:color="D5DBE0" w:sz="0"/>
          <w:left w:val="single" w:color="D5DBE0" w:sz="4"/>
          <w:right w:val="single" w:color="D5DBE0" w:sz="4"/>
        </w:pBdr>
        <w:shd w:fill="E8EDF2" w:color="auto" w:val="clear"/>
        <w:spacing w:after="0" w:before="160" w:line="276"/>
        <w:ind w:left="120" w:right="120"/>
      </w:pPr>
      <w:r>
        <w:rPr>
          <w:b/>
          <w:bCs/>
          <w:sz w:val="21"/>
          <w:szCs w:val="21"/>
        </w:rPr>
        <w:t xml:space="preserve">Dlaczego kod pocztowy nie może być kluczem</w:t>
      </w:r>
    </w:p>
    <w:p>
      <w:pPr>
        <w:pBdr>
          <w:top w:val="single" w:color="D5DBE0" w:sz="0"/>
          <w:bottom w:val="single" w:color="D5DBE0" w:sz="0"/>
          <w:left w:val="single" w:color="D5DBE0" w:sz="4"/>
          <w:right w:val="single" w:color="D5DBE0" w:sz="4"/>
        </w:pBdr>
        <w:shd w:fill="E8EDF2" w:color="auto" w:val="clear"/>
        <w:spacing w:after="60" w:line="276"/>
        <w:ind w:left="120" w:right="120"/>
      </w:pPr>
      <w:r>
        <w:rPr>
          <w:sz w:val="20"/>
          <w:szCs w:val="20"/>
        </w:rPr>
        <w:t xml:space="preserve">Kod pocztowy nie odwzorowuje się jednoznacznie na gminę ani na miejscowość. Jeden kod może obejmować kilka gmin, a jedna ulica może mieć wiele kodów przypisanych do zakresów numerycznych.</w:t>
      </w:r>
    </w:p>
    <w:p>
      <w:pPr>
        <w:pBdr>
          <w:top w:val="single" w:color="D5DBE0" w:sz="0"/>
          <w:bottom w:val="single" w:color="D5DBE0" w:sz="0"/>
          <w:left w:val="single" w:color="D5DBE0" w:sz="4"/>
          <w:right w:val="single" w:color="D5DBE0" w:sz="4"/>
        </w:pBdr>
        <w:shd w:fill="E8EDF2" w:color="auto" w:val="clear"/>
        <w:spacing w:after="60" w:line="276"/>
        <w:ind w:left="120" w:right="120"/>
      </w:pPr>
      <w:r>
        <w:rPr>
          <w:sz w:val="20"/>
          <w:szCs w:val="20"/>
        </w:rPr>
        <w:t xml:space="preserve">Kod pocztowy jest bardzo dobrą podpowiedzią zawężającą listę kandydatów i nieprawidłowym kluczem identyfikującym adres.</w:t>
      </w:r>
    </w:p>
    <w:p>
      <w:pPr>
        <w:pBdr>
          <w:top w:val="single" w:color="D5DBE0" w:sz="0"/>
          <w:bottom w:val="single" w:color="D5DBE0" w:sz="4"/>
          <w:left w:val="single" w:color="D5DBE0" w:sz="4"/>
          <w:right w:val="single" w:color="D5DBE0" w:sz="4"/>
        </w:pBdr>
        <w:shd w:fill="E8EDF2" w:color="auto" w:val="clear"/>
        <w:spacing w:after="0" w:line="276"/>
        <w:ind w:left="120" w:right="120"/>
      </w:pPr>
      <w:r>
        <w:rPr>
          <w:sz w:val="20"/>
          <w:szCs w:val="20"/>
        </w:rPr>
        <w:t xml:space="preserve">Dodatkowo: kody pocztowe w rejestrze PRG pochodzą z ewidencji gminnych, nie od Poczty Polskiej. Rozbieżności są zjawiskiem normalnym i nie powinny blokować zapisu adresu.</w:t>
      </w:r>
    </w:p>
    <w:p>
      <w:pPr>
        <w:spacing w:after="180"/>
      </w:pPr>
    </w:p>
    <w:p>
      <w:pPr>
        <w:spacing w:after="120" w:line="276"/>
      </w:pPr>
      <w:r>
        <w:rPr>
          <w:sz w:val="21"/>
          <w:szCs w:val="21"/>
        </w:rPr>
        <w:t xml:space="preserve">Kolejność wypełniania i reguły przejść:</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shd w:fill="E8EDF2" w:color="auto" w:val="clear"/>
            <w:tcMar>
              <w:top w:type="dxa" w:w="70"/>
              <w:left w:type="dxa" w:w="110"/>
              <w:bottom w:type="dxa" w:w="70"/>
              <w:right w:type="dxa" w:w="110"/>
            </w:tcMar>
            <w:vAlign w:val="center"/>
          </w:tcPr>
          <w:p>
            <w:pPr>
              <w:spacing w:after="0" w:line="240"/>
            </w:pPr>
            <w:r>
              <w:rPr>
                <w:b/>
                <w:bCs/>
                <w:sz w:val="19"/>
                <w:szCs w:val="19"/>
              </w:rPr>
              <w:t xml:space="preserve">Zdarzenie</w:t>
            </w:r>
          </w:p>
        </w:tc>
        <w:tc>
          <w:tcPr>
            <w:tcW w:type="dxa" w:w="5426"/>
            <w:shd w:fill="E8EDF2" w:color="auto" w:val="clear"/>
            <w:tcMar>
              <w:top w:type="dxa" w:w="70"/>
              <w:left w:type="dxa" w:w="110"/>
              <w:bottom w:type="dxa" w:w="70"/>
              <w:right w:type="dxa" w:w="110"/>
            </w:tcMar>
            <w:vAlign w:val="center"/>
          </w:tcPr>
          <w:p>
            <w:pPr>
              <w:spacing w:after="0" w:line="240"/>
            </w:pPr>
            <w:r>
              <w:rPr>
                <w:b/>
                <w:bCs/>
                <w:sz w:val="19"/>
                <w:szCs w:val="19"/>
              </w:rPr>
              <w:t xml:space="preserve">Reakcja systemu</w:t>
            </w:r>
          </w:p>
        </w:tc>
      </w:tr>
      <w:tr>
        <w:tc>
          <w:tcPr>
            <w:tcW w:type="dxa" w:w="3600"/>
            <w:tcMar>
              <w:top w:type="dxa" w:w="70"/>
              <w:left w:type="dxa" w:w="110"/>
              <w:bottom w:type="dxa" w:w="70"/>
              <w:right w:type="dxa" w:w="110"/>
            </w:tcMar>
            <w:vAlign w:val="center"/>
          </w:tcPr>
          <w:p>
            <w:pPr>
              <w:spacing w:after="0" w:line="240"/>
            </w:pPr>
            <w:r>
              <w:rPr>
                <w:sz w:val="19"/>
                <w:szCs w:val="19"/>
              </w:rPr>
              <w:t xml:space="preserve">Zmiana miejscowości</w:t>
            </w:r>
          </w:p>
        </w:tc>
        <w:tc>
          <w:tcPr>
            <w:tcW w:type="dxa" w:w="5426"/>
            <w:tcMar>
              <w:top w:type="dxa" w:w="70"/>
              <w:left w:type="dxa" w:w="110"/>
              <w:bottom w:type="dxa" w:w="70"/>
              <w:right w:type="dxa" w:w="110"/>
            </w:tcMar>
            <w:vAlign w:val="center"/>
          </w:tcPr>
          <w:p>
            <w:pPr>
              <w:spacing w:after="0" w:line="240"/>
            </w:pPr>
            <w:r>
              <w:rPr>
                <w:sz w:val="19"/>
                <w:szCs w:val="19"/>
              </w:rPr>
              <w:t xml:space="preserve">Czyszczenie ulicy, numeru i lokalu. Pole ulicy pokazane lub ukryte zależnie od znacznika występowania ulic</w:t>
            </w:r>
          </w:p>
        </w:tc>
      </w:tr>
      <w:tr>
        <w:tc>
          <w:tcPr>
            <w:tcW w:type="dxa" w:w="3600"/>
            <w:shd w:fill="F5F7F9" w:color="auto" w:val="clear"/>
            <w:tcMar>
              <w:top w:type="dxa" w:w="70"/>
              <w:left w:type="dxa" w:w="110"/>
              <w:bottom w:type="dxa" w:w="70"/>
              <w:right w:type="dxa" w:w="110"/>
            </w:tcMar>
            <w:vAlign w:val="center"/>
          </w:tcPr>
          <w:p>
            <w:pPr>
              <w:spacing w:after="0" w:line="240"/>
            </w:pPr>
            <w:r>
              <w:rPr>
                <w:sz w:val="19"/>
                <w:szCs w:val="19"/>
              </w:rPr>
              <w:t xml:space="preserve">Wpisanie kodu pocztowego przed miejscowością</w:t>
            </w:r>
          </w:p>
        </w:tc>
        <w:tc>
          <w:tcPr>
            <w:tcW w:type="dxa" w:w="5426"/>
            <w:shd w:fill="F5F7F9" w:color="auto" w:val="clear"/>
            <w:tcMar>
              <w:top w:type="dxa" w:w="70"/>
              <w:left w:type="dxa" w:w="110"/>
              <w:bottom w:type="dxa" w:w="70"/>
              <w:right w:type="dxa" w:w="110"/>
            </w:tcMar>
            <w:vAlign w:val="center"/>
          </w:tcPr>
          <w:p>
            <w:pPr>
              <w:spacing w:after="0" w:line="240"/>
            </w:pPr>
            <w:r>
              <w:rPr>
                <w:sz w:val="19"/>
                <w:szCs w:val="19"/>
              </w:rPr>
              <w:t xml:space="preserve">Zawężenie listy miejscowości. Automatyczny wybór wyłącznie gdy kandydat jest dokładnie jeden</w:t>
            </w:r>
          </w:p>
        </w:tc>
      </w:tr>
      <w:tr>
        <w:tc>
          <w:tcPr>
            <w:tcW w:type="dxa" w:w="3600"/>
            <w:tcMar>
              <w:top w:type="dxa" w:w="70"/>
              <w:left w:type="dxa" w:w="110"/>
              <w:bottom w:type="dxa" w:w="70"/>
              <w:right w:type="dxa" w:w="110"/>
            </w:tcMar>
            <w:vAlign w:val="center"/>
          </w:tcPr>
          <w:p>
            <w:pPr>
              <w:spacing w:after="0" w:line="240"/>
            </w:pPr>
            <w:r>
              <w:rPr>
                <w:sz w:val="19"/>
                <w:szCs w:val="19"/>
              </w:rPr>
              <w:t xml:space="preserve">Miejscowość bez ulic</w:t>
            </w:r>
          </w:p>
        </w:tc>
        <w:tc>
          <w:tcPr>
            <w:tcW w:type="dxa" w:w="5426"/>
            <w:tcMar>
              <w:top w:type="dxa" w:w="70"/>
              <w:left w:type="dxa" w:w="110"/>
              <w:bottom w:type="dxa" w:w="70"/>
              <w:right w:type="dxa" w:w="110"/>
            </w:tcMar>
            <w:vAlign w:val="center"/>
          </w:tcPr>
          <w:p>
            <w:pPr>
              <w:spacing w:after="0" w:line="240"/>
            </w:pPr>
            <w:r>
              <w:rPr>
                <w:sz w:val="19"/>
                <w:szCs w:val="19"/>
              </w:rPr>
              <w:t xml:space="preserve">Pole ulicy ukryte (nie zablokowane). Numer odnosi się do miejscowości</w:t>
            </w:r>
          </w:p>
        </w:tc>
      </w:tr>
      <w:tr>
        <w:tc>
          <w:tcPr>
            <w:tcW w:type="dxa" w:w="3600"/>
            <w:shd w:fill="F5F7F9" w:color="auto" w:val="clear"/>
            <w:tcMar>
              <w:top w:type="dxa" w:w="70"/>
              <w:left w:type="dxa" w:w="110"/>
              <w:bottom w:type="dxa" w:w="70"/>
              <w:right w:type="dxa" w:w="110"/>
            </w:tcMar>
            <w:vAlign w:val="center"/>
          </w:tcPr>
          <w:p>
            <w:pPr>
              <w:spacing w:after="0" w:line="240"/>
            </w:pPr>
            <w:r>
              <w:rPr>
                <w:sz w:val="19"/>
                <w:szCs w:val="19"/>
              </w:rPr>
              <w:t xml:space="preserve">Zmiana ulicy</w:t>
            </w:r>
          </w:p>
        </w:tc>
        <w:tc>
          <w:tcPr>
            <w:tcW w:type="dxa" w:w="5426"/>
            <w:shd w:fill="F5F7F9" w:color="auto" w:val="clear"/>
            <w:tcMar>
              <w:top w:type="dxa" w:w="70"/>
              <w:left w:type="dxa" w:w="110"/>
              <w:bottom w:type="dxa" w:w="70"/>
              <w:right w:type="dxa" w:w="110"/>
            </w:tcMar>
            <w:vAlign w:val="center"/>
          </w:tcPr>
          <w:p>
            <w:pPr>
              <w:spacing w:after="0" w:line="240"/>
            </w:pPr>
            <w:r>
              <w:rPr>
                <w:sz w:val="19"/>
                <w:szCs w:val="19"/>
              </w:rPr>
              <w:t xml:space="preserve">Czyszczenie numeru i lokalu</w:t>
            </w:r>
          </w:p>
        </w:tc>
      </w:tr>
      <w:tr>
        <w:tc>
          <w:tcPr>
            <w:tcW w:type="dxa" w:w="3600"/>
            <w:tcMar>
              <w:top w:type="dxa" w:w="70"/>
              <w:left w:type="dxa" w:w="110"/>
              <w:bottom w:type="dxa" w:w="70"/>
              <w:right w:type="dxa" w:w="110"/>
            </w:tcMar>
            <w:vAlign w:val="center"/>
          </w:tcPr>
          <w:p>
            <w:pPr>
              <w:spacing w:after="0" w:line="240"/>
            </w:pPr>
            <w:r>
              <w:rPr>
                <w:sz w:val="19"/>
                <w:szCs w:val="19"/>
              </w:rPr>
              <w:t xml:space="preserve">Wybór numeru z rejestru</w:t>
            </w:r>
          </w:p>
        </w:tc>
        <w:tc>
          <w:tcPr>
            <w:tcW w:type="dxa" w:w="5426"/>
            <w:tcMar>
              <w:top w:type="dxa" w:w="70"/>
              <w:left w:type="dxa" w:w="110"/>
              <w:bottom w:type="dxa" w:w="70"/>
              <w:right w:type="dxa" w:w="110"/>
            </w:tcMar>
            <w:vAlign w:val="center"/>
          </w:tcPr>
          <w:p>
            <w:pPr>
              <w:spacing w:after="0" w:line="240"/>
            </w:pPr>
            <w:r>
              <w:rPr>
                <w:sz w:val="19"/>
                <w:szCs w:val="19"/>
              </w:rPr>
              <w:t xml:space="preserve">Automatyczne uzupełnienie kodu pocztowego i współrzędnych. Poziom pewności: zweryfikowany wobec rejestru</w:t>
            </w:r>
          </w:p>
        </w:tc>
      </w:tr>
      <w:tr>
        <w:tc>
          <w:tcPr>
            <w:tcW w:type="dxa" w:w="3600"/>
            <w:shd w:fill="F5F7F9" w:color="auto" w:val="clear"/>
            <w:tcMar>
              <w:top w:type="dxa" w:w="70"/>
              <w:left w:type="dxa" w:w="110"/>
              <w:bottom w:type="dxa" w:w="70"/>
              <w:right w:type="dxa" w:w="110"/>
            </w:tcMar>
            <w:vAlign w:val="center"/>
          </w:tcPr>
          <w:p>
            <w:pPr>
              <w:spacing w:after="0" w:line="240"/>
            </w:pPr>
            <w:r>
              <w:rPr>
                <w:sz w:val="19"/>
                <w:szCs w:val="19"/>
              </w:rPr>
              <w:t xml:space="preserve">Numer spoza rejestru</w:t>
            </w:r>
          </w:p>
        </w:tc>
        <w:tc>
          <w:tcPr>
            <w:tcW w:type="dxa" w:w="5426"/>
            <w:shd w:fill="F5F7F9" w:color="auto" w:val="clear"/>
            <w:tcMar>
              <w:top w:type="dxa" w:w="70"/>
              <w:left w:type="dxa" w:w="110"/>
              <w:bottom w:type="dxa" w:w="70"/>
              <w:right w:type="dxa" w:w="110"/>
            </w:tcMar>
            <w:vAlign w:val="center"/>
          </w:tcPr>
          <w:p>
            <w:pPr>
              <w:spacing w:after="0" w:line="240"/>
            </w:pPr>
            <w:r>
              <w:rPr>
                <w:sz w:val="19"/>
                <w:szCs w:val="19"/>
              </w:rPr>
              <w:t xml:space="preserve">Ostrzeżenie, nie błąd. Zapis dozwolony. Poziom pewności: zweryfikowany częściowo</w:t>
            </w:r>
          </w:p>
        </w:tc>
      </w:tr>
      <w:tr>
        <w:tc>
          <w:tcPr>
            <w:tcW w:type="dxa" w:w="3600"/>
            <w:tcMar>
              <w:top w:type="dxa" w:w="70"/>
              <w:left w:type="dxa" w:w="110"/>
              <w:bottom w:type="dxa" w:w="70"/>
              <w:right w:type="dxa" w:w="110"/>
            </w:tcMar>
            <w:vAlign w:val="center"/>
          </w:tcPr>
          <w:p>
            <w:pPr>
              <w:spacing w:after="0" w:line="240"/>
            </w:pPr>
            <w:r>
              <w:rPr>
                <w:sz w:val="19"/>
                <w:szCs w:val="19"/>
              </w:rPr>
              <w:t xml:space="preserve">Ręczna zmiana kodu pocztowego wbrew wyliczonemu</w:t>
            </w:r>
          </w:p>
        </w:tc>
        <w:tc>
          <w:tcPr>
            <w:tcW w:type="dxa" w:w="5426"/>
            <w:tcMar>
              <w:top w:type="dxa" w:w="70"/>
              <w:left w:type="dxa" w:w="110"/>
              <w:bottom w:type="dxa" w:w="70"/>
              <w:right w:type="dxa" w:w="110"/>
            </w:tcMar>
            <w:vAlign w:val="center"/>
          </w:tcPr>
          <w:p>
            <w:pPr>
              <w:spacing w:after="0" w:line="240"/>
            </w:pPr>
            <w:r>
              <w:rPr>
                <w:sz w:val="19"/>
                <w:szCs w:val="19"/>
              </w:rPr>
              <w:t xml:space="preserve">Ostrzeżenie z obiema wartościami. Wygrywa wpis użytkownika</w:t>
            </w:r>
          </w:p>
        </w:tc>
      </w:tr>
      <w:tr>
        <w:tc>
          <w:tcPr>
            <w:tcW w:type="dxa" w:w="3600"/>
            <w:shd w:fill="F5F7F9" w:color="auto" w:val="clear"/>
            <w:tcMar>
              <w:top w:type="dxa" w:w="70"/>
              <w:left w:type="dxa" w:w="110"/>
              <w:bottom w:type="dxa" w:w="70"/>
              <w:right w:type="dxa" w:w="110"/>
            </w:tcMar>
            <w:vAlign w:val="center"/>
          </w:tcPr>
          <w:p>
            <w:pPr>
              <w:spacing w:after="0" w:line="240"/>
            </w:pPr>
            <w:r>
              <w:rPr>
                <w:sz w:val="19"/>
                <w:szCs w:val="19"/>
              </w:rPr>
              <w:t xml:space="preserve">Numer lokalu</w:t>
            </w:r>
          </w:p>
        </w:tc>
        <w:tc>
          <w:tcPr>
            <w:tcW w:type="dxa" w:w="5426"/>
            <w:shd w:fill="F5F7F9" w:color="auto" w:val="clear"/>
            <w:tcMar>
              <w:top w:type="dxa" w:w="70"/>
              <w:left w:type="dxa" w:w="110"/>
              <w:bottom w:type="dxa" w:w="70"/>
              <w:right w:type="dxa" w:w="110"/>
            </w:tcMar>
            <w:vAlign w:val="center"/>
          </w:tcPr>
          <w:p>
            <w:pPr>
              <w:spacing w:after="0" w:line="240"/>
            </w:pPr>
            <w:r>
              <w:rPr>
                <w:sz w:val="19"/>
                <w:szCs w:val="19"/>
              </w:rPr>
              <w:t xml:space="preserve">Nigdy nie weryfikowany wobec rejestru — po 1.09.2026 rejestr nie zawiera tej informacji</w:t>
            </w:r>
          </w:p>
        </w:tc>
      </w:tr>
    </w:tbl>
    <w:p>
      <w:pPr>
        <w:spacing w:after="160"/>
      </w:pPr>
    </w:p>
    <w:p>
      <w:pPr>
        <w:pStyle w:val="Heading2"/>
        <w:spacing w:after="140" w:before="280"/>
      </w:pPr>
      <w:r>
        <w:t xml:space="preserve">6.3. Poziomy pewności</w:t>
      </w:r>
    </w:p>
    <w:p>
      <w:pPr>
        <w:spacing w:after="120" w:line="276"/>
      </w:pPr>
      <w:r>
        <w:rPr>
          <w:sz w:val="21"/>
          <w:szCs w:val="21"/>
        </w:rPr>
        <w:t xml:space="preserve">Każdy zwalidowany adres otrzymuje poziom pewności. Jest on zapisywany razem z adresem i stanowi podstawę późniejszych decyzji biznesowych.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2400"/>
        <w:gridCol w:w="2026"/>
      </w:tblGrid>
      <w:tr>
        <w:trPr>
          <w:tblHeader/>
        </w:trPr>
        <w:tc>
          <w:tcPr>
            <w:tcW w:type="dxa" w:w="1900"/>
            <w:shd w:fill="E8EDF2" w:color="auto" w:val="clear"/>
            <w:tcMar>
              <w:top w:type="dxa" w:w="70"/>
              <w:left w:type="dxa" w:w="110"/>
              <w:bottom w:type="dxa" w:w="70"/>
              <w:right w:type="dxa" w:w="110"/>
            </w:tcMar>
            <w:vAlign w:val="center"/>
          </w:tcPr>
          <w:p>
            <w:pPr>
              <w:spacing w:after="0" w:line="240"/>
            </w:pPr>
            <w:r>
              <w:rPr>
                <w:b/>
                <w:bCs/>
                <w:sz w:val="19"/>
                <w:szCs w:val="19"/>
              </w:rPr>
              <w:t xml:space="preserve">Poziom</w:t>
            </w:r>
          </w:p>
        </w:tc>
        <w:tc>
          <w:tcPr>
            <w:tcW w:type="dxa" w:w="2700"/>
            <w:shd w:fill="E8EDF2" w:color="auto" w:val="clear"/>
            <w:tcMar>
              <w:top w:type="dxa" w:w="70"/>
              <w:left w:type="dxa" w:w="110"/>
              <w:bottom w:type="dxa" w:w="70"/>
              <w:right w:type="dxa" w:w="110"/>
            </w:tcMar>
            <w:vAlign w:val="center"/>
          </w:tcPr>
          <w:p>
            <w:pPr>
              <w:spacing w:after="0" w:line="240"/>
            </w:pPr>
            <w:r>
              <w:rPr>
                <w:b/>
                <w:bCs/>
                <w:sz w:val="19"/>
                <w:szCs w:val="19"/>
              </w:rPr>
              <w:t xml:space="preserve">Znaczenie</w:t>
            </w:r>
          </w:p>
        </w:tc>
        <w:tc>
          <w:tcPr>
            <w:tcW w:type="dxa" w:w="2400"/>
            <w:shd w:fill="E8EDF2" w:color="auto" w:val="clear"/>
            <w:tcMar>
              <w:top w:type="dxa" w:w="70"/>
              <w:left w:type="dxa" w:w="110"/>
              <w:bottom w:type="dxa" w:w="70"/>
              <w:right w:type="dxa" w:w="110"/>
            </w:tcMar>
            <w:vAlign w:val="center"/>
          </w:tcPr>
          <w:p>
            <w:pPr>
              <w:spacing w:after="0" w:line="240"/>
            </w:pPr>
            <w:r>
              <w:rPr>
                <w:b/>
                <w:bCs/>
                <w:sz w:val="19"/>
                <w:szCs w:val="19"/>
              </w:rPr>
              <w:t xml:space="preserve">Sugerowane zastosowanie</w:t>
            </w:r>
          </w:p>
        </w:tc>
        <w:tc>
          <w:tcPr>
            <w:tcW w:type="dxa" w:w="2026"/>
            <w:shd w:fill="E8EDF2" w:color="auto" w:val="clear"/>
            <w:tcMar>
              <w:top w:type="dxa" w:w="70"/>
              <w:left w:type="dxa" w:w="110"/>
              <w:bottom w:type="dxa" w:w="70"/>
              <w:right w:type="dxa" w:w="110"/>
            </w:tcMar>
            <w:vAlign w:val="center"/>
          </w:tcPr>
          <w:p>
            <w:pPr>
              <w:spacing w:after="0" w:line="240"/>
            </w:pPr>
            <w:r>
              <w:rPr>
                <w:b/>
                <w:bCs/>
                <w:sz w:val="19"/>
                <w:szCs w:val="19"/>
              </w:rPr>
              <w:t xml:space="preserve">Kto nadaje</w:t>
            </w:r>
          </w:p>
        </w:tc>
      </w:tr>
      <w:tr>
        <w:tc>
          <w:tcPr>
            <w:tcW w:type="dxa" w:w="1900"/>
            <w:tcMar>
              <w:top w:type="dxa" w:w="70"/>
              <w:left w:type="dxa" w:w="110"/>
              <w:bottom w:type="dxa" w:w="70"/>
              <w:right w:type="dxa" w:w="110"/>
            </w:tcMar>
            <w:vAlign w:val="center"/>
          </w:tcPr>
          <w:p>
            <w:pPr>
              <w:spacing w:after="0" w:line="240"/>
            </w:pPr>
            <w:r>
              <w:rPr>
                <w:sz w:val="19"/>
                <w:szCs w:val="19"/>
              </w:rPr>
              <w:t xml:space="preserve">Zweryfikowany wobec rejestru</w:t>
            </w:r>
          </w:p>
        </w:tc>
        <w:tc>
          <w:tcPr>
            <w:tcW w:type="dxa" w:w="2700"/>
            <w:tcMar>
              <w:top w:type="dxa" w:w="70"/>
              <w:left w:type="dxa" w:w="110"/>
              <w:bottom w:type="dxa" w:w="70"/>
              <w:right w:type="dxa" w:w="110"/>
            </w:tcMar>
            <w:vAlign w:val="center"/>
          </w:tcPr>
          <w:p>
            <w:pPr>
              <w:spacing w:after="0" w:line="240"/>
            </w:pPr>
            <w:r>
              <w:rPr>
                <w:sz w:val="19"/>
                <w:szCs w:val="19"/>
              </w:rPr>
              <w:t xml:space="preserve">Pełne dopasowanie, dostępny identyfikator rejestrowy i współrzędne</w:t>
            </w:r>
          </w:p>
        </w:tc>
        <w:tc>
          <w:tcPr>
            <w:tcW w:type="dxa" w:w="2400"/>
            <w:tcMar>
              <w:top w:type="dxa" w:w="70"/>
              <w:left w:type="dxa" w:w="110"/>
              <w:bottom w:type="dxa" w:w="70"/>
              <w:right w:type="dxa" w:w="110"/>
            </w:tcMar>
            <w:vAlign w:val="center"/>
          </w:tcPr>
          <w:p>
            <w:pPr>
              <w:spacing w:after="0" w:line="240"/>
            </w:pPr>
            <w:r>
              <w:rPr>
                <w:sz w:val="19"/>
                <w:szCs w:val="19"/>
              </w:rPr>
              <w:t xml:space="preserve">Wysyłka bez dodatkowej weryfikacji</w:t>
            </w:r>
          </w:p>
        </w:tc>
        <w:tc>
          <w:tcPr>
            <w:tcW w:type="dxa" w:w="2026"/>
            <w:tcMar>
              <w:top w:type="dxa" w:w="70"/>
              <w:left w:type="dxa" w:w="110"/>
              <w:bottom w:type="dxa" w:w="70"/>
              <w:right w:type="dxa" w:w="110"/>
            </w:tcMar>
            <w:vAlign w:val="center"/>
          </w:tcPr>
          <w:p>
            <w:pPr>
              <w:spacing w:after="0" w:line="240"/>
            </w:pPr>
            <w:r>
              <w:rPr>
                <w:sz w:val="19"/>
                <w:szCs w:val="19"/>
              </w:rPr>
              <w:t xml:space="preserve">Komponent adresowy</w:t>
            </w:r>
          </w:p>
        </w:tc>
      </w:tr>
      <w:tr>
        <w:tc>
          <w:tcPr>
            <w:tcW w:type="dxa" w:w="1900"/>
            <w:shd w:fill="F5F7F9" w:color="auto" w:val="clear"/>
            <w:tcMar>
              <w:top w:type="dxa" w:w="70"/>
              <w:left w:type="dxa" w:w="110"/>
              <w:bottom w:type="dxa" w:w="70"/>
              <w:right w:type="dxa" w:w="110"/>
            </w:tcMar>
            <w:vAlign w:val="center"/>
          </w:tcPr>
          <w:p>
            <w:pPr>
              <w:spacing w:after="0" w:line="240"/>
            </w:pPr>
            <w:r>
              <w:rPr>
                <w:sz w:val="19"/>
                <w:szCs w:val="19"/>
              </w:rPr>
              <w:t xml:space="preserve">Zweryfikowany częściowo</w:t>
            </w:r>
          </w:p>
        </w:tc>
        <w:tc>
          <w:tcPr>
            <w:tcW w:type="dxa" w:w="2700"/>
            <w:shd w:fill="F5F7F9" w:color="auto" w:val="clear"/>
            <w:tcMar>
              <w:top w:type="dxa" w:w="70"/>
              <w:left w:type="dxa" w:w="110"/>
              <w:bottom w:type="dxa" w:w="70"/>
              <w:right w:type="dxa" w:w="110"/>
            </w:tcMar>
            <w:vAlign w:val="center"/>
          </w:tcPr>
          <w:p>
            <w:pPr>
              <w:spacing w:after="0" w:line="240"/>
            </w:pPr>
            <w:r>
              <w:rPr>
                <w:sz w:val="19"/>
                <w:szCs w:val="19"/>
              </w:rPr>
              <w:t xml:space="preserve">Miejscowość i ulica z rejestru, numer nie odnaleziony</w:t>
            </w:r>
          </w:p>
        </w:tc>
        <w:tc>
          <w:tcPr>
            <w:tcW w:type="dxa" w:w="2400"/>
            <w:shd w:fill="F5F7F9" w:color="auto" w:val="clear"/>
            <w:tcMar>
              <w:top w:type="dxa" w:w="70"/>
              <w:left w:type="dxa" w:w="110"/>
              <w:bottom w:type="dxa" w:w="70"/>
              <w:right w:type="dxa" w:w="110"/>
            </w:tcMar>
            <w:vAlign w:val="center"/>
          </w:tcPr>
          <w:p>
            <w:pPr>
              <w:spacing w:after="0" w:line="240"/>
            </w:pPr>
            <w:r>
              <w:rPr>
                <w:sz w:val="19"/>
                <w:szCs w:val="19"/>
              </w:rPr>
              <w:t xml:space="preserve">Wysyłka z oznaczeniem do przeglądu</w:t>
            </w:r>
          </w:p>
        </w:tc>
        <w:tc>
          <w:tcPr>
            <w:tcW w:type="dxa" w:w="2026"/>
            <w:shd w:fill="F5F7F9" w:color="auto" w:val="clear"/>
            <w:tcMar>
              <w:top w:type="dxa" w:w="70"/>
              <w:left w:type="dxa" w:w="110"/>
              <w:bottom w:type="dxa" w:w="70"/>
              <w:right w:type="dxa" w:w="110"/>
            </w:tcMar>
            <w:vAlign w:val="center"/>
          </w:tcPr>
          <w:p>
            <w:pPr>
              <w:spacing w:after="0" w:line="240"/>
            </w:pPr>
            <w:r>
              <w:rPr>
                <w:sz w:val="19"/>
                <w:szCs w:val="19"/>
              </w:rPr>
              <w:t xml:space="preserve">Komponent adresowy</w:t>
            </w:r>
          </w:p>
        </w:tc>
      </w:tr>
      <w:tr>
        <w:tc>
          <w:tcPr>
            <w:tcW w:type="dxa" w:w="1900"/>
            <w:tcMar>
              <w:top w:type="dxa" w:w="70"/>
              <w:left w:type="dxa" w:w="110"/>
              <w:bottom w:type="dxa" w:w="70"/>
              <w:right w:type="dxa" w:w="110"/>
            </w:tcMar>
            <w:vAlign w:val="center"/>
          </w:tcPr>
          <w:p>
            <w:pPr>
              <w:spacing w:after="0" w:line="240"/>
            </w:pPr>
            <w:r>
              <w:rPr>
                <w:sz w:val="19"/>
                <w:szCs w:val="19"/>
              </w:rPr>
              <w:t xml:space="preserve">Poza rejestrem</w:t>
            </w:r>
          </w:p>
        </w:tc>
        <w:tc>
          <w:tcPr>
            <w:tcW w:type="dxa" w:w="2700"/>
            <w:tcMar>
              <w:top w:type="dxa" w:w="70"/>
              <w:left w:type="dxa" w:w="110"/>
              <w:bottom w:type="dxa" w:w="70"/>
              <w:right w:type="dxa" w:w="110"/>
            </w:tcMar>
            <w:vAlign w:val="center"/>
          </w:tcPr>
          <w:p>
            <w:pPr>
              <w:spacing w:after="0" w:line="240"/>
            </w:pPr>
            <w:r>
              <w:rPr>
                <w:sz w:val="19"/>
                <w:szCs w:val="19"/>
              </w:rPr>
              <w:t xml:space="preserve">Użytkownik świadomie potwierdził adres spoza bazy</w:t>
            </w:r>
          </w:p>
        </w:tc>
        <w:tc>
          <w:tcPr>
            <w:tcW w:type="dxa" w:w="2400"/>
            <w:tcMar>
              <w:top w:type="dxa" w:w="70"/>
              <w:left w:type="dxa" w:w="110"/>
              <w:bottom w:type="dxa" w:w="70"/>
              <w:right w:type="dxa" w:w="110"/>
            </w:tcMar>
            <w:vAlign w:val="center"/>
          </w:tcPr>
          <w:p>
            <w:pPr>
              <w:spacing w:after="0" w:line="240"/>
            </w:pPr>
            <w:r>
              <w:rPr>
                <w:sz w:val="19"/>
                <w:szCs w:val="19"/>
              </w:rPr>
              <w:t xml:space="preserve">Nowe budownictwo — dopuścić</w:t>
            </w:r>
          </w:p>
        </w:tc>
        <w:tc>
          <w:tcPr>
            <w:tcW w:type="dxa" w:w="2026"/>
            <w:tcMar>
              <w:top w:type="dxa" w:w="70"/>
              <w:left w:type="dxa" w:w="110"/>
              <w:bottom w:type="dxa" w:w="70"/>
              <w:right w:type="dxa" w:w="110"/>
            </w:tcMar>
            <w:vAlign w:val="center"/>
          </w:tcPr>
          <w:p>
            <w:pPr>
              <w:spacing w:after="0" w:line="240"/>
            </w:pPr>
            <w:r>
              <w:rPr>
                <w:sz w:val="19"/>
                <w:szCs w:val="19"/>
              </w:rPr>
              <w:t xml:space="preserve">Aplikacja konsumencka — patrz uwaga poniżej</w:t>
            </w:r>
          </w:p>
        </w:tc>
      </w:tr>
      <w:tr>
        <w:tc>
          <w:tcPr>
            <w:tcW w:type="dxa" w:w="1900"/>
            <w:shd w:fill="F5F7F9" w:color="auto" w:val="clear"/>
            <w:tcMar>
              <w:top w:type="dxa" w:w="70"/>
              <w:left w:type="dxa" w:w="110"/>
              <w:bottom w:type="dxa" w:w="70"/>
              <w:right w:type="dxa" w:w="110"/>
            </w:tcMar>
            <w:vAlign w:val="center"/>
          </w:tcPr>
          <w:p>
            <w:pPr>
              <w:spacing w:after="0" w:line="240"/>
            </w:pPr>
            <w:r>
              <w:rPr>
                <w:sz w:val="19"/>
                <w:szCs w:val="19"/>
              </w:rPr>
              <w:t xml:space="preserve">Nietypowy</w:t>
            </w:r>
          </w:p>
        </w:tc>
        <w:tc>
          <w:tcPr>
            <w:tcW w:type="dxa" w:w="2700"/>
            <w:shd w:fill="F5F7F9" w:color="auto" w:val="clear"/>
            <w:tcMar>
              <w:top w:type="dxa" w:w="70"/>
              <w:left w:type="dxa" w:w="110"/>
              <w:bottom w:type="dxa" w:w="70"/>
              <w:right w:type="dxa" w:w="110"/>
            </w:tcMar>
            <w:vAlign w:val="center"/>
          </w:tcPr>
          <w:p>
            <w:pPr>
              <w:spacing w:after="0" w:line="240"/>
            </w:pPr>
            <w:r>
              <w:rPr>
                <w:sz w:val="19"/>
                <w:szCs w:val="19"/>
              </w:rPr>
              <w:t xml:space="preserve">Tryb ręczny: skrytka pocztowa, adres tymczasowy</w:t>
            </w:r>
          </w:p>
        </w:tc>
        <w:tc>
          <w:tcPr>
            <w:tcW w:type="dxa" w:w="2400"/>
            <w:shd w:fill="F5F7F9" w:color="auto" w:val="clear"/>
            <w:tcMar>
              <w:top w:type="dxa" w:w="70"/>
              <w:left w:type="dxa" w:w="110"/>
              <w:bottom w:type="dxa" w:w="70"/>
              <w:right w:type="dxa" w:w="110"/>
            </w:tcMar>
            <w:vAlign w:val="center"/>
          </w:tcPr>
          <w:p>
            <w:pPr>
              <w:spacing w:after="0" w:line="240"/>
            </w:pPr>
            <w:r>
              <w:rPr>
                <w:sz w:val="19"/>
                <w:szCs w:val="19"/>
              </w:rPr>
              <w:t xml:space="preserve">Odrębna ścieżka obsługi</w:t>
            </w:r>
          </w:p>
        </w:tc>
        <w:tc>
          <w:tcPr>
            <w:tcW w:type="dxa" w:w="2026"/>
            <w:shd w:fill="F5F7F9" w:color="auto" w:val="clear"/>
            <w:tcMar>
              <w:top w:type="dxa" w:w="70"/>
              <w:left w:type="dxa" w:w="110"/>
              <w:bottom w:type="dxa" w:w="70"/>
              <w:right w:type="dxa" w:w="110"/>
            </w:tcMar>
            <w:vAlign w:val="center"/>
          </w:tcPr>
          <w:p>
            <w:pPr>
              <w:spacing w:after="0" w:line="240"/>
            </w:pPr>
            <w:r>
              <w:rPr>
                <w:sz w:val="19"/>
                <w:szCs w:val="19"/>
              </w:rPr>
              <w:t xml:space="preserve">Aplikacja konsumencka; komponent przepuszcza tę wartość</w:t>
            </w:r>
          </w:p>
        </w:tc>
      </w:tr>
      <w:tr>
        <w:tc>
          <w:tcPr>
            <w:tcW w:type="dxa" w:w="1900"/>
            <w:tcMar>
              <w:top w:type="dxa" w:w="70"/>
              <w:left w:type="dxa" w:w="110"/>
              <w:bottom w:type="dxa" w:w="70"/>
              <w:right w:type="dxa" w:w="110"/>
            </w:tcMar>
            <w:vAlign w:val="center"/>
          </w:tcPr>
          <w:p>
            <w:pPr>
              <w:spacing w:after="0" w:line="240"/>
            </w:pPr>
            <w:r>
              <w:rPr>
                <w:sz w:val="19"/>
                <w:szCs w:val="19"/>
              </w:rPr>
              <w:t xml:space="preserve">Niezweryfikowany</w:t>
            </w:r>
          </w:p>
        </w:tc>
        <w:tc>
          <w:tcPr>
            <w:tcW w:type="dxa" w:w="2700"/>
            <w:tcMar>
              <w:top w:type="dxa" w:w="70"/>
              <w:left w:type="dxa" w:w="110"/>
              <w:bottom w:type="dxa" w:w="70"/>
              <w:right w:type="dxa" w:w="110"/>
            </w:tcMar>
            <w:vAlign w:val="center"/>
          </w:tcPr>
          <w:p>
            <w:pPr>
              <w:spacing w:after="0" w:line="240"/>
            </w:pPr>
            <w:r>
              <w:rPr>
                <w:sz w:val="19"/>
                <w:szCs w:val="19"/>
              </w:rPr>
              <w:t xml:space="preserve">Import bez walidacji</w:t>
            </w:r>
          </w:p>
        </w:tc>
        <w:tc>
          <w:tcPr>
            <w:tcW w:type="dxa" w:w="2400"/>
            <w:tcMar>
              <w:top w:type="dxa" w:w="70"/>
              <w:left w:type="dxa" w:w="110"/>
              <w:bottom w:type="dxa" w:w="70"/>
              <w:right w:type="dxa" w:w="110"/>
            </w:tcMar>
            <w:vAlign w:val="center"/>
          </w:tcPr>
          <w:p>
            <w:pPr>
              <w:spacing w:after="0" w:line="240"/>
            </w:pPr>
            <w:r>
              <w:rPr>
                <w:sz w:val="19"/>
                <w:szCs w:val="19"/>
              </w:rPr>
              <w:t xml:space="preserve">Kolejka do przeglądu</w:t>
            </w:r>
          </w:p>
        </w:tc>
        <w:tc>
          <w:tcPr>
            <w:tcW w:type="dxa" w:w="2026"/>
            <w:tcMar>
              <w:top w:type="dxa" w:w="70"/>
              <w:left w:type="dxa" w:w="110"/>
              <w:bottom w:type="dxa" w:w="70"/>
              <w:right w:type="dxa" w:w="110"/>
            </w:tcMar>
            <w:vAlign w:val="center"/>
          </w:tcPr>
          <w:p>
            <w:pPr>
              <w:spacing w:after="0" w:line="240"/>
            </w:pPr>
            <w:r>
              <w:rPr>
                <w:sz w:val="19"/>
                <w:szCs w:val="19"/>
              </w:rPr>
              <w:t xml:space="preserve">Komponent adresowy</w:t>
            </w:r>
          </w:p>
        </w:tc>
      </w:tr>
    </w:tbl>
    <w:p>
      <w:pPr>
        <w:spacing w:after="160"/>
      </w:pPr>
    </w:p>
    <w:p>
      <w:pPr>
        <w:spacing w:after="120" w:line="276"/>
      </w:pPr>
      <w:r>
        <w:rPr>
          <w:b/>
          <w:bCs/>
          <w:sz w:val="21"/>
          <w:szCs w:val="21"/>
        </w:rPr>
        <w:t xml:space="preserve">Uwaga istotna dla projektowania reguł biznesowych: </w:t>
      </w:r>
      <w:r>
        <w:rPr>
          <w:sz w:val="21"/>
          <w:szCs w:val="21"/>
        </w:rPr>
        <w:t xml:space="preserve">poziom „poza rejestrem” jest przewidziany w modelu danych, ale komponent adresowy nigdy go sam nie nadaje. Adres z miejscowością i ulicą z rejestru oraz numerem, którego w rejestrze nie ma, otrzymuje poziom „zweryfikowany częściowo”. Poziom „poza rejestrem” ustawia aplikacja konsumencka po świadomym potwierdzeniu przez użytkownika. Reguła biznesowa oczekująca tej wartości z komponentu nigdy się nie uruchomi.</w:t>
      </w:r>
    </w:p>
    <w:p>
      <w:pPr>
        <w:pBdr>
          <w:top w:val="single" w:color="D5DBE0" w:sz="4"/>
          <w:bottom w:val="single" w:color="D5DBE0" w:sz="0"/>
          <w:left w:val="single" w:color="D5DBE0" w:sz="4"/>
          <w:right w:val="single" w:color="D5DBE0" w:sz="4"/>
        </w:pBdr>
        <w:shd w:fill="EDF5EE" w:color="auto" w:val="clear"/>
        <w:spacing w:after="0" w:before="160" w:line="276"/>
        <w:ind w:left="120" w:right="120"/>
      </w:pPr>
      <w:r>
        <w:rPr>
          <w:b/>
          <w:bCs/>
          <w:sz w:val="21"/>
          <w:szCs w:val="21"/>
        </w:rPr>
        <w:t xml:space="preserve">Zasada nadrzędna: walidacja nie blokuje zapisu adresu</w:t>
      </w:r>
    </w:p>
    <w:p>
      <w:pPr>
        <w:pBdr>
          <w:top w:val="single" w:color="D5DBE0" w:sz="0"/>
          <w:bottom w:val="single" w:color="D5DBE0" w:sz="0"/>
          <w:left w:val="single" w:color="D5DBE0" w:sz="4"/>
          <w:right w:val="single" w:color="D5DBE0" w:sz="4"/>
        </w:pBdr>
        <w:shd w:fill="EDF5EE" w:color="auto" w:val="clear"/>
        <w:spacing w:after="60" w:line="276"/>
        <w:ind w:left="120" w:right="120"/>
      </w:pPr>
      <w:r>
        <w:rPr>
          <w:sz w:val="20"/>
          <w:szCs w:val="20"/>
        </w:rPr>
        <w:t xml:space="preserve">Rejestr PRG zawiera punkty o statusie planowanym, nie nadąża za nowym budownictwem, a część gmin zasila go z opóźnieniem.</w:t>
      </w:r>
    </w:p>
    <w:p>
      <w:pPr>
        <w:pBdr>
          <w:top w:val="single" w:color="D5DBE0" w:sz="0"/>
          <w:bottom w:val="single" w:color="D5DBE0" w:sz="0"/>
          <w:left w:val="single" w:color="D5DBE0" w:sz="4"/>
          <w:right w:val="single" w:color="D5DBE0" w:sz="4"/>
        </w:pBdr>
        <w:shd w:fill="EDF5EE" w:color="auto" w:val="clear"/>
        <w:spacing w:after="60" w:line="276"/>
        <w:ind w:left="120" w:right="120"/>
      </w:pPr>
      <w:r>
        <w:rPr>
          <w:sz w:val="20"/>
          <w:szCs w:val="20"/>
        </w:rPr>
        <w:t xml:space="preserve">Formularz informujący, że adres nie istnieje, osobę która właśnie się pod nim wprowadziła, jest wadą produktu, a nie błędem użytkownika.</w:t>
      </w:r>
    </w:p>
    <w:p>
      <w:pPr>
        <w:pBdr>
          <w:top w:val="single" w:color="D5DBE0" w:sz="0"/>
          <w:bottom w:val="single" w:color="D5DBE0" w:sz="4"/>
          <w:left w:val="single" w:color="D5DBE0" w:sz="4"/>
          <w:right w:val="single" w:color="D5DBE0" w:sz="4"/>
        </w:pBdr>
        <w:shd w:fill="EDF5EE" w:color="auto" w:val="clear"/>
        <w:spacing w:after="0" w:line="276"/>
        <w:ind w:left="120" w:right="120"/>
      </w:pPr>
      <w:r>
        <w:rPr>
          <w:sz w:val="20"/>
          <w:szCs w:val="20"/>
        </w:rPr>
        <w:t xml:space="preserve">System klasyfikuje i ostrzega. Decyzję o ewentualnym zablokowaniu procesu podejmuje logika biznesowa aplikacji, nie komponent adresowy.</w:t>
      </w:r>
    </w:p>
    <w:p>
      <w:pPr>
        <w:spacing w:after="180"/>
      </w:pPr>
    </w:p>
    <w:p>
      <w:pPr>
        <w:pStyle w:val="Heading2"/>
        <w:spacing w:after="140" w:before="280"/>
      </w:pPr>
      <w:r>
        <w:t xml:space="preserve">6.4. Przypadki brzegowe wymagające uwagi analityka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026"/>
      </w:tblGrid>
      <w:tr>
        <w:trPr>
          <w:tblHeader/>
        </w:trPr>
        <w:tc>
          <w:tcPr>
            <w:tcW w:type="dxa" w:w="2200"/>
            <w:shd w:fill="E8EDF2" w:color="auto" w:val="clear"/>
            <w:tcMar>
              <w:top w:type="dxa" w:w="70"/>
              <w:left w:type="dxa" w:w="110"/>
              <w:bottom w:type="dxa" w:w="70"/>
              <w:right w:type="dxa" w:w="110"/>
            </w:tcMar>
            <w:vAlign w:val="center"/>
          </w:tcPr>
          <w:p>
            <w:pPr>
              <w:spacing w:after="0" w:line="240"/>
            </w:pPr>
            <w:r>
              <w:rPr>
                <w:b/>
                <w:bCs/>
                <w:sz w:val="19"/>
                <w:szCs w:val="19"/>
              </w:rPr>
              <w:t xml:space="preserve">Przypadek</w:t>
            </w:r>
          </w:p>
        </w:tc>
        <w:tc>
          <w:tcPr>
            <w:tcW w:type="dxa" w:w="3800"/>
            <w:shd w:fill="E8EDF2" w:color="auto" w:val="clear"/>
            <w:tcMar>
              <w:top w:type="dxa" w:w="70"/>
              <w:left w:type="dxa" w:w="110"/>
              <w:bottom w:type="dxa" w:w="70"/>
              <w:right w:type="dxa" w:w="110"/>
            </w:tcMar>
            <w:vAlign w:val="center"/>
          </w:tcPr>
          <w:p>
            <w:pPr>
              <w:spacing w:after="0" w:line="240"/>
            </w:pPr>
            <w:r>
              <w:rPr>
                <w:b/>
                <w:bCs/>
                <w:sz w:val="19"/>
                <w:szCs w:val="19"/>
              </w:rPr>
              <w:t xml:space="preserve">Opis</w:t>
            </w:r>
          </w:p>
        </w:tc>
        <w:tc>
          <w:tcPr>
            <w:tcW w:type="dxa" w:w="3026"/>
            <w:shd w:fill="E8EDF2" w:color="auto" w:val="clear"/>
            <w:tcMar>
              <w:top w:type="dxa" w:w="70"/>
              <w:left w:type="dxa" w:w="110"/>
              <w:bottom w:type="dxa" w:w="70"/>
              <w:right w:type="dxa" w:w="110"/>
            </w:tcMar>
            <w:vAlign w:val="center"/>
          </w:tcPr>
          <w:p>
            <w:pPr>
              <w:spacing w:after="0" w:line="240"/>
            </w:pPr>
            <w:r>
              <w:rPr>
                <w:b/>
                <w:bCs/>
                <w:sz w:val="19"/>
                <w:szCs w:val="19"/>
              </w:rPr>
              <w:t xml:space="preserve">Rozwiązanie</w:t>
            </w:r>
          </w:p>
        </w:tc>
      </w:tr>
      <w:tr>
        <w:tc>
          <w:tcPr>
            <w:tcW w:type="dxa" w:w="2200"/>
            <w:tcMar>
              <w:top w:type="dxa" w:w="70"/>
              <w:left w:type="dxa" w:w="110"/>
              <w:bottom w:type="dxa" w:w="70"/>
              <w:right w:type="dxa" w:w="110"/>
            </w:tcMar>
            <w:vAlign w:val="center"/>
          </w:tcPr>
          <w:p>
            <w:pPr>
              <w:spacing w:after="0" w:line="240"/>
            </w:pPr>
            <w:r>
              <w:rPr>
                <w:sz w:val="19"/>
                <w:szCs w:val="19"/>
              </w:rPr>
              <w:t xml:space="preserve">Numer typu 12/14</w:t>
            </w:r>
          </w:p>
        </w:tc>
        <w:tc>
          <w:tcPr>
            <w:tcW w:type="dxa" w:w="3800"/>
            <w:tcMar>
              <w:top w:type="dxa" w:w="70"/>
              <w:left w:type="dxa" w:w="110"/>
              <w:bottom w:type="dxa" w:w="70"/>
              <w:right w:type="dxa" w:w="110"/>
            </w:tcMar>
            <w:vAlign w:val="center"/>
          </w:tcPr>
          <w:p>
            <w:pPr>
              <w:spacing w:after="0" w:line="240"/>
            </w:pPr>
            <w:r>
              <w:rPr>
                <w:sz w:val="19"/>
                <w:szCs w:val="19"/>
              </w:rPr>
              <w:t xml:space="preserve">Zapis dwuznaczny: może być numerem budynku narożnego albo zapisem „budynek 12, lokal 14”</w:t>
            </w:r>
          </w:p>
        </w:tc>
        <w:tc>
          <w:tcPr>
            <w:tcW w:type="dxa" w:w="3026"/>
            <w:tcMar>
              <w:top w:type="dxa" w:w="70"/>
              <w:left w:type="dxa" w:w="110"/>
              <w:bottom w:type="dxa" w:w="70"/>
              <w:right w:type="dxa" w:w="110"/>
            </w:tcMar>
            <w:vAlign w:val="center"/>
          </w:tcPr>
          <w:p>
            <w:pPr>
              <w:spacing w:after="0" w:line="240"/>
            </w:pPr>
            <w:r>
              <w:rPr>
                <w:sz w:val="19"/>
                <w:szCs w:val="19"/>
              </w:rPr>
              <w:t xml:space="preserve">System sprawdza w rejestrze obie interpretacje i przyjmuje tę, która istnieje. Gdy istnieją obie — patrz uwaga pod tabelą</w:t>
            </w:r>
          </w:p>
        </w:tc>
      </w:tr>
      <w:tr>
        <w:tc>
          <w:tcPr>
            <w:tcW w:type="dxa" w:w="2200"/>
            <w:shd w:fill="F5F7F9" w:color="auto" w:val="clear"/>
            <w:tcMar>
              <w:top w:type="dxa" w:w="70"/>
              <w:left w:type="dxa" w:w="110"/>
              <w:bottom w:type="dxa" w:w="70"/>
              <w:right w:type="dxa" w:w="110"/>
            </w:tcMar>
            <w:vAlign w:val="center"/>
          </w:tcPr>
          <w:p>
            <w:pPr>
              <w:spacing w:after="0" w:line="240"/>
            </w:pPr>
            <w:r>
              <w:rPr>
                <w:sz w:val="19"/>
                <w:szCs w:val="19"/>
              </w:rPr>
              <w:t xml:space="preserve">Miejscowości bez ulic</w:t>
            </w:r>
          </w:p>
        </w:tc>
        <w:tc>
          <w:tcPr>
            <w:tcW w:type="dxa" w:w="3800"/>
            <w:shd w:fill="F5F7F9" w:color="auto" w:val="clear"/>
            <w:tcMar>
              <w:top w:type="dxa" w:w="70"/>
              <w:left w:type="dxa" w:w="110"/>
              <w:bottom w:type="dxa" w:w="70"/>
              <w:right w:type="dxa" w:w="110"/>
            </w:tcMar>
            <w:vAlign w:val="center"/>
          </w:tcPr>
          <w:p>
            <w:pPr>
              <w:spacing w:after="0" w:line="240"/>
            </w:pPr>
            <w:r>
              <w:rPr>
                <w:sz w:val="19"/>
                <w:szCs w:val="19"/>
              </w:rPr>
              <w:t xml:space="preserve">Numer odnosi się bezpośrednio do miejscowości</w:t>
            </w:r>
          </w:p>
        </w:tc>
        <w:tc>
          <w:tcPr>
            <w:tcW w:type="dxa" w:w="3026"/>
            <w:shd w:fill="F5F7F9" w:color="auto" w:val="clear"/>
            <w:tcMar>
              <w:top w:type="dxa" w:w="70"/>
              <w:left w:type="dxa" w:w="110"/>
              <w:bottom w:type="dxa" w:w="70"/>
              <w:right w:type="dxa" w:w="110"/>
            </w:tcMar>
            <w:vAlign w:val="center"/>
          </w:tcPr>
          <w:p>
            <w:pPr>
              <w:spacing w:after="0" w:line="240"/>
            </w:pPr>
            <w:r>
              <w:rPr>
                <w:sz w:val="19"/>
                <w:szCs w:val="19"/>
              </w:rPr>
              <w:t xml:space="preserve">Pole ulicy opcjonalne, sterowane znacznikiem</w:t>
            </w:r>
          </w:p>
        </w:tc>
      </w:tr>
      <w:tr>
        <w:tc>
          <w:tcPr>
            <w:tcW w:type="dxa" w:w="2200"/>
            <w:tcMar>
              <w:top w:type="dxa" w:w="70"/>
              <w:left w:type="dxa" w:w="110"/>
              <w:bottom w:type="dxa" w:w="70"/>
              <w:right w:type="dxa" w:w="110"/>
            </w:tcMar>
            <w:vAlign w:val="center"/>
          </w:tcPr>
          <w:p>
            <w:pPr>
              <w:spacing w:after="0" w:line="240"/>
            </w:pPr>
            <w:r>
              <w:rPr>
                <w:sz w:val="19"/>
                <w:szCs w:val="19"/>
              </w:rPr>
              <w:t xml:space="preserve">Duplikaty nazw miejscowości</w:t>
            </w:r>
          </w:p>
        </w:tc>
        <w:tc>
          <w:tcPr>
            <w:tcW w:type="dxa" w:w="3800"/>
            <w:tcMar>
              <w:top w:type="dxa" w:w="70"/>
              <w:left w:type="dxa" w:w="110"/>
              <w:bottom w:type="dxa" w:w="70"/>
              <w:right w:type="dxa" w:w="110"/>
            </w:tcMar>
            <w:vAlign w:val="center"/>
          </w:tcPr>
          <w:p>
            <w:pPr>
              <w:spacing w:after="0" w:line="240"/>
            </w:pPr>
            <w:r>
              <w:rPr>
                <w:sz w:val="19"/>
                <w:szCs w:val="19"/>
              </w:rPr>
              <w:t xml:space="preserve">Nazwy takie jak „Nowa Wieś” występują setki razy</w:t>
            </w:r>
          </w:p>
        </w:tc>
        <w:tc>
          <w:tcPr>
            <w:tcW w:type="dxa" w:w="3026"/>
            <w:tcMar>
              <w:top w:type="dxa" w:w="70"/>
              <w:left w:type="dxa" w:w="110"/>
              <w:bottom w:type="dxa" w:w="70"/>
              <w:right w:type="dxa" w:w="110"/>
            </w:tcMar>
            <w:vAlign w:val="center"/>
          </w:tcPr>
          <w:p>
            <w:pPr>
              <w:spacing w:after="0" w:line="240"/>
            </w:pPr>
            <w:r>
              <w:rPr>
                <w:sz w:val="19"/>
                <w:szCs w:val="19"/>
              </w:rPr>
              <w:t xml:space="preserve">Wymagane rozstrzygnięcie przez użytkownika — prezentacja gminy i powiatu</w:t>
            </w:r>
          </w:p>
        </w:tc>
      </w:tr>
      <w:tr>
        <w:tc>
          <w:tcPr>
            <w:tcW w:type="dxa" w:w="2200"/>
            <w:shd w:fill="F5F7F9" w:color="auto" w:val="clear"/>
            <w:tcMar>
              <w:top w:type="dxa" w:w="70"/>
              <w:left w:type="dxa" w:w="110"/>
              <w:bottom w:type="dxa" w:w="70"/>
              <w:right w:type="dxa" w:w="110"/>
            </w:tcMar>
            <w:vAlign w:val="center"/>
          </w:tcPr>
          <w:p>
            <w:pPr>
              <w:spacing w:after="0" w:line="240"/>
            </w:pPr>
            <w:r>
              <w:rPr>
                <w:sz w:val="19"/>
                <w:szCs w:val="19"/>
              </w:rPr>
              <w:t xml:space="preserve">Nazwy potoczne ulic</w:t>
            </w:r>
          </w:p>
        </w:tc>
        <w:tc>
          <w:tcPr>
            <w:tcW w:type="dxa" w:w="3800"/>
            <w:shd w:fill="F5F7F9" w:color="auto" w:val="clear"/>
            <w:tcMar>
              <w:top w:type="dxa" w:w="70"/>
              <w:left w:type="dxa" w:w="110"/>
              <w:bottom w:type="dxa" w:w="70"/>
              <w:right w:type="dxa" w:w="110"/>
            </w:tcMar>
            <w:vAlign w:val="center"/>
          </w:tcPr>
          <w:p>
            <w:pPr>
              <w:spacing w:after="0" w:line="240"/>
            </w:pPr>
            <w:r>
              <w:rPr>
                <w:sz w:val="19"/>
                <w:szCs w:val="19"/>
              </w:rPr>
              <w:t xml:space="preserve">Użytkownik wpisuje „Kościuszki”, rejestr zawiera „Tadeusza Kościuszki”</w:t>
            </w:r>
          </w:p>
        </w:tc>
        <w:tc>
          <w:tcPr>
            <w:tcW w:type="dxa" w:w="3026"/>
            <w:shd w:fill="F5F7F9" w:color="auto" w:val="clear"/>
            <w:tcMar>
              <w:top w:type="dxa" w:w="70"/>
              <w:left w:type="dxa" w:w="110"/>
              <w:bottom w:type="dxa" w:w="70"/>
              <w:right w:type="dxa" w:w="110"/>
            </w:tcMar>
            <w:vAlign w:val="center"/>
          </w:tcPr>
          <w:p>
            <w:pPr>
              <w:spacing w:after="0" w:line="240"/>
            </w:pPr>
            <w:r>
              <w:rPr>
                <w:sz w:val="19"/>
                <w:szCs w:val="19"/>
              </w:rPr>
              <w:t xml:space="preserve">Forma potoczna wyliczana automatycznie i indeksowana jako dodatkowy klucz</w:t>
            </w:r>
          </w:p>
        </w:tc>
      </w:tr>
      <w:tr>
        <w:tc>
          <w:tcPr>
            <w:tcW w:type="dxa" w:w="2200"/>
            <w:tcMar>
              <w:top w:type="dxa" w:w="70"/>
              <w:left w:type="dxa" w:w="110"/>
              <w:bottom w:type="dxa" w:w="70"/>
              <w:right w:type="dxa" w:w="110"/>
            </w:tcMar>
            <w:vAlign w:val="center"/>
          </w:tcPr>
          <w:p>
            <w:pPr>
              <w:spacing w:after="0" w:line="240"/>
            </w:pPr>
            <w:r>
              <w:rPr>
                <w:sz w:val="19"/>
                <w:szCs w:val="19"/>
              </w:rPr>
              <w:t xml:space="preserve">Punkty planowane</w:t>
            </w:r>
          </w:p>
        </w:tc>
        <w:tc>
          <w:tcPr>
            <w:tcW w:type="dxa" w:w="3800"/>
            <w:tcMar>
              <w:top w:type="dxa" w:w="70"/>
              <w:left w:type="dxa" w:w="110"/>
              <w:bottom w:type="dxa" w:w="70"/>
              <w:right w:type="dxa" w:w="110"/>
            </w:tcMar>
            <w:vAlign w:val="center"/>
          </w:tcPr>
          <w:p>
            <w:pPr>
              <w:spacing w:after="0" w:line="240"/>
            </w:pPr>
            <w:r>
              <w:rPr>
                <w:sz w:val="19"/>
                <w:szCs w:val="19"/>
              </w:rPr>
              <w:t xml:space="preserve">Adres nadany, budynek jeszcze nie istnieje</w:t>
            </w:r>
          </w:p>
        </w:tc>
        <w:tc>
          <w:tcPr>
            <w:tcW w:type="dxa" w:w="3026"/>
            <w:tcMar>
              <w:top w:type="dxa" w:w="70"/>
              <w:left w:type="dxa" w:w="110"/>
              <w:bottom w:type="dxa" w:w="70"/>
              <w:right w:type="dxa" w:w="110"/>
            </w:tcMar>
            <w:vAlign w:val="center"/>
          </w:tcPr>
          <w:p>
            <w:pPr>
              <w:spacing w:after="0" w:line="240"/>
            </w:pPr>
            <w:r>
              <w:rPr>
                <w:sz w:val="19"/>
                <w:szCs w:val="19"/>
              </w:rPr>
              <w:t xml:space="preserve">Informacja zwrotna, nie blokada. Atrybut zamrożony przed 1.09.2026</w:t>
            </w:r>
          </w:p>
        </w:tc>
      </w:tr>
      <w:tr>
        <w:tc>
          <w:tcPr>
            <w:tcW w:type="dxa" w:w="2200"/>
            <w:shd w:fill="F5F7F9" w:color="auto" w:val="clear"/>
            <w:tcMar>
              <w:top w:type="dxa" w:w="70"/>
              <w:left w:type="dxa" w:w="110"/>
              <w:bottom w:type="dxa" w:w="70"/>
              <w:right w:type="dxa" w:w="110"/>
            </w:tcMar>
            <w:vAlign w:val="center"/>
          </w:tcPr>
          <w:p>
            <w:pPr>
              <w:spacing w:after="0" w:line="240"/>
            </w:pPr>
            <w:r>
              <w:rPr>
                <w:sz w:val="19"/>
                <w:szCs w:val="19"/>
              </w:rPr>
              <w:t xml:space="preserve">Skrytki pocztowe</w:t>
            </w:r>
          </w:p>
        </w:tc>
        <w:tc>
          <w:tcPr>
            <w:tcW w:type="dxa" w:w="3800"/>
            <w:shd w:fill="F5F7F9" w:color="auto" w:val="clear"/>
            <w:tcMar>
              <w:top w:type="dxa" w:w="70"/>
              <w:left w:type="dxa" w:w="110"/>
              <w:bottom w:type="dxa" w:w="70"/>
              <w:right w:type="dxa" w:w="110"/>
            </w:tcMar>
            <w:vAlign w:val="center"/>
          </w:tcPr>
          <w:p>
            <w:pPr>
              <w:spacing w:after="0" w:line="240"/>
            </w:pPr>
            <w:r>
              <w:rPr>
                <w:sz w:val="19"/>
                <w:szCs w:val="19"/>
              </w:rPr>
              <w:t xml:space="preserve">Brak odpowiednika w rejestrze</w:t>
            </w:r>
          </w:p>
        </w:tc>
        <w:tc>
          <w:tcPr>
            <w:tcW w:type="dxa" w:w="3026"/>
            <w:shd w:fill="F5F7F9" w:color="auto" w:val="clear"/>
            <w:tcMar>
              <w:top w:type="dxa" w:w="70"/>
              <w:left w:type="dxa" w:w="110"/>
              <w:bottom w:type="dxa" w:w="70"/>
              <w:right w:type="dxa" w:w="110"/>
            </w:tcMar>
            <w:vAlign w:val="center"/>
          </w:tcPr>
          <w:p>
            <w:pPr>
              <w:spacing w:after="0" w:line="240"/>
            </w:pPr>
            <w:r>
              <w:rPr>
                <w:sz w:val="19"/>
                <w:szCs w:val="19"/>
              </w:rPr>
              <w:t xml:space="preserve">Tryb adresu nietypowego</w:t>
            </w:r>
          </w:p>
        </w:tc>
      </w:tr>
      <w:tr>
        <w:tc>
          <w:tcPr>
            <w:tcW w:type="dxa" w:w="2200"/>
            <w:tcMar>
              <w:top w:type="dxa" w:w="70"/>
              <w:left w:type="dxa" w:w="110"/>
              <w:bottom w:type="dxa" w:w="70"/>
              <w:right w:type="dxa" w:w="110"/>
            </w:tcMar>
            <w:vAlign w:val="center"/>
          </w:tcPr>
          <w:p>
            <w:pPr>
              <w:spacing w:after="0" w:line="240"/>
            </w:pPr>
            <w:r>
              <w:rPr>
                <w:sz w:val="19"/>
                <w:szCs w:val="19"/>
              </w:rPr>
              <w:t xml:space="preserve">Dzielnice w polu miejscowości</w:t>
            </w:r>
          </w:p>
        </w:tc>
        <w:tc>
          <w:tcPr>
            <w:tcW w:type="dxa" w:w="3800"/>
            <w:tcMar>
              <w:top w:type="dxa" w:w="70"/>
              <w:left w:type="dxa" w:w="110"/>
              <w:bottom w:type="dxa" w:w="70"/>
              <w:right w:type="dxa" w:w="110"/>
            </w:tcMar>
            <w:vAlign w:val="center"/>
          </w:tcPr>
          <w:p>
            <w:pPr>
              <w:spacing w:after="0" w:line="240"/>
            </w:pPr>
            <w:r>
              <w:rPr>
                <w:sz w:val="19"/>
                <w:szCs w:val="19"/>
              </w:rPr>
              <w:t xml:space="preserve">Zapis „Warszawa-Mokotów”</w:t>
            </w:r>
          </w:p>
        </w:tc>
        <w:tc>
          <w:tcPr>
            <w:tcW w:type="dxa" w:w="3026"/>
            <w:tcMar>
              <w:top w:type="dxa" w:w="70"/>
              <w:left w:type="dxa" w:w="110"/>
              <w:bottom w:type="dxa" w:w="70"/>
              <w:right w:type="dxa" w:w="110"/>
            </w:tcMar>
            <w:vAlign w:val="center"/>
          </w:tcPr>
          <w:p>
            <w:pPr>
              <w:spacing w:after="0" w:line="240"/>
            </w:pPr>
            <w:r>
              <w:rPr>
                <w:sz w:val="19"/>
                <w:szCs w:val="19"/>
              </w:rPr>
              <w:t xml:space="preserve">Traktowane jako pole pomocnicze, nie element klucza</w:t>
            </w:r>
          </w:p>
        </w:tc>
      </w:tr>
    </w:tbl>
    <w:p>
      <w:pPr>
        <w:spacing w:after="160"/>
      </w:pPr>
    </w:p>
    <w:p>
      <w:pPr>
        <w:spacing w:after="120" w:line="276"/>
      </w:pPr>
      <w:r>
        <w:rPr>
          <w:b/>
          <w:bCs/>
          <w:sz w:val="21"/>
          <w:szCs w:val="21"/>
        </w:rPr>
        <w:t xml:space="preserve">Doprecyzowanie zapisu 12/14: </w:t>
      </w:r>
      <w:r>
        <w:rPr>
          <w:sz w:val="21"/>
          <w:szCs w:val="21"/>
        </w:rPr>
        <w:t xml:space="preserve">gdy przy danej ulicy istnieje zarówno punkt „12”, jak i punkt „12/14” — sytuacja typowa w miastach z budynkami narożnymi — obecna implementacja wybiera odczyt „budynek 12, lokal 14”. Reguła docelowa daje pierwszeństwo numerowi budynku „12/14” i wymaga zamiany kolejności sprawdzania; jest to pozycja do wykonania. Zapisy z literą po lewej stronie ukośnika, jak „12A/5”, nie są traktowane jako dwuznaczne — zawsze czytane są jako budynek i lokal.</w:t>
      </w:r>
    </w:p>
    <w:p>
      <w:r>
        <w:br w:type="page"/>
      </w:r>
    </w:p>
    <w:p>
      <w:pPr>
        <w:pStyle w:val="Heading1"/>
        <w:spacing w:after="180" w:before="360"/>
      </w:pPr>
      <w:r>
        <w:t xml:space="preserve">7. Proces aktualizacji danych</w:t>
      </w:r>
    </w:p>
    <w:p>
      <w:pPr>
        <w:pStyle w:val="Heading2"/>
        <w:spacing w:after="140" w:before="280"/>
      </w:pPr>
      <w:r>
        <w:t xml:space="preserve">7.1. Przebieg</w:t>
      </w:r>
    </w:p>
    <w:p>
      <w:pPr>
        <w:pStyle w:val="ListParagraph"/>
        <w:numPr>
          <w:ilvl w:val="0"/>
          <w:numId w:val="3"/>
        </w:numPr>
        <w:spacing w:after="80" w:line="276"/>
      </w:pPr>
      <w:r>
        <w:rPr>
          <w:sz w:val="21"/>
          <w:szCs w:val="21"/>
        </w:rPr>
        <w:t xml:space="preserve">Pobranie plików w podziale na województwa według harmonogramu tygodniowego, z wyliczeniem sumy kontrolnej. Tani sondaż nagłówków HTTP jest niemożliwy — patrz 4.3.</w:t>
      </w:r>
    </w:p>
    <w:p>
      <w:pPr>
        <w:pStyle w:val="ListParagraph"/>
        <w:numPr>
          <w:ilvl w:val="0"/>
          <w:numId w:val="3"/>
        </w:numPr>
        <w:spacing w:after="80" w:line="276"/>
      </w:pPr>
      <w:r>
        <w:rPr>
          <w:sz w:val="21"/>
          <w:szCs w:val="21"/>
        </w:rPr>
        <w:t xml:space="preserve">Porównanie sumy kontrolnej treści z ostatnim zrzutem — dalsze kroki wykonują się tylko przy wykrytej zmianie.</w:t>
      </w:r>
    </w:p>
    <w:p>
      <w:pPr>
        <w:pStyle w:val="ListParagraph"/>
        <w:numPr>
          <w:ilvl w:val="0"/>
          <w:numId w:val="3"/>
        </w:numPr>
        <w:spacing w:after="80" w:line="276"/>
      </w:pPr>
      <w:r>
        <w:rPr>
          <w:sz w:val="21"/>
          <w:szCs w:val="21"/>
        </w:rPr>
        <w:t xml:space="preserve">Zapis do własnego archiwum — plik źródłowy zachowywany bez zmian.</w:t>
      </w:r>
    </w:p>
    <w:p>
      <w:pPr>
        <w:pStyle w:val="ListParagraph"/>
        <w:numPr>
          <w:ilvl w:val="0"/>
          <w:numId w:val="3"/>
        </w:numPr>
        <w:spacing w:after="80" w:line="276"/>
      </w:pPr>
      <w:r>
        <w:rPr>
          <w:sz w:val="21"/>
          <w:szCs w:val="21"/>
        </w:rPr>
        <w:t xml:space="preserve">Przetworzenie strumieniowe i zasilenie obszaru przejściowego bazy danych.</w:t>
      </w:r>
    </w:p>
    <w:p>
      <w:pPr>
        <w:pStyle w:val="ListParagraph"/>
        <w:numPr>
          <w:ilvl w:val="0"/>
          <w:numId w:val="3"/>
        </w:numPr>
        <w:spacing w:after="80" w:line="276"/>
      </w:pPr>
      <w:r>
        <w:rPr>
          <w:sz w:val="21"/>
          <w:szCs w:val="21"/>
        </w:rPr>
        <w:t xml:space="preserve">Wykonanie kontroli jakości — porównanie obszaru przejściowego z danymi produkcyjnymi.</w:t>
      </w:r>
    </w:p>
    <w:p>
      <w:pPr>
        <w:pStyle w:val="ListParagraph"/>
        <w:numPr>
          <w:ilvl w:val="0"/>
          <w:numId w:val="3"/>
        </w:numPr>
        <w:spacing w:after="80" w:line="276"/>
      </w:pPr>
      <w:r>
        <w:rPr>
          <w:sz w:val="21"/>
          <w:szCs w:val="21"/>
        </w:rPr>
        <w:t xml:space="preserve">Publikacja transakcyjna — wyłącznie po przejściu wszystkich kontroli blokujących.</w:t>
      </w:r>
    </w:p>
    <w:p>
      <w:pPr>
        <w:pStyle w:val="ListParagraph"/>
        <w:numPr>
          <w:ilvl w:val="0"/>
          <w:numId w:val="3"/>
        </w:numPr>
        <w:spacing w:after="80" w:line="276"/>
      </w:pPr>
      <w:r>
        <w:rPr>
          <w:sz w:val="21"/>
          <w:szCs w:val="21"/>
        </w:rPr>
        <w:t xml:space="preserve">Zbudowanie nowego artefaktu indeksu i przestawienie wskaźnika wersji. Instancje mikroserwisu wykrywają zmianę, odpytując wskaźnik co 60 sekund.</w:t>
      </w:r>
    </w:p>
    <w:p>
      <w:pPr>
        <w:pStyle w:val="Heading2"/>
        <w:spacing w:after="140" w:before="280"/>
      </w:pPr>
      <w:r>
        <w:t xml:space="preserve">7.2. Kontrole jakości</w:t>
      </w:r>
    </w:p>
    <w:p>
      <w:pPr>
        <w:spacing w:after="120" w:line="276"/>
      </w:pPr>
      <w:r>
        <w:rPr>
          <w:sz w:val="21"/>
          <w:szCs w:val="21"/>
        </w:rPr>
        <w:t xml:space="preserve">Zaimplementowano pięć kontroli. Każda z nich odpowiada realnemu, udokumentowanemu zdarzeniu, a nie hipotetycznemu zagrożeniu.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826"/>
        <w:gridCol w:w="1800"/>
      </w:tblGrid>
      <w:tr>
        <w:trPr>
          <w:tblHeader/>
        </w:trPr>
        <w:tc>
          <w:tcPr>
            <w:tcW w:type="dxa" w:w="2400"/>
            <w:shd w:fill="E8EDF2" w:color="auto" w:val="clear"/>
            <w:tcMar>
              <w:top w:type="dxa" w:w="70"/>
              <w:left w:type="dxa" w:w="110"/>
              <w:bottom w:type="dxa" w:w="70"/>
              <w:right w:type="dxa" w:w="110"/>
            </w:tcMar>
            <w:vAlign w:val="center"/>
          </w:tcPr>
          <w:p>
            <w:pPr>
              <w:spacing w:after="0" w:line="240"/>
            </w:pPr>
            <w:r>
              <w:rPr>
                <w:b/>
                <w:bCs/>
                <w:sz w:val="19"/>
                <w:szCs w:val="19"/>
              </w:rPr>
              <w:t xml:space="preserve">Kontrola</w:t>
            </w:r>
          </w:p>
        </w:tc>
        <w:tc>
          <w:tcPr>
            <w:tcW w:type="dxa" w:w="4826"/>
            <w:shd w:fill="E8EDF2" w:color="auto" w:val="clear"/>
            <w:tcMar>
              <w:top w:type="dxa" w:w="70"/>
              <w:left w:type="dxa" w:w="110"/>
              <w:bottom w:type="dxa" w:w="70"/>
              <w:right w:type="dxa" w:w="110"/>
            </w:tcMar>
            <w:vAlign w:val="center"/>
          </w:tcPr>
          <w:p>
            <w:pPr>
              <w:spacing w:after="0" w:line="240"/>
            </w:pPr>
            <w:r>
              <w:rPr>
                <w:b/>
                <w:bCs/>
                <w:sz w:val="19"/>
                <w:szCs w:val="19"/>
              </w:rPr>
              <w:t xml:space="preserve">Wykrywa</w:t>
            </w:r>
          </w:p>
        </w:tc>
        <w:tc>
          <w:tcPr>
            <w:tcW w:type="dxa" w:w="1800"/>
            <w:shd w:fill="E8EDF2" w:color="auto" w:val="clear"/>
            <w:tcMar>
              <w:top w:type="dxa" w:w="70"/>
              <w:left w:type="dxa" w:w="110"/>
              <w:bottom w:type="dxa" w:w="70"/>
              <w:right w:type="dxa" w:w="110"/>
            </w:tcMar>
            <w:vAlign w:val="center"/>
          </w:tcPr>
          <w:p>
            <w:pPr>
              <w:spacing w:after="0" w:line="240"/>
            </w:pPr>
            <w:r>
              <w:rPr>
                <w:b/>
                <w:bCs/>
                <w:sz w:val="19"/>
                <w:szCs w:val="19"/>
              </w:rPr>
              <w:t xml:space="preserve">Poziom</w:t>
            </w:r>
          </w:p>
        </w:tc>
      </w:tr>
      <w:tr>
        <w:tc>
          <w:tcPr>
            <w:tcW w:type="dxa" w:w="2400"/>
            <w:tcMar>
              <w:top w:type="dxa" w:w="70"/>
              <w:left w:type="dxa" w:w="110"/>
              <w:bottom w:type="dxa" w:w="70"/>
              <w:right w:type="dxa" w:w="110"/>
            </w:tcMar>
            <w:vAlign w:val="center"/>
          </w:tcPr>
          <w:p>
            <w:pPr>
              <w:spacing w:after="0" w:line="240"/>
            </w:pPr>
            <w:r>
              <w:rPr>
                <w:sz w:val="19"/>
                <w:szCs w:val="19"/>
              </w:rPr>
              <w:t xml:space="preserve">Minimalna liczba rekordów</w:t>
            </w:r>
          </w:p>
        </w:tc>
        <w:tc>
          <w:tcPr>
            <w:tcW w:type="dxa" w:w="4826"/>
            <w:tcMar>
              <w:top w:type="dxa" w:w="70"/>
              <w:left w:type="dxa" w:w="110"/>
              <w:bottom w:type="dxa" w:w="70"/>
              <w:right w:type="dxa" w:w="110"/>
            </w:tcMar>
            <w:vAlign w:val="center"/>
          </w:tcPr>
          <w:p>
            <w:pPr>
              <w:spacing w:after="0" w:line="240"/>
            </w:pPr>
            <w:r>
              <w:rPr>
                <w:sz w:val="19"/>
                <w:szCs w:val="19"/>
              </w:rPr>
              <w:t xml:space="preserve">Zmianę formatu pliku lub niekompletny zrzut</w:t>
            </w:r>
          </w:p>
        </w:tc>
        <w:tc>
          <w:tcPr>
            <w:tcW w:type="dxa" w:w="1800"/>
            <w:tcMar>
              <w:top w:type="dxa" w:w="70"/>
              <w:left w:type="dxa" w:w="110"/>
              <w:bottom w:type="dxa" w:w="70"/>
              <w:right w:type="dxa" w:w="110"/>
            </w:tcMar>
            <w:vAlign w:val="center"/>
          </w:tcPr>
          <w:p>
            <w:pPr>
              <w:spacing w:after="0" w:line="240"/>
            </w:pPr>
            <w:r>
              <w:rPr>
                <w:sz w:val="19"/>
                <w:szCs w:val="19"/>
              </w:rPr>
              <w:t xml:space="preserve">Blokująca</w:t>
            </w:r>
          </w:p>
        </w:tc>
      </w:tr>
      <w:tr>
        <w:tc>
          <w:tcPr>
            <w:tcW w:type="dxa" w:w="2400"/>
            <w:shd w:fill="F5F7F9" w:color="auto" w:val="clear"/>
            <w:tcMar>
              <w:top w:type="dxa" w:w="70"/>
              <w:left w:type="dxa" w:w="110"/>
              <w:bottom w:type="dxa" w:w="70"/>
              <w:right w:type="dxa" w:w="110"/>
            </w:tcMar>
            <w:vAlign w:val="center"/>
          </w:tcPr>
          <w:p>
            <w:pPr>
              <w:spacing w:after="0" w:line="240"/>
            </w:pPr>
            <w:r>
              <w:rPr>
                <w:sz w:val="19"/>
                <w:szCs w:val="19"/>
              </w:rPr>
              <w:t xml:space="preserve">Wielkość zmiany</w:t>
            </w:r>
          </w:p>
        </w:tc>
        <w:tc>
          <w:tcPr>
            <w:tcW w:type="dxa" w:w="4826"/>
            <w:shd w:fill="F5F7F9" w:color="auto" w:val="clear"/>
            <w:tcMar>
              <w:top w:type="dxa" w:w="70"/>
              <w:left w:type="dxa" w:w="110"/>
              <w:bottom w:type="dxa" w:w="70"/>
              <w:right w:type="dxa" w:w="110"/>
            </w:tcMar>
            <w:vAlign w:val="center"/>
          </w:tcPr>
          <w:p>
            <w:pPr>
              <w:spacing w:after="0" w:line="240"/>
            </w:pPr>
            <w:r>
              <w:rPr>
                <w:sz w:val="19"/>
                <w:szCs w:val="19"/>
              </w:rPr>
              <w:t xml:space="preserve">Błąd konwersji powodujący masową utratę lub duplikację danych</w:t>
            </w:r>
          </w:p>
        </w:tc>
        <w:tc>
          <w:tcPr>
            <w:tcW w:type="dxa" w:w="1800"/>
            <w:shd w:fill="F5F7F9" w:color="auto" w:val="clear"/>
            <w:tcMar>
              <w:top w:type="dxa" w:w="70"/>
              <w:left w:type="dxa" w:w="110"/>
              <w:bottom w:type="dxa" w:w="70"/>
              <w:right w:type="dxa" w:w="110"/>
            </w:tcMar>
            <w:vAlign w:val="center"/>
          </w:tcPr>
          <w:p>
            <w:pPr>
              <w:spacing w:after="0" w:line="240"/>
            </w:pPr>
            <w:r>
              <w:rPr>
                <w:sz w:val="19"/>
                <w:szCs w:val="19"/>
              </w:rPr>
              <w:t xml:space="preserve">Blokująca</w:t>
            </w:r>
          </w:p>
        </w:tc>
      </w:tr>
      <w:tr>
        <w:tc>
          <w:tcPr>
            <w:tcW w:type="dxa" w:w="2400"/>
            <w:tcMar>
              <w:top w:type="dxa" w:w="70"/>
              <w:left w:type="dxa" w:w="110"/>
              <w:bottom w:type="dxa" w:w="70"/>
              <w:right w:type="dxa" w:w="110"/>
            </w:tcMar>
            <w:vAlign w:val="center"/>
          </w:tcPr>
          <w:p>
            <w:pPr>
              <w:spacing w:after="0" w:line="240"/>
            </w:pPr>
            <w:r>
              <w:rPr>
                <w:sz w:val="19"/>
                <w:szCs w:val="19"/>
              </w:rPr>
              <w:t xml:space="preserve">Spadek w pojedynczej gminie</w:t>
            </w:r>
          </w:p>
        </w:tc>
        <w:tc>
          <w:tcPr>
            <w:tcW w:type="dxa" w:w="4826"/>
            <w:tcMar>
              <w:top w:type="dxa" w:w="70"/>
              <w:left w:type="dxa" w:w="110"/>
              <w:bottom w:type="dxa" w:w="70"/>
              <w:right w:type="dxa" w:w="110"/>
            </w:tcMar>
            <w:vAlign w:val="center"/>
          </w:tcPr>
          <w:p>
            <w:pPr>
              <w:spacing w:after="0" w:line="240"/>
            </w:pPr>
            <w:r>
              <w:rPr>
                <w:sz w:val="19"/>
                <w:szCs w:val="19"/>
              </w:rPr>
              <w:t xml:space="preserve">Wzorzec „zrzut bez miasta” — przypadek Wrocławia z 2016 r.</w:t>
            </w:r>
          </w:p>
        </w:tc>
        <w:tc>
          <w:tcPr>
            <w:tcW w:type="dxa" w:w="1800"/>
            <w:tcMar>
              <w:top w:type="dxa" w:w="70"/>
              <w:left w:type="dxa" w:w="110"/>
              <w:bottom w:type="dxa" w:w="70"/>
              <w:right w:type="dxa" w:w="110"/>
            </w:tcMar>
            <w:vAlign w:val="center"/>
          </w:tcPr>
          <w:p>
            <w:pPr>
              <w:spacing w:after="0" w:line="240"/>
            </w:pPr>
            <w:r>
              <w:rPr>
                <w:sz w:val="19"/>
                <w:szCs w:val="19"/>
              </w:rPr>
              <w:t xml:space="preserve">Blokująca</w:t>
            </w:r>
          </w:p>
        </w:tc>
      </w:tr>
      <w:tr>
        <w:tc>
          <w:tcPr>
            <w:tcW w:type="dxa" w:w="2400"/>
            <w:shd w:fill="F5F7F9" w:color="auto" w:val="clear"/>
            <w:tcMar>
              <w:top w:type="dxa" w:w="70"/>
              <w:left w:type="dxa" w:w="110"/>
              <w:bottom w:type="dxa" w:w="70"/>
              <w:right w:type="dxa" w:w="110"/>
            </w:tcMar>
            <w:vAlign w:val="center"/>
          </w:tcPr>
          <w:p>
            <w:pPr>
              <w:spacing w:after="0" w:line="240"/>
            </w:pPr>
            <w:r>
              <w:rPr>
                <w:sz w:val="19"/>
                <w:szCs w:val="19"/>
              </w:rPr>
              <w:t xml:space="preserve">Brak zmian w danych</w:t>
            </w:r>
          </w:p>
        </w:tc>
        <w:tc>
          <w:tcPr>
            <w:tcW w:type="dxa" w:w="4826"/>
            <w:shd w:fill="F5F7F9" w:color="auto" w:val="clear"/>
            <w:tcMar>
              <w:top w:type="dxa" w:w="70"/>
              <w:left w:type="dxa" w:w="110"/>
              <w:bottom w:type="dxa" w:w="70"/>
              <w:right w:type="dxa" w:w="110"/>
            </w:tcMar>
            <w:vAlign w:val="center"/>
          </w:tcPr>
          <w:p>
            <w:pPr>
              <w:spacing w:after="0" w:line="240"/>
            </w:pPr>
            <w:r>
              <w:rPr>
                <w:sz w:val="19"/>
                <w:szCs w:val="19"/>
              </w:rPr>
              <w:t xml:space="preserve">Zamrożenie źródła — przypadek z czerwca 2024 r.</w:t>
            </w:r>
          </w:p>
        </w:tc>
        <w:tc>
          <w:tcPr>
            <w:tcW w:type="dxa" w:w="1800"/>
            <w:shd w:fill="F5F7F9" w:color="auto" w:val="clear"/>
            <w:tcMar>
              <w:top w:type="dxa" w:w="70"/>
              <w:left w:type="dxa" w:w="110"/>
              <w:bottom w:type="dxa" w:w="70"/>
              <w:right w:type="dxa" w:w="110"/>
            </w:tcMar>
            <w:vAlign w:val="center"/>
          </w:tcPr>
          <w:p>
            <w:pPr>
              <w:spacing w:after="0" w:line="240"/>
            </w:pPr>
            <w:r>
              <w:rPr>
                <w:sz w:val="19"/>
                <w:szCs w:val="19"/>
              </w:rPr>
              <w:t xml:space="preserve">Ostrzeżenie</w:t>
            </w:r>
          </w:p>
        </w:tc>
      </w:tr>
      <w:tr>
        <w:tc>
          <w:tcPr>
            <w:tcW w:type="dxa" w:w="2400"/>
            <w:tcMar>
              <w:top w:type="dxa" w:w="70"/>
              <w:left w:type="dxa" w:w="110"/>
              <w:bottom w:type="dxa" w:w="70"/>
              <w:right w:type="dxa" w:w="110"/>
            </w:tcMar>
            <w:vAlign w:val="center"/>
          </w:tcPr>
          <w:p>
            <w:pPr>
              <w:spacing w:after="0" w:line="240"/>
            </w:pPr>
            <w:r>
              <w:rPr>
                <w:sz w:val="19"/>
                <w:szCs w:val="19"/>
              </w:rPr>
              <w:t xml:space="preserve">Poprawność geometrii</w:t>
            </w:r>
          </w:p>
        </w:tc>
        <w:tc>
          <w:tcPr>
            <w:tcW w:type="dxa" w:w="4826"/>
            <w:tcMar>
              <w:top w:type="dxa" w:w="70"/>
              <w:left w:type="dxa" w:w="110"/>
              <w:bottom w:type="dxa" w:w="70"/>
              <w:right w:type="dxa" w:w="110"/>
            </w:tcMar>
            <w:vAlign w:val="center"/>
          </w:tcPr>
          <w:p>
            <w:pPr>
              <w:spacing w:after="0" w:line="240"/>
            </w:pPr>
            <w:r>
              <w:rPr>
                <w:sz w:val="19"/>
                <w:szCs w:val="19"/>
              </w:rPr>
              <w:t xml:space="preserve">Odwróconą kolejność osi współrzędnych i punkty poza granicami kraju</w:t>
            </w:r>
          </w:p>
        </w:tc>
        <w:tc>
          <w:tcPr>
            <w:tcW w:type="dxa" w:w="1800"/>
            <w:tcMar>
              <w:top w:type="dxa" w:w="70"/>
              <w:left w:type="dxa" w:w="110"/>
              <w:bottom w:type="dxa" w:w="70"/>
              <w:right w:type="dxa" w:w="110"/>
            </w:tcMar>
            <w:vAlign w:val="center"/>
          </w:tcPr>
          <w:p>
            <w:pPr>
              <w:spacing w:after="0" w:line="240"/>
            </w:pPr>
            <w:r>
              <w:rPr>
                <w:sz w:val="19"/>
                <w:szCs w:val="19"/>
              </w:rPr>
              <w:t xml:space="preserve">Blokująca przy punktach poza granicami kraju</w:t>
            </w:r>
          </w:p>
        </w:tc>
      </w:tr>
    </w:tbl>
    <w:p>
      <w:pPr>
        <w:spacing w:after="160"/>
      </w:pPr>
    </w:p>
    <w:p>
      <w:pPr>
        <w:spacing w:after="120" w:line="276"/>
      </w:pPr>
      <w:r>
        <w:rPr>
          <w:b/>
          <w:bCs/>
          <w:sz w:val="21"/>
          <w:szCs w:val="21"/>
        </w:rPr>
        <w:t xml:space="preserve">Kontrola blokująca wstrzymuje publikację i pozostawia poprzedni zrzut jako aktywny. </w:t>
      </w:r>
      <w:r>
        <w:rPr>
          <w:sz w:val="21"/>
          <w:szCs w:val="21"/>
        </w:rPr>
        <w:t xml:space="preserve">Przyjęta zasada: lepiej udostępniać dane sprzed tygodnia niż dane obejmujące połowę kraju. Obejście kontroli jest możliwe, ale wymaga jawnej decyzji operatora i pozostawia ślad w dzienniku zdarzeń.</w:t>
      </w:r>
    </w:p>
    <w:p>
      <w:pPr>
        <w:spacing w:after="120" w:line="276"/>
      </w:pPr>
      <w:r>
        <w:rPr>
          <w:b/>
          <w:bCs/>
          <w:sz w:val="21"/>
          <w:szCs w:val="21"/>
        </w:rPr>
        <w:t xml:space="preserve">Próg przy uruchomieniu częściowym. </w:t>
      </w:r>
      <w:r>
        <w:rPr>
          <w:sz w:val="21"/>
          <w:szCs w:val="21"/>
        </w:rPr>
        <w:t xml:space="preserve">Domyślny próg minimalnej liczby rekordów odpowiada pełnemu krajowi. Publikacja czterech województw wymagała jego świadomego obniżenia do wartości odpowiadającej temu zakresowi — jest to parametryzacja kontroli, nie jej wyłączenie. Przy przejściu na komplet 16 województw próg wraca do wartości domyślnej.</w:t>
      </w:r>
    </w:p>
    <w:p>
      <w:pPr>
        <w:pStyle w:val="Heading2"/>
        <w:spacing w:after="140" w:before="280"/>
      </w:pPr>
      <w:r>
        <w:t xml:space="preserve">7.3. Odporność na niedostępność źródła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3300"/>
        <w:gridCol w:w="2226"/>
      </w:tblGrid>
      <w:tr>
        <w:trPr>
          <w:tblHeader/>
        </w:trPr>
        <w:tc>
          <w:tcPr>
            <w:tcW w:type="dxa" w:w="900"/>
            <w:shd w:fill="E8EDF2" w:color="auto" w:val="clear"/>
            <w:tcMar>
              <w:top w:type="dxa" w:w="70"/>
              <w:left w:type="dxa" w:w="110"/>
              <w:bottom w:type="dxa" w:w="70"/>
              <w:right w:type="dxa" w:w="110"/>
            </w:tcMar>
            <w:vAlign w:val="center"/>
          </w:tcPr>
          <w:p>
            <w:pPr>
              <w:spacing w:after="0" w:line="240"/>
            </w:pPr>
            <w:r>
              <w:rPr>
                <w:b/>
                <w:bCs/>
                <w:sz w:val="19"/>
                <w:szCs w:val="19"/>
              </w:rPr>
              <w:t xml:space="preserve">Poziom</w:t>
            </w:r>
          </w:p>
        </w:tc>
        <w:tc>
          <w:tcPr>
            <w:tcW w:type="dxa" w:w="2600"/>
            <w:shd w:fill="E8EDF2" w:color="auto" w:val="clear"/>
            <w:tcMar>
              <w:top w:type="dxa" w:w="70"/>
              <w:left w:type="dxa" w:w="110"/>
              <w:bottom w:type="dxa" w:w="70"/>
              <w:right w:type="dxa" w:w="110"/>
            </w:tcMar>
            <w:vAlign w:val="center"/>
          </w:tcPr>
          <w:p>
            <w:pPr>
              <w:spacing w:after="0" w:line="240"/>
            </w:pPr>
            <w:r>
              <w:rPr>
                <w:b/>
                <w:bCs/>
                <w:sz w:val="19"/>
                <w:szCs w:val="19"/>
              </w:rPr>
              <w:t xml:space="preserve">Źródło</w:t>
            </w:r>
          </w:p>
        </w:tc>
        <w:tc>
          <w:tcPr>
            <w:tcW w:type="dxa" w:w="3300"/>
            <w:shd w:fill="E8EDF2" w:color="auto" w:val="clear"/>
            <w:tcMar>
              <w:top w:type="dxa" w:w="70"/>
              <w:left w:type="dxa" w:w="110"/>
              <w:bottom w:type="dxa" w:w="70"/>
              <w:right w:type="dxa" w:w="110"/>
            </w:tcMar>
            <w:vAlign w:val="center"/>
          </w:tcPr>
          <w:p>
            <w:pPr>
              <w:spacing w:after="0" w:line="240"/>
            </w:pPr>
            <w:r>
              <w:rPr>
                <w:b/>
                <w:bCs/>
                <w:sz w:val="19"/>
                <w:szCs w:val="19"/>
              </w:rPr>
              <w:t xml:space="preserve">Warunek uruchomienia</w:t>
            </w:r>
          </w:p>
        </w:tc>
        <w:tc>
          <w:tcPr>
            <w:tcW w:type="dxa" w:w="2226"/>
            <w:shd w:fill="E8EDF2" w:color="auto" w:val="clear"/>
            <w:tcMar>
              <w:top w:type="dxa" w:w="70"/>
              <w:left w:type="dxa" w:w="110"/>
              <w:bottom w:type="dxa" w:w="70"/>
              <w:right w:type="dxa" w:w="110"/>
            </w:tcMar>
            <w:vAlign w:val="center"/>
          </w:tcPr>
          <w:p>
            <w:pPr>
              <w:spacing w:after="0" w:line="240"/>
            </w:pPr>
            <w:r>
              <w:rPr>
                <w:b/>
                <w:bCs/>
                <w:sz w:val="19"/>
                <w:szCs w:val="19"/>
              </w:rPr>
              <w:t xml:space="preserve">Stan</w:t>
            </w:r>
          </w:p>
        </w:tc>
      </w:tr>
      <w:tr>
        <w:tc>
          <w:tcPr>
            <w:tcW w:type="dxa" w:w="900"/>
            <w:shd w:fill="EDF5EE" w:color="auto" w:val="clear"/>
            <w:tcMar>
              <w:top w:type="dxa" w:w="70"/>
              <w:left w:type="dxa" w:w="110"/>
              <w:bottom w:type="dxa" w:w="70"/>
              <w:right w:type="dxa" w:w="110"/>
            </w:tcMar>
            <w:vAlign w:val="center"/>
          </w:tcPr>
          <w:p>
            <w:pPr>
              <w:spacing w:after="0" w:line="240"/>
            </w:pPr>
            <w:r>
              <w:rPr>
                <w:sz w:val="19"/>
                <w:szCs w:val="19"/>
              </w:rPr>
              <w:t xml:space="preserve">1</w:t>
            </w:r>
          </w:p>
        </w:tc>
        <w:tc>
          <w:tcPr>
            <w:tcW w:type="dxa" w:w="2600"/>
            <w:shd w:fill="EDF5EE" w:color="auto" w:val="clear"/>
            <w:tcMar>
              <w:top w:type="dxa" w:w="70"/>
              <w:left w:type="dxa" w:w="110"/>
              <w:bottom w:type="dxa" w:w="70"/>
              <w:right w:type="dxa" w:w="110"/>
            </w:tcMar>
            <w:vAlign w:val="center"/>
          </w:tcPr>
          <w:p>
            <w:pPr>
              <w:spacing w:after="0" w:line="240"/>
            </w:pPr>
            <w:r>
              <w:rPr>
                <w:sz w:val="19"/>
                <w:szCs w:val="19"/>
              </w:rPr>
              <w:t xml:space="preserve">PRG (GUGiK)</w:t>
            </w:r>
          </w:p>
        </w:tc>
        <w:tc>
          <w:tcPr>
            <w:tcW w:type="dxa" w:w="3300"/>
            <w:shd w:fill="EDF5EE" w:color="auto" w:val="clear"/>
            <w:tcMar>
              <w:top w:type="dxa" w:w="70"/>
              <w:left w:type="dxa" w:w="110"/>
              <w:bottom w:type="dxa" w:w="70"/>
              <w:right w:type="dxa" w:w="110"/>
            </w:tcMar>
            <w:vAlign w:val="center"/>
          </w:tcPr>
          <w:p>
            <w:pPr>
              <w:spacing w:after="0" w:line="240"/>
            </w:pPr>
            <w:r>
              <w:rPr>
                <w:sz w:val="19"/>
                <w:szCs w:val="19"/>
              </w:rPr>
              <w:t xml:space="preserve">Domyślny</w:t>
            </w:r>
          </w:p>
        </w:tc>
        <w:tc>
          <w:tcPr>
            <w:tcW w:type="dxa" w:w="2226"/>
            <w:shd w:fill="EDF5EE" w:color="auto" w:val="clear"/>
            <w:tcMar>
              <w:top w:type="dxa" w:w="70"/>
              <w:left w:type="dxa" w:w="110"/>
              <w:bottom w:type="dxa" w:w="70"/>
              <w:right w:type="dxa" w:w="110"/>
            </w:tcMar>
            <w:vAlign w:val="center"/>
          </w:tcPr>
          <w:p>
            <w:pPr>
              <w:spacing w:after="0" w:line="240"/>
            </w:pPr>
            <w:r>
              <w:rPr>
                <w:sz w:val="19"/>
                <w:szCs w:val="19"/>
              </w:rPr>
              <w:t xml:space="preserve">Działa</w:t>
            </w:r>
          </w:p>
        </w:tc>
      </w:tr>
      <w:tr>
        <w:tc>
          <w:tcPr>
            <w:tcW w:type="dxa" w:w="900"/>
            <w:shd w:fill="FDF1E7" w:color="auto" w:val="clear"/>
            <w:tcMar>
              <w:top w:type="dxa" w:w="70"/>
              <w:left w:type="dxa" w:w="110"/>
              <w:bottom w:type="dxa" w:w="70"/>
              <w:right w:type="dxa" w:w="110"/>
            </w:tcMar>
            <w:vAlign w:val="center"/>
          </w:tcPr>
          <w:p>
            <w:pPr>
              <w:spacing w:after="0" w:line="240"/>
            </w:pPr>
            <w:r>
              <w:rPr>
                <w:sz w:val="19"/>
                <w:szCs w:val="19"/>
              </w:rPr>
              <w:t xml:space="preserve">2</w:t>
            </w:r>
          </w:p>
        </w:tc>
        <w:tc>
          <w:tcPr>
            <w:tcW w:type="dxa" w:w="2600"/>
            <w:shd w:fill="FDF1E7" w:color="auto" w:val="clear"/>
            <w:tcMar>
              <w:top w:type="dxa" w:w="70"/>
              <w:left w:type="dxa" w:w="110"/>
              <w:bottom w:type="dxa" w:w="70"/>
              <w:right w:type="dxa" w:w="110"/>
            </w:tcMar>
            <w:vAlign w:val="center"/>
          </w:tcPr>
          <w:p>
            <w:pPr>
              <w:spacing w:after="0" w:line="240"/>
            </w:pPr>
            <w:r>
              <w:rPr>
                <w:sz w:val="19"/>
                <w:szCs w:val="19"/>
              </w:rPr>
              <w:t xml:space="preserve">iMPA (Geo-System)</w:t>
            </w:r>
          </w:p>
        </w:tc>
        <w:tc>
          <w:tcPr>
            <w:tcW w:type="dxa" w:w="3300"/>
            <w:shd w:fill="FDF1E7" w:color="auto" w:val="clear"/>
            <w:tcMar>
              <w:top w:type="dxa" w:w="70"/>
              <w:left w:type="dxa" w:w="110"/>
              <w:bottom w:type="dxa" w:w="70"/>
              <w:right w:type="dxa" w:w="110"/>
            </w:tcMar>
            <w:vAlign w:val="center"/>
          </w:tcPr>
          <w:p>
            <w:pPr>
              <w:spacing w:after="0" w:line="240"/>
            </w:pPr>
            <w:r>
              <w:rPr>
                <w:sz w:val="19"/>
                <w:szCs w:val="19"/>
              </w:rPr>
              <w:t xml:space="preserve">Niedostępność PRG powyżej 7 dni lub brak zmian powyżej 30 dni</w:t>
            </w:r>
          </w:p>
        </w:tc>
        <w:tc>
          <w:tcPr>
            <w:tcW w:type="dxa" w:w="2226"/>
            <w:shd w:fill="FDF1E7" w:color="auto" w:val="clear"/>
            <w:tcMar>
              <w:top w:type="dxa" w:w="70"/>
              <w:left w:type="dxa" w:w="110"/>
              <w:bottom w:type="dxa" w:w="70"/>
              <w:right w:type="dxa" w:w="110"/>
            </w:tcMar>
            <w:vAlign w:val="center"/>
          </w:tcPr>
          <w:p>
            <w:pPr>
              <w:spacing w:after="0" w:line="240"/>
            </w:pPr>
            <w:r>
              <w:rPr>
                <w:sz w:val="19"/>
                <w:szCs w:val="19"/>
              </w:rPr>
              <w:t xml:space="preserve">Zaplanowany — wymaga wyjaśnienia licencji</w:t>
            </w:r>
          </w:p>
        </w:tc>
      </w:tr>
      <w:tr>
        <w:tc>
          <w:tcPr>
            <w:tcW w:type="dxa" w:w="900"/>
            <w:shd w:fill="FDF1E7" w:color="auto" w:val="clear"/>
            <w:tcMar>
              <w:top w:type="dxa" w:w="70"/>
              <w:left w:type="dxa" w:w="110"/>
              <w:bottom w:type="dxa" w:w="70"/>
              <w:right w:type="dxa" w:w="110"/>
            </w:tcMar>
            <w:vAlign w:val="center"/>
          </w:tcPr>
          <w:p>
            <w:pPr>
              <w:spacing w:after="0" w:line="240"/>
            </w:pPr>
            <w:r>
              <w:rPr>
                <w:sz w:val="19"/>
                <w:szCs w:val="19"/>
              </w:rPr>
              <w:t xml:space="preserve">3</w:t>
            </w:r>
          </w:p>
        </w:tc>
        <w:tc>
          <w:tcPr>
            <w:tcW w:type="dxa" w:w="2600"/>
            <w:shd w:fill="FDF1E7" w:color="auto" w:val="clear"/>
            <w:tcMar>
              <w:top w:type="dxa" w:w="70"/>
              <w:left w:type="dxa" w:w="110"/>
              <w:bottom w:type="dxa" w:w="70"/>
              <w:right w:type="dxa" w:w="110"/>
            </w:tcMar>
            <w:vAlign w:val="center"/>
          </w:tcPr>
          <w:p>
            <w:pPr>
              <w:spacing w:after="0" w:line="240"/>
            </w:pPr>
            <w:r>
              <w:rPr>
                <w:sz w:val="19"/>
                <w:szCs w:val="19"/>
              </w:rPr>
              <w:t xml:space="preserve">Otwarte dane miast</w:t>
            </w:r>
          </w:p>
        </w:tc>
        <w:tc>
          <w:tcPr>
            <w:tcW w:type="dxa" w:w="3300"/>
            <w:shd w:fill="FDF1E7" w:color="auto" w:val="clear"/>
            <w:tcMar>
              <w:top w:type="dxa" w:w="70"/>
              <w:left w:type="dxa" w:w="110"/>
              <w:bottom w:type="dxa" w:w="70"/>
              <w:right w:type="dxa" w:w="110"/>
            </w:tcMar>
            <w:vAlign w:val="center"/>
          </w:tcPr>
          <w:p>
            <w:pPr>
              <w:spacing w:after="0" w:line="240"/>
            </w:pPr>
            <w:r>
              <w:rPr>
                <w:sz w:val="19"/>
                <w:szCs w:val="19"/>
              </w:rPr>
              <w:t xml:space="preserve">Uzupełnienie luk w dużych ośrodkach</w:t>
            </w:r>
          </w:p>
        </w:tc>
        <w:tc>
          <w:tcPr>
            <w:tcW w:type="dxa" w:w="2226"/>
            <w:shd w:fill="FDF1E7" w:color="auto" w:val="clear"/>
            <w:tcMar>
              <w:top w:type="dxa" w:w="70"/>
              <w:left w:type="dxa" w:w="110"/>
              <w:bottom w:type="dxa" w:w="70"/>
              <w:right w:type="dxa" w:w="110"/>
            </w:tcMar>
            <w:vAlign w:val="center"/>
          </w:tcPr>
          <w:p>
            <w:pPr>
              <w:spacing w:after="0" w:line="240"/>
            </w:pPr>
            <w:r>
              <w:rPr>
                <w:sz w:val="19"/>
                <w:szCs w:val="19"/>
              </w:rPr>
              <w:t xml:space="preserve">Zaplanowany</w:t>
            </w:r>
          </w:p>
        </w:tc>
      </w:tr>
      <w:tr>
        <w:tc>
          <w:tcPr>
            <w:tcW w:type="dxa" w:w="900"/>
            <w:shd w:fill="FDF1E7" w:color="auto" w:val="clear"/>
            <w:tcMar>
              <w:top w:type="dxa" w:w="70"/>
              <w:left w:type="dxa" w:w="110"/>
              <w:bottom w:type="dxa" w:w="70"/>
              <w:right w:type="dxa" w:w="110"/>
            </w:tcMar>
            <w:vAlign w:val="center"/>
          </w:tcPr>
          <w:p>
            <w:pPr>
              <w:spacing w:after="0" w:line="240"/>
            </w:pPr>
            <w:r>
              <w:rPr>
                <w:sz w:val="19"/>
                <w:szCs w:val="19"/>
              </w:rPr>
              <w:t xml:space="preserve">4</w:t>
            </w:r>
          </w:p>
        </w:tc>
        <w:tc>
          <w:tcPr>
            <w:tcW w:type="dxa" w:w="2600"/>
            <w:shd w:fill="FDF1E7" w:color="auto" w:val="clear"/>
            <w:tcMar>
              <w:top w:type="dxa" w:w="70"/>
              <w:left w:type="dxa" w:w="110"/>
              <w:bottom w:type="dxa" w:w="70"/>
              <w:right w:type="dxa" w:w="110"/>
            </w:tcMar>
            <w:vAlign w:val="center"/>
          </w:tcPr>
          <w:p>
            <w:pPr>
              <w:spacing w:after="0" w:line="240"/>
            </w:pPr>
            <w:r>
              <w:rPr>
                <w:sz w:val="19"/>
                <w:szCs w:val="19"/>
              </w:rPr>
              <w:t xml:space="preserve">Własne archiwum plików źródłowych</w:t>
            </w:r>
          </w:p>
        </w:tc>
        <w:tc>
          <w:tcPr>
            <w:tcW w:type="dxa" w:w="3300"/>
            <w:shd w:fill="FDF1E7" w:color="auto" w:val="clear"/>
            <w:tcMar>
              <w:top w:type="dxa" w:w="70"/>
              <w:left w:type="dxa" w:w="110"/>
              <w:bottom w:type="dxa" w:w="70"/>
              <w:right w:type="dxa" w:w="110"/>
            </w:tcMar>
            <w:vAlign w:val="center"/>
          </w:tcPr>
          <w:p>
            <w:pPr>
              <w:spacing w:after="0" w:line="240"/>
            </w:pPr>
            <w:r>
              <w:rPr>
                <w:sz w:val="19"/>
                <w:szCs w:val="19"/>
              </w:rPr>
              <w:t xml:space="preserve">Awaria wszystkich źródeł zewnętrznych</w:t>
            </w:r>
          </w:p>
        </w:tc>
        <w:tc>
          <w:tcPr>
            <w:tcW w:type="dxa" w:w="2226"/>
            <w:shd w:fill="FDF1E7" w:color="auto" w:val="clear"/>
            <w:tcMar>
              <w:top w:type="dxa" w:w="70"/>
              <w:left w:type="dxa" w:w="110"/>
              <w:bottom w:type="dxa" w:w="70"/>
              <w:right w:type="dxa" w:w="110"/>
            </w:tcMar>
            <w:vAlign w:val="center"/>
          </w:tcPr>
          <w:p>
            <w:pPr>
              <w:spacing w:after="0" w:line="240"/>
            </w:pPr>
            <w:r>
              <w:rPr>
                <w:sz w:val="19"/>
                <w:szCs w:val="19"/>
              </w:rPr>
              <w:t xml:space="preserve">Częściowo — archiwum istnieje, ale nie opuszcza maszyny roboczej</w:t>
            </w:r>
          </w:p>
        </w:tc>
      </w:tr>
    </w:tbl>
    <w:p>
      <w:pPr>
        <w:spacing w:after="160"/>
      </w:pPr>
    </w:p>
    <w:p>
      <w:pPr>
        <w:spacing w:after="120" w:line="276"/>
      </w:pPr>
      <w:r>
        <w:rPr>
          <w:sz w:val="21"/>
          <w:szCs w:val="21"/>
        </w:rPr>
        <w:t xml:space="preserve">Poziom czwarty ma istotne znaczenie dla ciągłości działania. Własne wersjonowane archiwum — około 1,8 GB na zrzut, wielkość zmierzona dla kompletu 16 województw, przy zrzutach miesięcznych ok. 22 GB rocznie — oznacza, że trwała niedostępność rejestru PRG powoduje degradację usługi do stanu „dane nie starsze niż ostatni zrzut”, a nie jej wyłączenie.</w:t>
      </w:r>
    </w:p>
    <w:p>
      <w:pPr>
        <w:pBdr>
          <w:top w:val="single" w:color="D5DBE0" w:sz="4"/>
          <w:bottom w:val="single" w:color="D5DBE0" w:sz="0"/>
          <w:left w:val="single" w:color="D5DBE0" w:sz="4"/>
          <w:right w:val="single" w:color="D5DBE0" w:sz="4"/>
        </w:pBdr>
        <w:shd w:fill="FBEAEA" w:color="auto" w:val="clear"/>
        <w:spacing w:after="0" w:before="160" w:line="276"/>
        <w:ind w:left="120" w:right="120"/>
      </w:pPr>
      <w:r>
        <w:rPr>
          <w:b/>
          <w:bCs/>
          <w:sz w:val="21"/>
          <w:szCs w:val="21"/>
        </w:rPr>
        <w:t xml:space="preserve">Zastrzeżenie: dziś działają dwa poziomy z czterech</w:t>
      </w:r>
    </w:p>
    <w:p>
      <w:pPr>
        <w:pBdr>
          <w:top w:val="single" w:color="D5DBE0" w:sz="0"/>
          <w:bottom w:val="single" w:color="D5DBE0" w:sz="0"/>
          <w:left w:val="single" w:color="D5DBE0" w:sz="4"/>
          <w:right w:val="single" w:color="D5DBE0" w:sz="4"/>
        </w:pBdr>
        <w:shd w:fill="FBEAEA" w:color="auto" w:val="clear"/>
        <w:spacing w:after="60" w:line="276"/>
        <w:ind w:left="120" w:right="120"/>
      </w:pPr>
      <w:r>
        <w:rPr>
          <w:sz w:val="20"/>
          <w:szCs w:val="20"/>
        </w:rPr>
        <w:t xml:space="preserve">Poziomy 2 i 3 są zaprojektowane, ale nie zbudowane. Faktyczne zabezpieczenie stanowią dziś rejestr PRG i własne archiwum.</w:t>
      </w:r>
    </w:p>
    <w:p>
      <w:pPr>
        <w:pBdr>
          <w:top w:val="single" w:color="D5DBE0" w:sz="0"/>
          <w:bottom w:val="single" w:color="D5DBE0" w:sz="0"/>
          <w:left w:val="single" w:color="D5DBE0" w:sz="4"/>
          <w:right w:val="single" w:color="D5DBE0" w:sz="4"/>
        </w:pBdr>
        <w:shd w:fill="FBEAEA" w:color="auto" w:val="clear"/>
        <w:spacing w:after="60" w:line="276"/>
        <w:ind w:left="120" w:right="120"/>
      </w:pPr>
      <w:r>
        <w:rPr>
          <w:sz w:val="20"/>
          <w:szCs w:val="20"/>
        </w:rPr>
        <w:t xml:space="preserve">Archiwum jest przy tym pojedynczą kopią na dysku roboczym. Awaria tego dysku oznacza jednoczesną utratę poziomu 4 i — co ważniejsze — bezpowrotną utratę zrzutu w strukturze sprzed 1 września 2026, którego po tej dacie nie da się odtworzyć z żadnego źródła.</w:t>
      </w:r>
    </w:p>
    <w:p>
      <w:pPr>
        <w:pBdr>
          <w:top w:val="single" w:color="D5DBE0" w:sz="0"/>
          <w:bottom w:val="single" w:color="D5DBE0" w:sz="4"/>
          <w:left w:val="single" w:color="D5DBE0" w:sz="4"/>
          <w:right w:val="single" w:color="D5DBE0" w:sz="4"/>
        </w:pBdr>
        <w:shd w:fill="FBEAEA" w:color="auto" w:val="clear"/>
        <w:spacing w:after="0" w:line="276"/>
        <w:ind w:left="120" w:right="120"/>
      </w:pPr>
      <w:r>
        <w:rPr>
          <w:sz w:val="20"/>
          <w:szCs w:val="20"/>
        </w:rPr>
        <w:t xml:space="preserve">Wyniesienie archiwum do magazynu poza maszyną jest z tego powodu pozycją o wyższym priorytecie niż wynikałoby to z jej nakładu.</w:t>
      </w:r>
    </w:p>
    <w:p>
      <w:pPr>
        <w:spacing w:after="180"/>
      </w:pPr>
    </w:p>
    <w:p>
      <w:r>
        <w:br w:type="page"/>
      </w:r>
    </w:p>
    <w:p>
      <w:pPr>
        <w:pStyle w:val="Heading1"/>
        <w:spacing w:after="180" w:before="360"/>
      </w:pPr>
      <w:r>
        <w:t xml:space="preserve">8. Wyniki weryfikacji</w:t>
      </w:r>
    </w:p>
    <w:p>
      <w:pPr>
        <w:pStyle w:val="Heading2"/>
        <w:spacing w:after="140" w:before="280"/>
      </w:pPr>
      <w:r>
        <w:t xml:space="preserve">8.1. Test integracyjny</w:t>
      </w:r>
    </w:p>
    <w:p>
      <w:pPr>
        <w:spacing w:after="120" w:line="276"/>
      </w:pPr>
      <w:r>
        <w:rPr>
          <w:sz w:val="21"/>
          <w:szCs w:val="21"/>
        </w:rPr>
        <w:t xml:space="preserve">Całą ścieżkę przetestowano na działającej instancji PostgreSQL 17.5 z PostGIS 3.5, dla obu struktur danych źródłowych — dotychczasowej i obowiązującej od września.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shd w:fill="E8EDF2" w:color="auto" w:val="clear"/>
            <w:tcMar>
              <w:top w:type="dxa" w:w="70"/>
              <w:left w:type="dxa" w:w="110"/>
              <w:bottom w:type="dxa" w:w="70"/>
              <w:right w:type="dxa" w:w="110"/>
            </w:tcMar>
            <w:vAlign w:val="center"/>
          </w:tcPr>
          <w:p>
            <w:pPr>
              <w:spacing w:after="0" w:line="240"/>
            </w:pPr>
            <w:r>
              <w:rPr>
                <w:b/>
                <w:bCs/>
                <w:sz w:val="19"/>
                <w:szCs w:val="19"/>
              </w:rPr>
              <w:t xml:space="preserve">Etap</w:t>
            </w:r>
          </w:p>
        </w:tc>
        <w:tc>
          <w:tcPr>
            <w:tcW w:type="dxa" w:w="6226"/>
            <w:shd w:fill="E8EDF2" w:color="auto" w:val="clear"/>
            <w:tcMar>
              <w:top w:type="dxa" w:w="70"/>
              <w:left w:type="dxa" w:w="110"/>
              <w:bottom w:type="dxa" w:w="70"/>
              <w:right w:type="dxa" w:w="110"/>
            </w:tcMar>
            <w:vAlign w:val="center"/>
          </w:tcPr>
          <w:p>
            <w:pPr>
              <w:spacing w:after="0" w:line="240"/>
            </w:pPr>
            <w:r>
              <w:rPr>
                <w:b/>
                <w:bCs/>
                <w:sz w:val="19"/>
                <w:szCs w:val="19"/>
              </w:rPr>
              <w:t xml:space="preserve">Wynik</w:t>
            </w:r>
          </w:p>
        </w:tc>
      </w:tr>
      <w:tr>
        <w:tc>
          <w:tcPr>
            <w:tcW w:type="dxa" w:w="2800"/>
            <w:tcMar>
              <w:top w:type="dxa" w:w="70"/>
              <w:left w:type="dxa" w:w="110"/>
              <w:bottom w:type="dxa" w:w="70"/>
              <w:right w:type="dxa" w:w="110"/>
            </w:tcMar>
            <w:vAlign w:val="center"/>
          </w:tcPr>
          <w:p>
            <w:pPr>
              <w:spacing w:after="0" w:line="240"/>
            </w:pPr>
            <w:r>
              <w:rPr>
                <w:sz w:val="19"/>
                <w:szCs w:val="19"/>
              </w:rPr>
              <w:t xml:space="preserve">Rozpoznanie struktury pliku</w:t>
            </w:r>
          </w:p>
        </w:tc>
        <w:tc>
          <w:tcPr>
            <w:tcW w:type="dxa" w:w="6226"/>
            <w:tcMar>
              <w:top w:type="dxa" w:w="70"/>
              <w:left w:type="dxa" w:w="110"/>
              <w:bottom w:type="dxa" w:w="70"/>
              <w:right w:type="dxa" w:w="110"/>
            </w:tcMar>
            <w:vAlign w:val="center"/>
          </w:tcPr>
          <w:p>
            <w:pPr>
              <w:spacing w:after="0" w:line="240"/>
            </w:pPr>
            <w:r>
              <w:rPr>
                <w:sz w:val="19"/>
                <w:szCs w:val="19"/>
              </w:rPr>
              <w:t xml:space="preserve">Struktura i przestrzeń nazw wykryte automatycznie</w:t>
            </w:r>
          </w:p>
        </w:tc>
      </w:tr>
      <w:tr>
        <w:tc>
          <w:tcPr>
            <w:tcW w:type="dxa" w:w="2800"/>
            <w:shd w:fill="F5F7F9" w:color="auto" w:val="clear"/>
            <w:tcMar>
              <w:top w:type="dxa" w:w="70"/>
              <w:left w:type="dxa" w:w="110"/>
              <w:bottom w:type="dxa" w:w="70"/>
              <w:right w:type="dxa" w:w="110"/>
            </w:tcMar>
            <w:vAlign w:val="center"/>
          </w:tcPr>
          <w:p>
            <w:pPr>
              <w:spacing w:after="0" w:line="240"/>
            </w:pPr>
            <w:r>
              <w:rPr>
                <w:sz w:val="19"/>
                <w:szCs w:val="19"/>
              </w:rPr>
              <w:t xml:space="preserve">Przetworzenie, struktura nowa</w:t>
            </w:r>
          </w:p>
        </w:tc>
        <w:tc>
          <w:tcPr>
            <w:tcW w:type="dxa" w:w="6226"/>
            <w:shd w:fill="F5F7F9" w:color="auto" w:val="clear"/>
            <w:tcMar>
              <w:top w:type="dxa" w:w="70"/>
              <w:left w:type="dxa" w:w="110"/>
              <w:bottom w:type="dxa" w:w="70"/>
              <w:right w:type="dxa" w:w="110"/>
            </w:tcMar>
            <w:vAlign w:val="center"/>
          </w:tcPr>
          <w:p>
            <w:pPr>
              <w:spacing w:after="0" w:line="240"/>
            </w:pPr>
            <w:r>
              <w:rPr>
                <w:sz w:val="19"/>
                <w:szCs w:val="19"/>
              </w:rPr>
              <w:t xml:space="preserve">Współrzędne przeliczone poprawnie z układu PL-1992 na WGS84</w:t>
            </w:r>
          </w:p>
        </w:tc>
      </w:tr>
      <w:tr>
        <w:tc>
          <w:tcPr>
            <w:tcW w:type="dxa" w:w="2800"/>
            <w:tcMar>
              <w:top w:type="dxa" w:w="70"/>
              <w:left w:type="dxa" w:w="110"/>
              <w:bottom w:type="dxa" w:w="70"/>
              <w:right w:type="dxa" w:w="110"/>
            </w:tcMar>
            <w:vAlign w:val="center"/>
          </w:tcPr>
          <w:p>
            <w:pPr>
              <w:spacing w:after="0" w:line="240"/>
            </w:pPr>
            <w:r>
              <w:rPr>
                <w:sz w:val="19"/>
                <w:szCs w:val="19"/>
              </w:rPr>
              <w:t xml:space="preserve">Przetworzenie, struktura dotychczasowa</w:t>
            </w:r>
          </w:p>
        </w:tc>
        <w:tc>
          <w:tcPr>
            <w:tcW w:type="dxa" w:w="6226"/>
            <w:tcMar>
              <w:top w:type="dxa" w:w="70"/>
              <w:left w:type="dxa" w:w="110"/>
              <w:bottom w:type="dxa" w:w="70"/>
              <w:right w:type="dxa" w:w="110"/>
            </w:tcMar>
            <w:vAlign w:val="center"/>
          </w:tcPr>
          <w:p>
            <w:pPr>
              <w:spacing w:after="0" w:line="240"/>
            </w:pPr>
            <w:r>
              <w:rPr>
                <w:sz w:val="19"/>
                <w:szCs w:val="19"/>
              </w:rPr>
              <w:t xml:space="preserve">Identyczne współrzędne; rekordy oznaczone jako brak numeru odrzucone</w:t>
            </w:r>
          </w:p>
        </w:tc>
      </w:tr>
      <w:tr>
        <w:tc>
          <w:tcPr>
            <w:tcW w:type="dxa" w:w="2800"/>
            <w:shd w:fill="F5F7F9" w:color="auto" w:val="clear"/>
            <w:tcMar>
              <w:top w:type="dxa" w:w="70"/>
              <w:left w:type="dxa" w:w="110"/>
              <w:bottom w:type="dxa" w:w="70"/>
              <w:right w:type="dxa" w:w="110"/>
            </w:tcMar>
            <w:vAlign w:val="center"/>
          </w:tcPr>
          <w:p>
            <w:pPr>
              <w:spacing w:after="0" w:line="240"/>
            </w:pPr>
            <w:r>
              <w:rPr>
                <w:sz w:val="19"/>
                <w:szCs w:val="19"/>
              </w:rPr>
              <w:t xml:space="preserve">Kontrole jakości</w:t>
            </w:r>
          </w:p>
        </w:tc>
        <w:tc>
          <w:tcPr>
            <w:tcW w:type="dxa" w:w="6226"/>
            <w:shd w:fill="F5F7F9" w:color="auto" w:val="clear"/>
            <w:tcMar>
              <w:top w:type="dxa" w:w="70"/>
              <w:left w:type="dxa" w:w="110"/>
              <w:bottom w:type="dxa" w:w="70"/>
              <w:right w:type="dxa" w:w="110"/>
            </w:tcMar>
            <w:vAlign w:val="center"/>
          </w:tcPr>
          <w:p>
            <w:pPr>
              <w:spacing w:after="0" w:line="240"/>
            </w:pPr>
            <w:r>
              <w:rPr>
                <w:sz w:val="19"/>
                <w:szCs w:val="19"/>
              </w:rPr>
              <w:t xml:space="preserve">Poprawnie wstrzymały publikację przy liczbie rekordów poniżej progu</w:t>
            </w:r>
          </w:p>
        </w:tc>
      </w:tr>
      <w:tr>
        <w:tc>
          <w:tcPr>
            <w:tcW w:type="dxa" w:w="2800"/>
            <w:tcMar>
              <w:top w:type="dxa" w:w="70"/>
              <w:left w:type="dxa" w:w="110"/>
              <w:bottom w:type="dxa" w:w="70"/>
              <w:right w:type="dxa" w:w="110"/>
            </w:tcMar>
            <w:vAlign w:val="center"/>
          </w:tcPr>
          <w:p>
            <w:pPr>
              <w:spacing w:after="0" w:line="240"/>
            </w:pPr>
            <w:r>
              <w:rPr>
                <w:sz w:val="19"/>
                <w:szCs w:val="19"/>
              </w:rPr>
              <w:t xml:space="preserve">Publikacja</w:t>
            </w:r>
          </w:p>
        </w:tc>
        <w:tc>
          <w:tcPr>
            <w:tcW w:type="dxa" w:w="6226"/>
            <w:tcMar>
              <w:top w:type="dxa" w:w="70"/>
              <w:left w:type="dxa" w:w="110"/>
              <w:bottom w:type="dxa" w:w="70"/>
              <w:right w:type="dxa" w:w="110"/>
            </w:tcMar>
            <w:vAlign w:val="center"/>
          </w:tcPr>
          <w:p>
            <w:pPr>
              <w:spacing w:after="0" w:line="240"/>
            </w:pPr>
            <w:r>
              <w:rPr>
                <w:sz w:val="19"/>
                <w:szCs w:val="19"/>
              </w:rPr>
              <w:t xml:space="preserve">Wykonana transakcyjnie, z raportem zmian</w:t>
            </w:r>
          </w:p>
        </w:tc>
      </w:tr>
      <w:tr>
        <w:tc>
          <w:tcPr>
            <w:tcW w:type="dxa" w:w="2800"/>
            <w:shd w:fill="F5F7F9" w:color="auto" w:val="clear"/>
            <w:tcMar>
              <w:top w:type="dxa" w:w="70"/>
              <w:left w:type="dxa" w:w="110"/>
              <w:bottom w:type="dxa" w:w="70"/>
              <w:right w:type="dxa" w:w="110"/>
            </w:tcMar>
            <w:vAlign w:val="center"/>
          </w:tcPr>
          <w:p>
            <w:pPr>
              <w:spacing w:after="0" w:line="240"/>
            </w:pPr>
            <w:r>
              <w:rPr>
                <w:sz w:val="19"/>
                <w:szCs w:val="19"/>
              </w:rPr>
              <w:t xml:space="preserve">Pola pochodne</w:t>
            </w:r>
          </w:p>
        </w:tc>
        <w:tc>
          <w:tcPr>
            <w:tcW w:type="dxa" w:w="6226"/>
            <w:shd w:fill="F5F7F9" w:color="auto" w:val="clear"/>
            <w:tcMar>
              <w:top w:type="dxa" w:w="70"/>
              <w:left w:type="dxa" w:w="110"/>
              <w:bottom w:type="dxa" w:w="70"/>
              <w:right w:type="dxa" w:w="110"/>
            </w:tcMar>
            <w:vAlign w:val="center"/>
          </w:tcPr>
          <w:p>
            <w:pPr>
              <w:spacing w:after="0" w:line="240"/>
            </w:pPr>
            <w:r>
              <w:rPr>
                <w:sz w:val="19"/>
                <w:szCs w:val="19"/>
              </w:rPr>
              <w:t xml:space="preserve">Znacznik występowania ulic, liczba punktów i nazwa potoczna wyliczone poprawnie</w:t>
            </w:r>
          </w:p>
        </w:tc>
      </w:tr>
      <w:tr>
        <w:tc>
          <w:tcPr>
            <w:tcW w:type="dxa" w:w="2800"/>
            <w:tcMar>
              <w:top w:type="dxa" w:w="70"/>
              <w:left w:type="dxa" w:w="110"/>
              <w:bottom w:type="dxa" w:w="70"/>
              <w:right w:type="dxa" w:w="110"/>
            </w:tcMar>
            <w:vAlign w:val="center"/>
          </w:tcPr>
          <w:p>
            <w:pPr>
              <w:spacing w:after="0" w:line="240"/>
            </w:pPr>
            <w:r>
              <w:rPr>
                <w:sz w:val="19"/>
                <w:szCs w:val="19"/>
              </w:rPr>
              <w:t xml:space="preserve">Walidacja adresu</w:t>
            </w:r>
          </w:p>
        </w:tc>
        <w:tc>
          <w:tcPr>
            <w:tcW w:type="dxa" w:w="6226"/>
            <w:tcMar>
              <w:top w:type="dxa" w:w="70"/>
              <w:left w:type="dxa" w:w="110"/>
              <w:bottom w:type="dxa" w:w="70"/>
              <w:right w:type="dxa" w:w="110"/>
            </w:tcMar>
            <w:vAlign w:val="center"/>
          </w:tcPr>
          <w:p>
            <w:pPr>
              <w:spacing w:after="0" w:line="240"/>
            </w:pPr>
            <w:r>
              <w:rPr>
                <w:sz w:val="19"/>
                <w:szCs w:val="19"/>
              </w:rPr>
              <w:t xml:space="preserve">Zapis „ul. Kościuszki 12A, 00-950 Warszawa” rozpoznany jako „Tadeusza Kościuszki” wraz z identyfikatorami rejestrowymi, kodem gminy i współrzędnymi</w:t>
            </w:r>
          </w:p>
        </w:tc>
      </w:tr>
      <w:tr>
        <w:tc>
          <w:tcPr>
            <w:tcW w:type="dxa" w:w="2800"/>
            <w:shd w:fill="F5F7F9" w:color="auto" w:val="clear"/>
            <w:tcMar>
              <w:top w:type="dxa" w:w="70"/>
              <w:left w:type="dxa" w:w="110"/>
              <w:bottom w:type="dxa" w:w="70"/>
              <w:right w:type="dxa" w:w="110"/>
            </w:tcMar>
            <w:vAlign w:val="center"/>
          </w:tcPr>
          <w:p>
            <w:pPr>
              <w:spacing w:after="0" w:line="240"/>
            </w:pPr>
            <w:r>
              <w:rPr>
                <w:sz w:val="19"/>
                <w:szCs w:val="19"/>
              </w:rPr>
              <w:t xml:space="preserve">Numer spoza rejestru</w:t>
            </w:r>
          </w:p>
        </w:tc>
        <w:tc>
          <w:tcPr>
            <w:tcW w:type="dxa" w:w="6226"/>
            <w:shd w:fill="F5F7F9" w:color="auto" w:val="clear"/>
            <w:tcMar>
              <w:top w:type="dxa" w:w="70"/>
              <w:left w:type="dxa" w:w="110"/>
              <w:bottom w:type="dxa" w:w="70"/>
              <w:right w:type="dxa" w:w="110"/>
            </w:tcMar>
            <w:vAlign w:val="center"/>
          </w:tcPr>
          <w:p>
            <w:pPr>
              <w:spacing w:after="0" w:line="240"/>
            </w:pPr>
            <w:r>
              <w:rPr>
                <w:sz w:val="19"/>
                <w:szCs w:val="19"/>
              </w:rPr>
              <w:t xml:space="preserve">Poziom pewności obniżony, zwrócone ostrzeżenie zamiast błędu</w:t>
            </w:r>
          </w:p>
        </w:tc>
      </w:tr>
    </w:tbl>
    <w:p>
      <w:pPr>
        <w:spacing w:after="160"/>
      </w:pPr>
    </w:p>
    <w:p>
      <w:pPr>
        <w:pStyle w:val="Heading2"/>
        <w:spacing w:after="140" w:before="280"/>
      </w:pPr>
      <w:r>
        <w:t xml:space="preserve">8.2. Wydajność wyszukiwania — pomiar wstępny na zbiorze syntetycznym</w:t>
      </w:r>
    </w:p>
    <w:p>
      <w:pPr>
        <w:spacing w:after="120" w:line="276"/>
      </w:pPr>
      <w:r>
        <w:rPr>
          <w:sz w:val="21"/>
          <w:szCs w:val="21"/>
        </w:rPr>
        <w:t xml:space="preserve">Pomiary z tego podrozdziału wykonano przed uruchomieniem na danych rzeczywistych, na zbiorze syntetycznym o zbliżonej liczebności: 103 tys. miejscowości i 270 tys. ulic, łącznie 373 tys. pozycji. Jak się później okazało, rozkład powtarzalności nazw w tym zbiorze odbiegał od rzeczywistego — dlatego wyniki bezwzględne zostały zastąpione pomiarami z podrozdziału 8.6. Zachowujemy je, ponieważ porównanie podejść pozostaje ważne.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526"/>
      </w:tblGrid>
      <w:tr>
        <w:trPr>
          <w:tblHeader/>
        </w:trPr>
        <w:tc>
          <w:tcPr>
            <w:tcW w:type="dxa" w:w="4000"/>
            <w:shd w:fill="E8EDF2" w:color="auto" w:val="clear"/>
            <w:tcMar>
              <w:top w:type="dxa" w:w="70"/>
              <w:left w:type="dxa" w:w="110"/>
              <w:bottom w:type="dxa" w:w="70"/>
              <w:right w:type="dxa" w:w="110"/>
            </w:tcMar>
            <w:vAlign w:val="center"/>
          </w:tcPr>
          <w:p>
            <w:pPr>
              <w:spacing w:after="0" w:line="240"/>
            </w:pPr>
            <w:r>
              <w:rPr>
                <w:b/>
                <w:bCs/>
                <w:sz w:val="19"/>
                <w:szCs w:val="19"/>
              </w:rPr>
              <w:t xml:space="preserve">Podejście</w:t>
            </w:r>
          </w:p>
        </w:tc>
        <w:tc>
          <w:tcPr>
            <w:tcW w:type="dxa" w:w="2500"/>
            <w:shd w:fill="E8EDF2" w:color="auto" w:val="clear"/>
            <w:tcMar>
              <w:top w:type="dxa" w:w="70"/>
              <w:left w:type="dxa" w:w="110"/>
              <w:bottom w:type="dxa" w:w="70"/>
              <w:right w:type="dxa" w:w="110"/>
            </w:tcMar>
            <w:vAlign w:val="center"/>
          </w:tcPr>
          <w:p>
            <w:pPr>
              <w:spacing w:after="0" w:line="240"/>
            </w:pPr>
            <w:r>
              <w:rPr>
                <w:b/>
                <w:bCs/>
                <w:sz w:val="19"/>
                <w:szCs w:val="19"/>
              </w:rPr>
              <w:t xml:space="preserve">Mediana czasu odpowiedzi</w:t>
            </w:r>
          </w:p>
        </w:tc>
        <w:tc>
          <w:tcPr>
            <w:tcW w:type="dxa" w:w="2526"/>
            <w:shd w:fill="E8EDF2" w:color="auto" w:val="clear"/>
            <w:tcMar>
              <w:top w:type="dxa" w:w="70"/>
              <w:left w:type="dxa" w:w="110"/>
              <w:bottom w:type="dxa" w:w="70"/>
              <w:right w:type="dxa" w:w="110"/>
            </w:tcMar>
            <w:vAlign w:val="center"/>
          </w:tcPr>
          <w:p>
            <w:pPr>
              <w:spacing w:after="0" w:line="240"/>
            </w:pPr>
            <w:r>
              <w:rPr>
                <w:b/>
                <w:bCs/>
                <w:sz w:val="19"/>
                <w:szCs w:val="19"/>
              </w:rPr>
              <w:t xml:space="preserve">Ocena przydatności</w:t>
            </w:r>
          </w:p>
        </w:tc>
      </w:tr>
      <w:tr>
        <w:tc>
          <w:tcPr>
            <w:tcW w:type="dxa" w:w="4000"/>
            <w:tcMar>
              <w:top w:type="dxa" w:w="70"/>
              <w:left w:type="dxa" w:w="110"/>
              <w:bottom w:type="dxa" w:w="70"/>
              <w:right w:type="dxa" w:w="110"/>
            </w:tcMar>
            <w:vAlign w:val="center"/>
          </w:tcPr>
          <w:p>
            <w:pPr>
              <w:spacing w:after="0" w:line="240"/>
            </w:pPr>
            <w:r>
              <w:rPr>
                <w:sz w:val="19"/>
                <w:szCs w:val="19"/>
              </w:rPr>
              <w:t xml:space="preserve">Zapytanie do bazy z sortowaniem po podobieństwie tekstowym</w:t>
            </w:r>
          </w:p>
        </w:tc>
        <w:tc>
          <w:tcPr>
            <w:tcW w:type="dxa" w:w="2500"/>
            <w:tcMar>
              <w:top w:type="dxa" w:w="70"/>
              <w:left w:type="dxa" w:w="110"/>
              <w:bottom w:type="dxa" w:w="70"/>
              <w:right w:type="dxa" w:w="110"/>
            </w:tcMar>
            <w:vAlign w:val="center"/>
          </w:tcPr>
          <w:p>
            <w:pPr>
              <w:spacing w:after="0" w:line="240"/>
            </w:pPr>
            <w:r>
              <w:rPr>
                <w:sz w:val="19"/>
                <w:szCs w:val="19"/>
              </w:rPr>
              <w:t xml:space="preserve">4 922 ms</w:t>
            </w:r>
          </w:p>
        </w:tc>
        <w:tc>
          <w:tcPr>
            <w:tcW w:type="dxa" w:w="2526"/>
            <w:tcMar>
              <w:top w:type="dxa" w:w="70"/>
              <w:left w:type="dxa" w:w="110"/>
              <w:bottom w:type="dxa" w:w="70"/>
              <w:right w:type="dxa" w:w="110"/>
            </w:tcMar>
            <w:vAlign w:val="center"/>
          </w:tcPr>
          <w:p>
            <w:pPr>
              <w:spacing w:after="0" w:line="240"/>
            </w:pPr>
            <w:r>
              <w:rPr>
                <w:sz w:val="19"/>
                <w:szCs w:val="19"/>
              </w:rPr>
              <w:t xml:space="preserve">Nie nadaje się</w:t>
            </w:r>
          </w:p>
        </w:tc>
      </w:tr>
      <w:tr>
        <w:tc>
          <w:tcPr>
            <w:tcW w:type="dxa" w:w="4000"/>
            <w:shd w:fill="F5F7F9" w:color="auto" w:val="clear"/>
            <w:tcMar>
              <w:top w:type="dxa" w:w="70"/>
              <w:left w:type="dxa" w:w="110"/>
              <w:bottom w:type="dxa" w:w="70"/>
              <w:right w:type="dxa" w:w="110"/>
            </w:tcMar>
            <w:vAlign w:val="center"/>
          </w:tcPr>
          <w:p>
            <w:pPr>
              <w:spacing w:after="0" w:line="240"/>
            </w:pPr>
            <w:r>
              <w:rPr>
                <w:sz w:val="19"/>
                <w:szCs w:val="19"/>
              </w:rPr>
              <w:t xml:space="preserve">Zapytanie do bazy z indeksem tekstowym, fraza 14 znaków</w:t>
            </w:r>
          </w:p>
        </w:tc>
        <w:tc>
          <w:tcPr>
            <w:tcW w:type="dxa" w:w="2500"/>
            <w:shd w:fill="F5F7F9" w:color="auto" w:val="clear"/>
            <w:tcMar>
              <w:top w:type="dxa" w:w="70"/>
              <w:left w:type="dxa" w:w="110"/>
              <w:bottom w:type="dxa" w:w="70"/>
              <w:right w:type="dxa" w:w="110"/>
            </w:tcMar>
            <w:vAlign w:val="center"/>
          </w:tcPr>
          <w:p>
            <w:pPr>
              <w:spacing w:after="0" w:line="240"/>
            </w:pPr>
            <w:r>
              <w:rPr>
                <w:sz w:val="19"/>
                <w:szCs w:val="19"/>
              </w:rPr>
              <w:t xml:space="preserve">117 ms</w:t>
            </w:r>
          </w:p>
        </w:tc>
        <w:tc>
          <w:tcPr>
            <w:tcW w:type="dxa" w:w="2526"/>
            <w:shd w:fill="F5F7F9" w:color="auto" w:val="clear"/>
            <w:tcMar>
              <w:top w:type="dxa" w:w="70"/>
              <w:left w:type="dxa" w:w="110"/>
              <w:bottom w:type="dxa" w:w="70"/>
              <w:right w:type="dxa" w:w="110"/>
            </w:tcMar>
            <w:vAlign w:val="center"/>
          </w:tcPr>
          <w:p>
            <w:pPr>
              <w:spacing w:after="0" w:line="240"/>
            </w:pPr>
            <w:r>
              <w:rPr>
                <w:sz w:val="19"/>
                <w:szCs w:val="19"/>
              </w:rPr>
              <w:t xml:space="preserve">Koszt rośnie z długością zapytania</w:t>
            </w:r>
          </w:p>
        </w:tc>
      </w:tr>
      <w:tr>
        <w:tc>
          <w:tcPr>
            <w:tcW w:type="dxa" w:w="4000"/>
            <w:tcMar>
              <w:top w:type="dxa" w:w="70"/>
              <w:left w:type="dxa" w:w="110"/>
              <w:bottom w:type="dxa" w:w="70"/>
              <w:right w:type="dxa" w:w="110"/>
            </w:tcMar>
            <w:vAlign w:val="center"/>
          </w:tcPr>
          <w:p>
            <w:pPr>
              <w:spacing w:after="0" w:line="240"/>
            </w:pPr>
            <w:r>
              <w:rPr>
                <w:sz w:val="19"/>
                <w:szCs w:val="19"/>
              </w:rPr>
              <w:t xml:space="preserve">Indeks w pamięci procesu (rozwiązanie przyjęte)</w:t>
            </w:r>
          </w:p>
        </w:tc>
        <w:tc>
          <w:tcPr>
            <w:tcW w:type="dxa" w:w="2500"/>
            <w:tcMar>
              <w:top w:type="dxa" w:w="70"/>
              <w:left w:type="dxa" w:w="110"/>
              <w:bottom w:type="dxa" w:w="70"/>
              <w:right w:type="dxa" w:w="110"/>
            </w:tcMar>
            <w:vAlign w:val="center"/>
          </w:tcPr>
          <w:p>
            <w:pPr>
              <w:spacing w:after="0" w:line="240"/>
            </w:pPr>
            <w:r>
              <w:rPr>
                <w:sz w:val="19"/>
                <w:szCs w:val="19"/>
              </w:rPr>
              <w:t xml:space="preserve">0,49 ms</w:t>
            </w:r>
          </w:p>
        </w:tc>
        <w:tc>
          <w:tcPr>
            <w:tcW w:type="dxa" w:w="2526"/>
            <w:tcMar>
              <w:top w:type="dxa" w:w="70"/>
              <w:left w:type="dxa" w:w="110"/>
              <w:bottom w:type="dxa" w:w="70"/>
              <w:right w:type="dxa" w:w="110"/>
            </w:tcMar>
            <w:vAlign w:val="center"/>
          </w:tcPr>
          <w:p>
            <w:pPr>
              <w:spacing w:after="0" w:line="240"/>
            </w:pPr>
            <w:r>
              <w:rPr>
                <w:sz w:val="19"/>
                <w:szCs w:val="19"/>
              </w:rPr>
              <w:t xml:space="preserve">Przyjęte</w:t>
            </w:r>
          </w:p>
        </w:tc>
      </w:tr>
      <w:tr>
        <w:tc>
          <w:tcPr>
            <w:tcW w:type="dxa" w:w="4000"/>
            <w:shd w:fill="F5F7F9" w:color="auto" w:val="clear"/>
            <w:tcMar>
              <w:top w:type="dxa" w:w="70"/>
              <w:left w:type="dxa" w:w="110"/>
              <w:bottom w:type="dxa" w:w="70"/>
              <w:right w:type="dxa" w:w="110"/>
            </w:tcMar>
            <w:vAlign w:val="center"/>
          </w:tcPr>
          <w:p>
            <w:pPr>
              <w:spacing w:after="0" w:line="240"/>
            </w:pPr>
            <w:r>
              <w:rPr>
                <w:sz w:val="19"/>
                <w:szCs w:val="19"/>
              </w:rPr>
              <w:t xml:space="preserve">Pobranie numerów budynków z bazy po wyborze ulicy</w:t>
            </w:r>
          </w:p>
        </w:tc>
        <w:tc>
          <w:tcPr>
            <w:tcW w:type="dxa" w:w="2500"/>
            <w:shd w:fill="F5F7F9" w:color="auto" w:val="clear"/>
            <w:tcMar>
              <w:top w:type="dxa" w:w="70"/>
              <w:left w:type="dxa" w:w="110"/>
              <w:bottom w:type="dxa" w:w="70"/>
              <w:right w:type="dxa" w:w="110"/>
            </w:tcMar>
            <w:vAlign w:val="center"/>
          </w:tcPr>
          <w:p>
            <w:pPr>
              <w:spacing w:after="0" w:line="240"/>
            </w:pPr>
            <w:r>
              <w:rPr>
                <w:sz w:val="19"/>
                <w:szCs w:val="19"/>
              </w:rPr>
              <w:t xml:space="preserve">0,22 ms</w:t>
            </w:r>
          </w:p>
        </w:tc>
        <w:tc>
          <w:tcPr>
            <w:tcW w:type="dxa" w:w="2526"/>
            <w:shd w:fill="F5F7F9" w:color="auto" w:val="clear"/>
            <w:tcMar>
              <w:top w:type="dxa" w:w="70"/>
              <w:left w:type="dxa" w:w="110"/>
              <w:bottom w:type="dxa" w:w="70"/>
              <w:right w:type="dxa" w:w="110"/>
            </w:tcMar>
            <w:vAlign w:val="center"/>
          </w:tcPr>
          <w:p>
            <w:pPr>
              <w:spacing w:after="0" w:line="240"/>
            </w:pPr>
            <w:r>
              <w:rPr>
                <w:sz w:val="19"/>
                <w:szCs w:val="19"/>
              </w:rPr>
              <w:t xml:space="preserve">Przyjęte</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900"/>
        <w:gridCol w:w="2926"/>
      </w:tblGrid>
      <w:tr>
        <w:trPr>
          <w:tblHeader/>
        </w:trPr>
        <w:tc>
          <w:tcPr>
            <w:tcW w:type="dxa" w:w="3200"/>
            <w:shd w:fill="E8EDF2" w:color="auto" w:val="clear"/>
            <w:tcMar>
              <w:top w:type="dxa" w:w="70"/>
              <w:left w:type="dxa" w:w="110"/>
              <w:bottom w:type="dxa" w:w="70"/>
              <w:right w:type="dxa" w:w="110"/>
            </w:tcMar>
            <w:vAlign w:val="center"/>
          </w:tcPr>
          <w:p>
            <w:pPr>
              <w:spacing w:after="0" w:line="240"/>
            </w:pPr>
            <w:r>
              <w:rPr>
                <w:b/>
                <w:bCs/>
                <w:sz w:val="19"/>
                <w:szCs w:val="19"/>
              </w:rPr>
              <w:t xml:space="preserve">Parametr</w:t>
            </w:r>
          </w:p>
        </w:tc>
        <w:tc>
          <w:tcPr>
            <w:tcW w:type="dxa" w:w="2900"/>
            <w:shd w:fill="E8EDF2" w:color="auto" w:val="clear"/>
            <w:tcMar>
              <w:top w:type="dxa" w:w="70"/>
              <w:left w:type="dxa" w:w="110"/>
              <w:bottom w:type="dxa" w:w="70"/>
              <w:right w:type="dxa" w:w="110"/>
            </w:tcMar>
            <w:vAlign w:val="center"/>
          </w:tcPr>
          <w:p>
            <w:pPr>
              <w:spacing w:after="0" w:line="240"/>
            </w:pPr>
            <w:r>
              <w:rPr>
                <w:b/>
                <w:bCs/>
                <w:sz w:val="19"/>
                <w:szCs w:val="19"/>
              </w:rPr>
              <w:t xml:space="preserve">Zbiór syntetyczny</w:t>
            </w:r>
          </w:p>
        </w:tc>
        <w:tc>
          <w:tcPr>
            <w:tcW w:type="dxa" w:w="2926"/>
            <w:shd w:fill="E8EDF2" w:color="auto" w:val="clear"/>
            <w:tcMar>
              <w:top w:type="dxa" w:w="70"/>
              <w:left w:type="dxa" w:w="110"/>
              <w:bottom w:type="dxa" w:w="70"/>
              <w:right w:type="dxa" w:w="110"/>
            </w:tcMar>
            <w:vAlign w:val="center"/>
          </w:tcPr>
          <w:p>
            <w:pPr>
              <w:spacing w:after="0" w:line="240"/>
            </w:pPr>
            <w:r>
              <w:rPr>
                <w:b/>
                <w:bCs/>
                <w:sz w:val="19"/>
                <w:szCs w:val="19"/>
              </w:rPr>
              <w:t xml:space="preserve">Dane rzeczywiste (8.3, 8.6)</w:t>
            </w:r>
          </w:p>
        </w:tc>
      </w:tr>
      <w:tr>
        <w:tc>
          <w:tcPr>
            <w:tcW w:type="dxa" w:w="3200"/>
            <w:tcMar>
              <w:top w:type="dxa" w:w="70"/>
              <w:left w:type="dxa" w:w="110"/>
              <w:bottom w:type="dxa" w:w="70"/>
              <w:right w:type="dxa" w:w="110"/>
            </w:tcMar>
            <w:vAlign w:val="center"/>
          </w:tcPr>
          <w:p>
            <w:pPr>
              <w:spacing w:after="0" w:line="240"/>
            </w:pPr>
            <w:r>
              <w:rPr>
                <w:sz w:val="19"/>
                <w:szCs w:val="19"/>
              </w:rPr>
              <w:t xml:space="preserve">Mediana czasu odpowiedzi</w:t>
            </w:r>
          </w:p>
        </w:tc>
        <w:tc>
          <w:tcPr>
            <w:tcW w:type="dxa" w:w="2900"/>
            <w:tcMar>
              <w:top w:type="dxa" w:w="70"/>
              <w:left w:type="dxa" w:w="110"/>
              <w:bottom w:type="dxa" w:w="70"/>
              <w:right w:type="dxa" w:w="110"/>
            </w:tcMar>
            <w:vAlign w:val="center"/>
          </w:tcPr>
          <w:p>
            <w:pPr>
              <w:spacing w:after="0" w:line="240"/>
            </w:pPr>
            <w:r>
              <w:rPr>
                <w:sz w:val="19"/>
                <w:szCs w:val="19"/>
              </w:rPr>
              <w:t xml:space="preserve">0,49 ms</w:t>
            </w:r>
          </w:p>
        </w:tc>
        <w:tc>
          <w:tcPr>
            <w:tcW w:type="dxa" w:w="2926"/>
            <w:tcMar>
              <w:top w:type="dxa" w:w="70"/>
              <w:left w:type="dxa" w:w="110"/>
              <w:bottom w:type="dxa" w:w="70"/>
              <w:right w:type="dxa" w:w="110"/>
            </w:tcMar>
            <w:vAlign w:val="center"/>
          </w:tcPr>
          <w:p>
            <w:pPr>
              <w:spacing w:after="0" w:line="240"/>
            </w:pPr>
            <w:r>
              <w:rPr>
                <w:sz w:val="19"/>
                <w:szCs w:val="19"/>
              </w:rPr>
              <w:t xml:space="preserve">ok. 4 ms</w:t>
            </w:r>
          </w:p>
        </w:tc>
      </w:tr>
      <w:tr>
        <w:tc>
          <w:tcPr>
            <w:tcW w:type="dxa" w:w="3200"/>
            <w:shd w:fill="F5F7F9" w:color="auto" w:val="clear"/>
            <w:tcMar>
              <w:top w:type="dxa" w:w="70"/>
              <w:left w:type="dxa" w:w="110"/>
              <w:bottom w:type="dxa" w:w="70"/>
              <w:right w:type="dxa" w:w="110"/>
            </w:tcMar>
            <w:vAlign w:val="center"/>
          </w:tcPr>
          <w:p>
            <w:pPr>
              <w:spacing w:after="0" w:line="240"/>
            </w:pPr>
            <w:r>
              <w:rPr>
                <w:sz w:val="19"/>
                <w:szCs w:val="19"/>
              </w:rPr>
              <w:t xml:space="preserve">95. percentyl</w:t>
            </w:r>
          </w:p>
        </w:tc>
        <w:tc>
          <w:tcPr>
            <w:tcW w:type="dxa" w:w="2900"/>
            <w:shd w:fill="F5F7F9" w:color="auto" w:val="clear"/>
            <w:tcMar>
              <w:top w:type="dxa" w:w="70"/>
              <w:left w:type="dxa" w:w="110"/>
              <w:bottom w:type="dxa" w:w="70"/>
              <w:right w:type="dxa" w:w="110"/>
            </w:tcMar>
            <w:vAlign w:val="center"/>
          </w:tcPr>
          <w:p>
            <w:pPr>
              <w:spacing w:after="0" w:line="240"/>
            </w:pPr>
            <w:r>
              <w:rPr>
                <w:sz w:val="19"/>
                <w:szCs w:val="19"/>
              </w:rPr>
              <w:t xml:space="preserve">1,11 ms</w:t>
            </w:r>
          </w:p>
        </w:tc>
        <w:tc>
          <w:tcPr>
            <w:tcW w:type="dxa" w:w="2926"/>
            <w:shd w:fill="F5F7F9" w:color="auto" w:val="clear"/>
            <w:tcMar>
              <w:top w:type="dxa" w:w="70"/>
              <w:left w:type="dxa" w:w="110"/>
              <w:bottom w:type="dxa" w:w="70"/>
              <w:right w:type="dxa" w:w="110"/>
            </w:tcMar>
            <w:vAlign w:val="center"/>
          </w:tcPr>
          <w:p>
            <w:pPr>
              <w:spacing w:after="0" w:line="240"/>
            </w:pPr>
            <w:r>
              <w:rPr>
                <w:sz w:val="19"/>
                <w:szCs w:val="19"/>
              </w:rPr>
              <w:t xml:space="preserve">nie przeliczono</w:t>
            </w:r>
          </w:p>
        </w:tc>
      </w:tr>
      <w:tr>
        <w:tc>
          <w:tcPr>
            <w:tcW w:type="dxa" w:w="3200"/>
            <w:tcMar>
              <w:top w:type="dxa" w:w="70"/>
              <w:left w:type="dxa" w:w="110"/>
              <w:bottom w:type="dxa" w:w="70"/>
              <w:right w:type="dxa" w:w="110"/>
            </w:tcMar>
            <w:vAlign w:val="center"/>
          </w:tcPr>
          <w:p>
            <w:pPr>
              <w:spacing w:after="0" w:line="240"/>
            </w:pPr>
            <w:r>
              <w:rPr>
                <w:sz w:val="19"/>
                <w:szCs w:val="19"/>
              </w:rPr>
              <w:t xml:space="preserve">99. percentyl</w:t>
            </w:r>
          </w:p>
        </w:tc>
        <w:tc>
          <w:tcPr>
            <w:tcW w:type="dxa" w:w="2900"/>
            <w:tcMar>
              <w:top w:type="dxa" w:w="70"/>
              <w:left w:type="dxa" w:w="110"/>
              <w:bottom w:type="dxa" w:w="70"/>
              <w:right w:type="dxa" w:w="110"/>
            </w:tcMar>
            <w:vAlign w:val="center"/>
          </w:tcPr>
          <w:p>
            <w:pPr>
              <w:spacing w:after="0" w:line="240"/>
            </w:pPr>
            <w:r>
              <w:rPr>
                <w:sz w:val="19"/>
                <w:szCs w:val="19"/>
              </w:rPr>
              <w:t xml:space="preserve">1,84 ms</w:t>
            </w:r>
          </w:p>
        </w:tc>
        <w:tc>
          <w:tcPr>
            <w:tcW w:type="dxa" w:w="2926"/>
            <w:tcMar>
              <w:top w:type="dxa" w:w="70"/>
              <w:left w:type="dxa" w:w="110"/>
              <w:bottom w:type="dxa" w:w="70"/>
              <w:right w:type="dxa" w:w="110"/>
            </w:tcMar>
            <w:vAlign w:val="center"/>
          </w:tcPr>
          <w:p>
            <w:pPr>
              <w:spacing w:after="0" w:line="240"/>
            </w:pPr>
            <w:r>
              <w:rPr>
                <w:sz w:val="19"/>
                <w:szCs w:val="19"/>
              </w:rPr>
              <w:t xml:space="preserve">nie przeliczono</w:t>
            </w:r>
          </w:p>
        </w:tc>
      </w:tr>
      <w:tr>
        <w:tc>
          <w:tcPr>
            <w:tcW w:type="dxa" w:w="3200"/>
            <w:shd w:fill="F5F7F9" w:color="auto" w:val="clear"/>
            <w:tcMar>
              <w:top w:type="dxa" w:w="70"/>
              <w:left w:type="dxa" w:w="110"/>
              <w:bottom w:type="dxa" w:w="70"/>
              <w:right w:type="dxa" w:w="110"/>
            </w:tcMar>
            <w:vAlign w:val="center"/>
          </w:tcPr>
          <w:p>
            <w:pPr>
              <w:spacing w:after="0" w:line="240"/>
            </w:pPr>
            <w:r>
              <w:rPr>
                <w:sz w:val="19"/>
                <w:szCs w:val="19"/>
              </w:rPr>
              <w:t xml:space="preserve">Rozmiar artefaktu indeksu</w:t>
            </w:r>
          </w:p>
        </w:tc>
        <w:tc>
          <w:tcPr>
            <w:tcW w:type="dxa" w:w="2900"/>
            <w:shd w:fill="F5F7F9" w:color="auto" w:val="clear"/>
            <w:tcMar>
              <w:top w:type="dxa" w:w="70"/>
              <w:left w:type="dxa" w:w="110"/>
              <w:bottom w:type="dxa" w:w="70"/>
              <w:right w:type="dxa" w:w="110"/>
            </w:tcMar>
            <w:vAlign w:val="center"/>
          </w:tcPr>
          <w:p>
            <w:pPr>
              <w:spacing w:after="0" w:line="240"/>
            </w:pPr>
            <w:r>
              <w:rPr>
                <w:sz w:val="19"/>
                <w:szCs w:val="19"/>
              </w:rPr>
              <w:t xml:space="preserve">53 MB</w:t>
            </w:r>
          </w:p>
        </w:tc>
        <w:tc>
          <w:tcPr>
            <w:tcW w:type="dxa" w:w="2926"/>
            <w:shd w:fill="F5F7F9" w:color="auto" w:val="clear"/>
            <w:tcMar>
              <w:top w:type="dxa" w:w="70"/>
              <w:left w:type="dxa" w:w="110"/>
              <w:bottom w:type="dxa" w:w="70"/>
              <w:right w:type="dxa" w:w="110"/>
            </w:tcMar>
            <w:vAlign w:val="center"/>
          </w:tcPr>
          <w:p>
            <w:pPr>
              <w:spacing w:after="0" w:line="240"/>
            </w:pPr>
            <w:r>
              <w:rPr>
                <w:sz w:val="19"/>
                <w:szCs w:val="19"/>
              </w:rPr>
              <w:t xml:space="preserve">66,4 MB</w:t>
            </w:r>
          </w:p>
        </w:tc>
      </w:tr>
      <w:tr>
        <w:tc>
          <w:tcPr>
            <w:tcW w:type="dxa" w:w="3200"/>
            <w:tcMar>
              <w:top w:type="dxa" w:w="70"/>
              <w:left w:type="dxa" w:w="110"/>
              <w:bottom w:type="dxa" w:w="70"/>
              <w:right w:type="dxa" w:w="110"/>
            </w:tcMar>
            <w:vAlign w:val="center"/>
          </w:tcPr>
          <w:p>
            <w:pPr>
              <w:spacing w:after="0" w:line="240"/>
            </w:pPr>
            <w:r>
              <w:rPr>
                <w:sz w:val="19"/>
                <w:szCs w:val="19"/>
              </w:rPr>
              <w:t xml:space="preserve">Liczba pozycji w indeksie</w:t>
            </w:r>
          </w:p>
        </w:tc>
        <w:tc>
          <w:tcPr>
            <w:tcW w:type="dxa" w:w="2900"/>
            <w:tcMar>
              <w:top w:type="dxa" w:w="70"/>
              <w:left w:type="dxa" w:w="110"/>
              <w:bottom w:type="dxa" w:w="70"/>
              <w:right w:type="dxa" w:w="110"/>
            </w:tcMar>
            <w:vAlign w:val="center"/>
          </w:tcPr>
          <w:p>
            <w:pPr>
              <w:spacing w:after="0" w:line="240"/>
            </w:pPr>
            <w:r>
              <w:rPr>
                <w:sz w:val="19"/>
                <w:szCs w:val="19"/>
              </w:rPr>
              <w:t xml:space="preserve">373 tys.</w:t>
            </w:r>
          </w:p>
        </w:tc>
        <w:tc>
          <w:tcPr>
            <w:tcW w:type="dxa" w:w="2926"/>
            <w:tcMar>
              <w:top w:type="dxa" w:w="70"/>
              <w:left w:type="dxa" w:w="110"/>
              <w:bottom w:type="dxa" w:w="70"/>
              <w:right w:type="dxa" w:w="110"/>
            </w:tcMar>
            <w:vAlign w:val="center"/>
          </w:tcPr>
          <w:p>
            <w:pPr>
              <w:spacing w:after="0" w:line="240"/>
            </w:pPr>
            <w:r>
              <w:rPr>
                <w:sz w:val="19"/>
                <w:szCs w:val="19"/>
              </w:rPr>
              <w:t xml:space="preserve">487 301</w:t>
            </w:r>
          </w:p>
        </w:tc>
      </w:tr>
      <w:tr>
        <w:tc>
          <w:tcPr>
            <w:tcW w:type="dxa" w:w="3200"/>
            <w:shd w:fill="F5F7F9" w:color="auto" w:val="clear"/>
            <w:tcMar>
              <w:top w:type="dxa" w:w="70"/>
              <w:left w:type="dxa" w:w="110"/>
              <w:bottom w:type="dxa" w:w="70"/>
              <w:right w:type="dxa" w:w="110"/>
            </w:tcMar>
            <w:vAlign w:val="center"/>
          </w:tcPr>
          <w:p>
            <w:pPr>
              <w:spacing w:after="0" w:line="240"/>
            </w:pPr>
            <w:r>
              <w:rPr>
                <w:sz w:val="19"/>
                <w:szCs w:val="19"/>
              </w:rPr>
              <w:t xml:space="preserve">Czas budowy artefaktu</w:t>
            </w:r>
          </w:p>
        </w:tc>
        <w:tc>
          <w:tcPr>
            <w:tcW w:type="dxa" w:w="2900"/>
            <w:shd w:fill="F5F7F9" w:color="auto" w:val="clear"/>
            <w:tcMar>
              <w:top w:type="dxa" w:w="70"/>
              <w:left w:type="dxa" w:w="110"/>
              <w:bottom w:type="dxa" w:w="70"/>
              <w:right w:type="dxa" w:w="110"/>
            </w:tcMar>
            <w:vAlign w:val="center"/>
          </w:tcPr>
          <w:p>
            <w:pPr>
              <w:spacing w:after="0" w:line="240"/>
            </w:pPr>
            <w:r>
              <w:rPr>
                <w:sz w:val="19"/>
                <w:szCs w:val="19"/>
              </w:rPr>
              <w:t xml:space="preserve">12 s</w:t>
            </w:r>
          </w:p>
        </w:tc>
        <w:tc>
          <w:tcPr>
            <w:tcW w:type="dxa" w:w="2926"/>
            <w:shd w:fill="F5F7F9" w:color="auto" w:val="clear"/>
            <w:tcMar>
              <w:top w:type="dxa" w:w="70"/>
              <w:left w:type="dxa" w:w="110"/>
              <w:bottom w:type="dxa" w:w="70"/>
              <w:right w:type="dxa" w:w="110"/>
            </w:tcMar>
            <w:vAlign w:val="center"/>
          </w:tcPr>
          <w:p>
            <w:pPr>
              <w:spacing w:after="0" w:line="240"/>
            </w:pPr>
            <w:r>
              <w:rPr>
                <w:sz w:val="19"/>
                <w:szCs w:val="19"/>
              </w:rPr>
              <w:t xml:space="preserve">3,5 min</w:t>
            </w:r>
          </w:p>
        </w:tc>
      </w:tr>
      <w:tr>
        <w:tc>
          <w:tcPr>
            <w:tcW w:type="dxa" w:w="3200"/>
            <w:tcMar>
              <w:top w:type="dxa" w:w="70"/>
              <w:left w:type="dxa" w:w="110"/>
              <w:bottom w:type="dxa" w:w="70"/>
              <w:right w:type="dxa" w:w="110"/>
            </w:tcMar>
            <w:vAlign w:val="center"/>
          </w:tcPr>
          <w:p>
            <w:pPr>
              <w:spacing w:after="0" w:line="240"/>
            </w:pPr>
            <w:r>
              <w:rPr>
                <w:sz w:val="19"/>
                <w:szCs w:val="19"/>
              </w:rPr>
              <w:t xml:space="preserve">Odporność na literówki</w:t>
            </w:r>
          </w:p>
        </w:tc>
        <w:tc>
          <w:tcPr>
            <w:tcW w:type="dxa" w:w="2900"/>
            <w:tcMar>
              <w:top w:type="dxa" w:w="70"/>
              <w:left w:type="dxa" w:w="110"/>
              <w:bottom w:type="dxa" w:w="70"/>
              <w:right w:type="dxa" w:w="110"/>
            </w:tcMar>
            <w:vAlign w:val="center"/>
          </w:tcPr>
          <w:p>
            <w:pPr>
              <w:spacing w:after="0" w:line="240"/>
            </w:pPr>
            <w:r>
              <w:rPr>
                <w:sz w:val="19"/>
                <w:szCs w:val="19"/>
              </w:rPr>
              <w:t xml:space="preserve">Zapytanie „mickievicza” zwraca „Mickiewicza”</w:t>
            </w:r>
          </w:p>
        </w:tc>
        <w:tc>
          <w:tcPr>
            <w:tcW w:type="dxa" w:w="2926"/>
            <w:tcMar>
              <w:top w:type="dxa" w:w="70"/>
              <w:left w:type="dxa" w:w="110"/>
              <w:bottom w:type="dxa" w:w="70"/>
              <w:right w:type="dxa" w:w="110"/>
            </w:tcMar>
            <w:vAlign w:val="center"/>
          </w:tcPr>
          <w:p>
            <w:pPr>
              <w:spacing w:after="0" w:line="240"/>
            </w:pPr>
            <w:r>
              <w:rPr>
                <w:sz w:val="19"/>
                <w:szCs w:val="19"/>
              </w:rPr>
              <w:t xml:space="preserve">Zachowana, koszt 27 ms</w:t>
            </w:r>
          </w:p>
        </w:tc>
      </w:tr>
    </w:tbl>
    <w:p>
      <w:pPr>
        <w:spacing w:after="160"/>
      </w:pPr>
    </w:p>
    <w:p>
      <w:pPr>
        <w:spacing w:after="120" w:line="276"/>
      </w:pPr>
      <w:r>
        <w:rPr>
          <w:b/>
          <w:bCs/>
          <w:sz w:val="21"/>
          <w:szCs w:val="21"/>
        </w:rPr>
        <w:t xml:space="preserve">Wniosek metodyczny: </w:t>
      </w:r>
      <w:r>
        <w:rPr>
          <w:sz w:val="21"/>
          <w:szCs w:val="21"/>
        </w:rPr>
        <w:t xml:space="preserve">o wydajności decyduje nie wybrana technologia, lecz liczba kandydatów, których zapytanie musi uszeregować. Dlatego indeksowane są miejscowości i ulice, a numery budynków pobierane są z bazy dopiero po wyborze ulicy, gdy jest ich od kilkudziesięciu do kilkuset. Rozwinięcie tej obserwacji na danych rzeczywistych znajduje się w 8.6.</w:t>
      </w:r>
    </w:p>
    <w:p>
      <w:pPr>
        <w:pStyle w:val="Heading2"/>
        <w:spacing w:after="140" w:before="280"/>
      </w:pPr>
      <w:r>
        <w:t xml:space="preserve">8.3. Uruchomienie na danych rzeczywistych</w:t>
      </w:r>
    </w:p>
    <w:p>
      <w:pPr>
        <w:spacing w:after="120" w:line="276"/>
      </w:pPr>
      <w:r>
        <w:rPr>
          <w:sz w:val="21"/>
          <w:szCs w:val="21"/>
        </w:rPr>
        <w:t xml:space="preserve">Dotychczasowe wyniki pochodziły z próbek i zbiorów syntetycznych. 6 sierpnia 2026 cała ścieżka przeszła na rzeczywistych danych PRG i TERYT.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shd w:fill="E8EDF2" w:color="auto" w:val="clear"/>
            <w:tcMar>
              <w:top w:type="dxa" w:w="70"/>
              <w:left w:type="dxa" w:w="110"/>
              <w:bottom w:type="dxa" w:w="70"/>
              <w:right w:type="dxa" w:w="110"/>
            </w:tcMar>
            <w:vAlign w:val="center"/>
          </w:tcPr>
          <w:p>
            <w:pPr>
              <w:spacing w:after="0" w:line="240"/>
            </w:pPr>
            <w:r>
              <w:rPr>
                <w:b/>
                <w:bCs/>
                <w:sz w:val="19"/>
                <w:szCs w:val="19"/>
              </w:rPr>
              <w:t xml:space="preserve">Element</w:t>
            </w:r>
          </w:p>
        </w:tc>
        <w:tc>
          <w:tcPr>
            <w:tcW w:type="dxa" w:w="5626"/>
            <w:shd w:fill="E8EDF2" w:color="auto" w:val="clear"/>
            <w:tcMar>
              <w:top w:type="dxa" w:w="70"/>
              <w:left w:type="dxa" w:w="110"/>
              <w:bottom w:type="dxa" w:w="70"/>
              <w:right w:type="dxa" w:w="110"/>
            </w:tcMar>
            <w:vAlign w:val="center"/>
          </w:tcPr>
          <w:p>
            <w:pPr>
              <w:spacing w:after="0" w:line="240"/>
            </w:pPr>
            <w:r>
              <w:rPr>
                <w:b/>
                <w:bCs/>
                <w:sz w:val="19"/>
                <w:szCs w:val="19"/>
              </w:rPr>
              <w:t xml:space="preserve">Wynik</w:t>
            </w:r>
          </w:p>
        </w:tc>
      </w:tr>
      <w:tr>
        <w:tc>
          <w:tcPr>
            <w:tcW w:type="dxa" w:w="3400"/>
            <w:tcMar>
              <w:top w:type="dxa" w:w="70"/>
              <w:left w:type="dxa" w:w="110"/>
              <w:bottom w:type="dxa" w:w="70"/>
              <w:right w:type="dxa" w:w="110"/>
            </w:tcMar>
            <w:vAlign w:val="center"/>
          </w:tcPr>
          <w:p>
            <w:pPr>
              <w:spacing w:after="0" w:line="240"/>
            </w:pPr>
            <w:r>
              <w:rPr>
                <w:sz w:val="19"/>
                <w:szCs w:val="19"/>
              </w:rPr>
              <w:t xml:space="preserve">Punkty adresowe opublikowane</w:t>
            </w:r>
          </w:p>
        </w:tc>
        <w:tc>
          <w:tcPr>
            <w:tcW w:type="dxa" w:w="5626"/>
            <w:tcMar>
              <w:top w:type="dxa" w:w="70"/>
              <w:left w:type="dxa" w:w="110"/>
              <w:bottom w:type="dxa" w:w="70"/>
              <w:right w:type="dxa" w:w="110"/>
            </w:tcMar>
            <w:vAlign w:val="center"/>
          </w:tcPr>
          <w:p>
            <w:pPr>
              <w:spacing w:after="0" w:line="240"/>
            </w:pPr>
            <w:r>
              <w:rPr>
                <w:sz w:val="19"/>
                <w:szCs w:val="19"/>
              </w:rPr>
              <w:t xml:space="preserve">1 990 483</w:t>
            </w:r>
          </w:p>
        </w:tc>
      </w:tr>
      <w:tr>
        <w:tc>
          <w:tcPr>
            <w:tcW w:type="dxa" w:w="3400"/>
            <w:shd w:fill="F5F7F9" w:color="auto" w:val="clear"/>
            <w:tcMar>
              <w:top w:type="dxa" w:w="70"/>
              <w:left w:type="dxa" w:w="110"/>
              <w:bottom w:type="dxa" w:w="70"/>
              <w:right w:type="dxa" w:w="110"/>
            </w:tcMar>
            <w:vAlign w:val="center"/>
          </w:tcPr>
          <w:p>
            <w:pPr>
              <w:spacing w:after="0" w:line="240"/>
            </w:pPr>
            <w:r>
              <w:rPr>
                <w:sz w:val="19"/>
                <w:szCs w:val="19"/>
              </w:rPr>
              <w:t xml:space="preserve">Punkty z przypisaną ulicą</w:t>
            </w:r>
          </w:p>
        </w:tc>
        <w:tc>
          <w:tcPr>
            <w:tcW w:type="dxa" w:w="5626"/>
            <w:shd w:fill="F5F7F9" w:color="auto" w:val="clear"/>
            <w:tcMar>
              <w:top w:type="dxa" w:w="70"/>
              <w:left w:type="dxa" w:w="110"/>
              <w:bottom w:type="dxa" w:w="70"/>
              <w:right w:type="dxa" w:w="110"/>
            </w:tcMar>
            <w:vAlign w:val="center"/>
          </w:tcPr>
          <w:p>
            <w:pPr>
              <w:spacing w:after="0" w:line="240"/>
            </w:pPr>
            <w:r>
              <w:rPr>
                <w:sz w:val="19"/>
                <w:szCs w:val="19"/>
              </w:rPr>
              <w:t xml:space="preserve">1 324 563 — 100% tych, które miały odwołanie</w:t>
            </w:r>
          </w:p>
        </w:tc>
      </w:tr>
      <w:tr>
        <w:tc>
          <w:tcPr>
            <w:tcW w:type="dxa" w:w="3400"/>
            <w:tcMar>
              <w:top w:type="dxa" w:w="70"/>
              <w:left w:type="dxa" w:w="110"/>
              <w:bottom w:type="dxa" w:w="70"/>
              <w:right w:type="dxa" w:w="110"/>
            </w:tcMar>
            <w:vAlign w:val="center"/>
          </w:tcPr>
          <w:p>
            <w:pPr>
              <w:spacing w:after="0" w:line="240"/>
            </w:pPr>
            <w:r>
              <w:rPr>
                <w:sz w:val="19"/>
                <w:szCs w:val="19"/>
              </w:rPr>
              <w:t xml:space="preserve">Miejscowości w słowniku</w:t>
            </w:r>
          </w:p>
        </w:tc>
        <w:tc>
          <w:tcPr>
            <w:tcW w:type="dxa" w:w="5626"/>
            <w:tcMar>
              <w:top w:type="dxa" w:w="70"/>
              <w:left w:type="dxa" w:w="110"/>
              <w:bottom w:type="dxa" w:w="70"/>
              <w:right w:type="dxa" w:w="110"/>
            </w:tcMar>
            <w:vAlign w:val="center"/>
          </w:tcPr>
          <w:p>
            <w:pPr>
              <w:spacing w:after="0" w:line="240"/>
            </w:pPr>
            <w:r>
              <w:rPr>
                <w:sz w:val="19"/>
                <w:szCs w:val="19"/>
              </w:rPr>
              <w:t xml:space="preserve">101 865</w:t>
            </w:r>
          </w:p>
        </w:tc>
      </w:tr>
      <w:tr>
        <w:tc>
          <w:tcPr>
            <w:tcW w:type="dxa" w:w="3400"/>
            <w:shd w:fill="F5F7F9" w:color="auto" w:val="clear"/>
            <w:tcMar>
              <w:top w:type="dxa" w:w="70"/>
              <w:left w:type="dxa" w:w="110"/>
              <w:bottom w:type="dxa" w:w="70"/>
              <w:right w:type="dxa" w:w="110"/>
            </w:tcMar>
            <w:vAlign w:val="center"/>
          </w:tcPr>
          <w:p>
            <w:pPr>
              <w:spacing w:after="0" w:line="240"/>
            </w:pPr>
            <w:r>
              <w:rPr>
                <w:sz w:val="19"/>
                <w:szCs w:val="19"/>
              </w:rPr>
              <w:t xml:space="preserve">Ulice w katalogu</w:t>
            </w:r>
          </w:p>
        </w:tc>
        <w:tc>
          <w:tcPr>
            <w:tcW w:type="dxa" w:w="5626"/>
            <w:shd w:fill="F5F7F9" w:color="auto" w:val="clear"/>
            <w:tcMar>
              <w:top w:type="dxa" w:w="70"/>
              <w:left w:type="dxa" w:w="110"/>
              <w:bottom w:type="dxa" w:w="70"/>
              <w:right w:type="dxa" w:w="110"/>
            </w:tcMar>
            <w:vAlign w:val="center"/>
          </w:tcPr>
          <w:p>
            <w:pPr>
              <w:spacing w:after="0" w:line="240"/>
            </w:pPr>
            <w:r>
              <w:rPr>
                <w:sz w:val="19"/>
                <w:szCs w:val="19"/>
              </w:rPr>
              <w:t xml:space="preserve">385 436 (308 888 z TERYT, reszta z PRG)</w:t>
            </w:r>
          </w:p>
        </w:tc>
      </w:tr>
      <w:tr>
        <w:tc>
          <w:tcPr>
            <w:tcW w:type="dxa" w:w="3400"/>
            <w:tcMar>
              <w:top w:type="dxa" w:w="70"/>
              <w:left w:type="dxa" w:w="110"/>
              <w:bottom w:type="dxa" w:w="70"/>
              <w:right w:type="dxa" w:w="110"/>
            </w:tcMar>
            <w:vAlign w:val="center"/>
          </w:tcPr>
          <w:p>
            <w:pPr>
              <w:spacing w:after="0" w:line="240"/>
            </w:pPr>
            <w:r>
              <w:rPr>
                <w:sz w:val="19"/>
                <w:szCs w:val="19"/>
              </w:rPr>
              <w:t xml:space="preserve">Artefakt wyszukiwania</w:t>
            </w:r>
          </w:p>
        </w:tc>
        <w:tc>
          <w:tcPr>
            <w:tcW w:type="dxa" w:w="5626"/>
            <w:tcMar>
              <w:top w:type="dxa" w:w="70"/>
              <w:left w:type="dxa" w:w="110"/>
              <w:bottom w:type="dxa" w:w="70"/>
              <w:right w:type="dxa" w:w="110"/>
            </w:tcMar>
            <w:vAlign w:val="center"/>
          </w:tcPr>
          <w:p>
            <w:pPr>
              <w:spacing w:after="0" w:line="240"/>
            </w:pPr>
            <w:r>
              <w:rPr>
                <w:sz w:val="19"/>
                <w:szCs w:val="19"/>
              </w:rPr>
              <w:t xml:space="preserve">487 301 pozycji, 66,4 MB</w:t>
            </w:r>
          </w:p>
        </w:tc>
      </w:tr>
      <w:tr>
        <w:tc>
          <w:tcPr>
            <w:tcW w:type="dxa" w:w="3400"/>
            <w:shd w:fill="F5F7F9" w:color="auto" w:val="clear"/>
            <w:tcMar>
              <w:top w:type="dxa" w:w="70"/>
              <w:left w:type="dxa" w:w="110"/>
              <w:bottom w:type="dxa" w:w="70"/>
              <w:right w:type="dxa" w:w="110"/>
            </w:tcMar>
            <w:vAlign w:val="center"/>
          </w:tcPr>
          <w:p>
            <w:pPr>
              <w:spacing w:after="0" w:line="240"/>
            </w:pPr>
            <w:r>
              <w:rPr>
                <w:sz w:val="19"/>
                <w:szCs w:val="19"/>
              </w:rPr>
              <w:t xml:space="preserve">Zakres</w:t>
            </w:r>
          </w:p>
        </w:tc>
        <w:tc>
          <w:tcPr>
            <w:tcW w:type="dxa" w:w="5626"/>
            <w:shd w:fill="F5F7F9" w:color="auto" w:val="clear"/>
            <w:tcMar>
              <w:top w:type="dxa" w:w="70"/>
              <w:left w:type="dxa" w:w="110"/>
              <w:bottom w:type="dxa" w:w="70"/>
              <w:right w:type="dxa" w:w="110"/>
            </w:tcMar>
            <w:vAlign w:val="center"/>
          </w:tcPr>
          <w:p>
            <w:pPr>
              <w:spacing w:after="0" w:line="240"/>
            </w:pPr>
            <w:r>
              <w:rPr>
                <w:sz w:val="19"/>
                <w:szCs w:val="19"/>
              </w:rPr>
              <w:t xml:space="preserve">4 województwa z 16 — pozostałe pobrane, czekają na przetworzenie</w:t>
            </w:r>
          </w:p>
        </w:tc>
      </w:tr>
    </w:tbl>
    <w:p>
      <w:pPr>
        <w:spacing w:after="160"/>
      </w:pPr>
    </w:p>
    <w:p>
      <w:pPr>
        <w:spacing w:after="120" w:line="276"/>
      </w:pPr>
      <w:r>
        <w:rPr>
          <w:b/>
          <w:bCs/>
          <w:sz w:val="21"/>
          <w:szCs w:val="21"/>
        </w:rPr>
        <w:t xml:space="preserve">Zabezpieczenie zrzutu. </w:t>
      </w:r>
      <w:r>
        <w:rPr>
          <w:sz w:val="21"/>
          <w:szCs w:val="21"/>
        </w:rPr>
        <w:t xml:space="preserve">Pobrano komplet 16 województw (1,8 GB) z sumą kontrolną każdego pliku. Realizuje to decyzję o archiwizacji przed 1 września 2026. Sierpniowa paczka zawiera równolegle plik w strukturze dotychczasowej i nowej, więc zabezpieczono obie — łącznie z atrybutami, które po tej dacie znikną.</w:t>
      </w:r>
    </w:p>
    <w:p>
      <w:pPr>
        <w:spacing w:after="120" w:line="276"/>
      </w:pPr>
      <w:r>
        <w:rPr>
          <w:b/>
          <w:bCs/>
          <w:sz w:val="21"/>
          <w:szCs w:val="21"/>
        </w:rPr>
        <w:t xml:space="preserve">Słowniki TERYT pobrano bez konta w GUS. </w:t>
      </w:r>
      <w:r>
        <w:rPr>
          <w:sz w:val="21"/>
          <w:szCs w:val="21"/>
        </w:rPr>
        <w:t xml:space="preserve">Usługa sieciowa nie odpowiadała na żadne zapytanie, ale te same katalogi są udostępniane jako pliki bez rejestracji. Pozycja „Import słowników TERYT” z planu prac jest zamknięta, a zależność od rejestracji w GUS — nieaktualna.</w:t>
      </w:r>
    </w:p>
    <w:p>
      <w:pPr>
        <w:pBdr>
          <w:top w:val="single" w:color="D5DBE0" w:sz="4"/>
          <w:bottom w:val="single" w:color="D5DBE0" w:sz="0"/>
          <w:left w:val="single" w:color="D5DBE0" w:sz="4"/>
          <w:right w:val="single" w:color="D5DBE0" w:sz="4"/>
        </w:pBdr>
        <w:shd w:fill="EDF5EE" w:color="auto" w:val="clear"/>
        <w:spacing w:after="0" w:before="160" w:line="276"/>
        <w:ind w:left="120" w:right="120"/>
      </w:pPr>
      <w:r>
        <w:rPr>
          <w:b/>
          <w:bCs/>
          <w:sz w:val="21"/>
          <w:szCs w:val="21"/>
        </w:rPr>
        <w:t xml:space="preserve">Najważniejszy wynik dla oceny ryzyka</w:t>
      </w:r>
    </w:p>
    <w:p>
      <w:pPr>
        <w:pBdr>
          <w:top w:val="single" w:color="D5DBE0" w:sz="0"/>
          <w:bottom w:val="single" w:color="D5DBE0" w:sz="0"/>
          <w:left w:val="single" w:color="D5DBE0" w:sz="4"/>
          <w:right w:val="single" w:color="D5DBE0" w:sz="4"/>
        </w:pBdr>
        <w:shd w:fill="EDF5EE" w:color="auto" w:val="clear"/>
        <w:spacing w:after="60" w:line="276"/>
        <w:ind w:left="120" w:right="120"/>
      </w:pPr>
      <w:r>
        <w:rPr>
          <w:sz w:val="20"/>
          <w:szCs w:val="20"/>
        </w:rPr>
        <w:t xml:space="preserve">Parser przeszedł przez rzeczywisty plik w strukturze obowiązującej od 1 września 2026 i nie odrzucił ani jednego rekordu. Wrześniowa zmiana formatu — dotąd największe ryzyko w tym opracowaniu — jest potwierdzona jako opanowana na danych, a nie tylko deklarowana.</w:t>
      </w:r>
    </w:p>
    <w:p>
      <w:pPr>
        <w:pBdr>
          <w:top w:val="single" w:color="D5DBE0" w:sz="0"/>
          <w:bottom w:val="single" w:color="D5DBE0" w:sz="4"/>
          <w:left w:val="single" w:color="D5DBE0" w:sz="4"/>
          <w:right w:val="single" w:color="D5DBE0" w:sz="4"/>
        </w:pBdr>
        <w:shd w:fill="EDF5EE" w:color="auto" w:val="clear"/>
        <w:spacing w:after="0" w:line="276"/>
        <w:ind w:left="120" w:right="120"/>
      </w:pPr>
      <w:r>
        <w:rPr>
          <w:sz w:val="20"/>
          <w:szCs w:val="20"/>
        </w:rPr>
        <w:t xml:space="preserve">Kontrole jakości zadziałały zgodnie z projektem: przy próbie publikacji jednego województwa wstrzymały podmianę, bo 1,27 mln punktów to znacznie poniżej progu ustawionego dla całego kraju. Publikacja czterech województw wymagała świadomego obniżenia progu do wartości odpowiadającej temu zakresowi — patrz 7.2.</w:t>
      </w:r>
    </w:p>
    <w:p>
      <w:pPr>
        <w:spacing w:after="180"/>
      </w:pPr>
    </w:p>
    <w:p>
      <w:pPr>
        <w:pStyle w:val="Heading2"/>
        <w:spacing w:after="140" w:before="280"/>
      </w:pPr>
      <w:r>
        <w:t xml:space="preserve">8.4. Usterki wykryte na danych rzeczywistych</w:t>
      </w:r>
    </w:p>
    <w:p>
      <w:pPr>
        <w:spacing w:after="120" w:line="276"/>
      </w:pPr>
      <w:r>
        <w:rPr>
          <w:sz w:val="21"/>
          <w:szCs w:val="21"/>
        </w:rPr>
        <w:t xml:space="preserve">Pięć usterek ujawniło się dopiero na rzeczywistych danych czterech województw. Wszystkie naprawiono.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4826"/>
      </w:tblGrid>
      <w:tr>
        <w:trPr>
          <w:tblHeader/>
        </w:trPr>
        <w:tc>
          <w:tcPr>
            <w:tcW w:type="dxa" w:w="4200"/>
            <w:shd w:fill="E8EDF2" w:color="auto" w:val="clear"/>
            <w:tcMar>
              <w:top w:type="dxa" w:w="70"/>
              <w:left w:type="dxa" w:w="110"/>
              <w:bottom w:type="dxa" w:w="70"/>
              <w:right w:type="dxa" w:w="110"/>
            </w:tcMar>
            <w:vAlign w:val="center"/>
          </w:tcPr>
          <w:p>
            <w:pPr>
              <w:spacing w:after="0" w:line="240"/>
            </w:pPr>
            <w:r>
              <w:rPr>
                <w:b/>
                <w:bCs/>
                <w:sz w:val="19"/>
                <w:szCs w:val="19"/>
              </w:rPr>
              <w:t xml:space="preserve">Usterka</w:t>
            </w:r>
          </w:p>
        </w:tc>
        <w:tc>
          <w:tcPr>
            <w:tcW w:type="dxa" w:w="4826"/>
            <w:shd w:fill="E8EDF2" w:color="auto" w:val="clear"/>
            <w:tcMar>
              <w:top w:type="dxa" w:w="70"/>
              <w:left w:type="dxa" w:w="110"/>
              <w:bottom w:type="dxa" w:w="70"/>
              <w:right w:type="dxa" w:w="110"/>
            </w:tcMar>
            <w:vAlign w:val="center"/>
          </w:tcPr>
          <w:p>
            <w:pPr>
              <w:spacing w:after="0" w:line="240"/>
            </w:pPr>
            <w:r>
              <w:rPr>
                <w:b/>
                <w:bCs/>
                <w:sz w:val="19"/>
                <w:szCs w:val="19"/>
              </w:rPr>
              <w:t xml:space="preserve">Skutek przed naprawą</w:t>
            </w:r>
          </w:p>
        </w:tc>
      </w:tr>
      <w:tr>
        <w:tc>
          <w:tcPr>
            <w:tcW w:type="dxa" w:w="4200"/>
            <w:tcMar>
              <w:top w:type="dxa" w:w="70"/>
              <w:left w:type="dxa" w:w="110"/>
              <w:bottom w:type="dxa" w:w="70"/>
              <w:right w:type="dxa" w:w="110"/>
            </w:tcMar>
            <w:vAlign w:val="center"/>
          </w:tcPr>
          <w:p>
            <w:pPr>
              <w:spacing w:after="0" w:line="240"/>
            </w:pPr>
            <w:r>
              <w:rPr>
                <w:sz w:val="19"/>
                <w:szCs w:val="19"/>
              </w:rPr>
              <w:t xml:space="preserve">Dekodowanie porcji strumienia osobno rozcinało polskie znaki</w:t>
            </w:r>
          </w:p>
        </w:tc>
        <w:tc>
          <w:tcPr>
            <w:tcW w:type="dxa" w:w="4826"/>
            <w:tcMar>
              <w:top w:type="dxa" w:w="70"/>
              <w:left w:type="dxa" w:w="110"/>
              <w:bottom w:type="dxa" w:w="70"/>
              <w:right w:type="dxa" w:w="110"/>
            </w:tcMar>
            <w:vAlign w:val="center"/>
          </w:tcPr>
          <w:p>
            <w:pPr>
              <w:spacing w:after="0" w:line="240"/>
            </w:pPr>
            <w:r>
              <w:rPr>
                <w:sz w:val="19"/>
                <w:szCs w:val="19"/>
              </w:rPr>
              <w:t xml:space="preserve">Uszkodzone nazwy ulic — jedna na województwo, bez ostrzeżenia</w:t>
            </w:r>
          </w:p>
        </w:tc>
      </w:tr>
      <w:tr>
        <w:tc>
          <w:tcPr>
            <w:tcW w:type="dxa" w:w="4200"/>
            <w:shd w:fill="F5F7F9" w:color="auto" w:val="clear"/>
            <w:tcMar>
              <w:top w:type="dxa" w:w="70"/>
              <w:left w:type="dxa" w:w="110"/>
              <w:bottom w:type="dxa" w:w="70"/>
              <w:right w:type="dxa" w:w="110"/>
            </w:tcMar>
            <w:vAlign w:val="center"/>
          </w:tcPr>
          <w:p>
            <w:pPr>
              <w:spacing w:after="0" w:line="240"/>
            </w:pPr>
            <w:r>
              <w:rPr>
                <w:sz w:val="19"/>
                <w:szCs w:val="19"/>
              </w:rPr>
              <w:t xml:space="preserve">Błędne wiązanie punktów z miejscowościami w nowej strukturze</w:t>
            </w:r>
          </w:p>
        </w:tc>
        <w:tc>
          <w:tcPr>
            <w:tcW w:type="dxa" w:w="4826"/>
            <w:shd w:fill="F5F7F9" w:color="auto" w:val="clear"/>
            <w:tcMar>
              <w:top w:type="dxa" w:w="70"/>
              <w:left w:type="dxa" w:w="110"/>
              <w:bottom w:type="dxa" w:w="70"/>
              <w:right w:type="dxa" w:w="110"/>
            </w:tcMar>
            <w:vAlign w:val="center"/>
          </w:tcPr>
          <w:p>
            <w:pPr>
              <w:spacing w:after="0" w:line="240"/>
            </w:pPr>
            <w:r>
              <w:rPr>
                <w:sz w:val="19"/>
                <w:szCs w:val="19"/>
              </w:rPr>
              <w:t xml:space="preserve">Publikacja przerywana; przy szerszej kolumnie — ciche śmieci zamiast identyfikatorów</w:t>
            </w:r>
          </w:p>
        </w:tc>
      </w:tr>
      <w:tr>
        <w:tc>
          <w:tcPr>
            <w:tcW w:type="dxa" w:w="4200"/>
            <w:tcMar>
              <w:top w:type="dxa" w:w="70"/>
              <w:left w:type="dxa" w:w="110"/>
              <w:bottom w:type="dxa" w:w="70"/>
              <w:right w:type="dxa" w:w="110"/>
            </w:tcMar>
            <w:vAlign w:val="center"/>
          </w:tcPr>
          <w:p>
            <w:pPr>
              <w:spacing w:after="0" w:line="240"/>
            </w:pPr>
            <w:r>
              <w:rPr>
                <w:sz w:val="19"/>
                <w:szCs w:val="19"/>
              </w:rPr>
              <w:t xml:space="preserve">Zdublowane pozycje w słownikach źródłowych</w:t>
            </w:r>
          </w:p>
        </w:tc>
        <w:tc>
          <w:tcPr>
            <w:tcW w:type="dxa" w:w="4826"/>
            <w:tcMar>
              <w:top w:type="dxa" w:w="70"/>
              <w:left w:type="dxa" w:w="110"/>
              <w:bottom w:type="dxa" w:w="70"/>
              <w:right w:type="dxa" w:w="110"/>
            </w:tcMar>
            <w:vAlign w:val="center"/>
          </w:tcPr>
          <w:p>
            <w:pPr>
              <w:spacing w:after="0" w:line="240"/>
            </w:pPr>
            <w:r>
              <w:rPr>
                <w:sz w:val="19"/>
                <w:szCs w:val="19"/>
              </w:rPr>
              <w:t xml:space="preserve">Jeden zdublowany rekord wstrzymywał publikację całego kraju</w:t>
            </w:r>
          </w:p>
        </w:tc>
      </w:tr>
      <w:tr>
        <w:tc>
          <w:tcPr>
            <w:tcW w:type="dxa" w:w="4200"/>
            <w:shd w:fill="F5F7F9" w:color="auto" w:val="clear"/>
            <w:tcMar>
              <w:top w:type="dxa" w:w="70"/>
              <w:left w:type="dxa" w:w="110"/>
              <w:bottom w:type="dxa" w:w="70"/>
              <w:right w:type="dxa" w:w="110"/>
            </w:tcMar>
            <w:vAlign w:val="center"/>
          </w:tcPr>
          <w:p>
            <w:pPr>
              <w:spacing w:after="0" w:line="240"/>
            </w:pPr>
            <w:r>
              <w:rPr>
                <w:sz w:val="19"/>
                <w:szCs w:val="19"/>
              </w:rPr>
              <w:t xml:space="preserve">Zapytanie wiążące punkty z ulicami bez możliwości użycia indeksu</w:t>
            </w:r>
          </w:p>
        </w:tc>
        <w:tc>
          <w:tcPr>
            <w:tcW w:type="dxa" w:w="4826"/>
            <w:shd w:fill="F5F7F9" w:color="auto" w:val="clear"/>
            <w:tcMar>
              <w:top w:type="dxa" w:w="70"/>
              <w:left w:type="dxa" w:w="110"/>
              <w:bottom w:type="dxa" w:w="70"/>
              <w:right w:type="dxa" w:w="110"/>
            </w:tcMar>
            <w:vAlign w:val="center"/>
          </w:tcPr>
          <w:p>
            <w:pPr>
              <w:spacing w:after="0" w:line="240"/>
            </w:pPr>
            <w:r>
              <w:rPr>
                <w:sz w:val="19"/>
                <w:szCs w:val="19"/>
              </w:rPr>
              <w:t xml:space="preserve">Ponad 100 mld porównań — przebieg przerwany po 8 godzinach bez wyniku</w:t>
            </w:r>
          </w:p>
        </w:tc>
      </w:tr>
      <w:tr>
        <w:tc>
          <w:tcPr>
            <w:tcW w:type="dxa" w:w="4200"/>
            <w:tcMar>
              <w:top w:type="dxa" w:w="70"/>
              <w:left w:type="dxa" w:w="110"/>
              <w:bottom w:type="dxa" w:w="70"/>
              <w:right w:type="dxa" w:w="110"/>
            </w:tcMar>
            <w:vAlign w:val="center"/>
          </w:tcPr>
          <w:p>
            <w:pPr>
              <w:spacing w:after="0" w:line="240"/>
            </w:pPr>
            <w:r>
              <w:rPr>
                <w:sz w:val="19"/>
                <w:szCs w:val="19"/>
              </w:rPr>
              <w:t xml:space="preserve">Słowniki TERYT wstawiane rekord po rekordzie</w:t>
            </w:r>
          </w:p>
        </w:tc>
        <w:tc>
          <w:tcPr>
            <w:tcW w:type="dxa" w:w="4826"/>
            <w:tcMar>
              <w:top w:type="dxa" w:w="70"/>
              <w:left w:type="dxa" w:w="110"/>
              <w:bottom w:type="dxa" w:w="70"/>
              <w:right w:type="dxa" w:w="110"/>
            </w:tcMar>
            <w:vAlign w:val="center"/>
          </w:tcPr>
          <w:p>
            <w:pPr>
              <w:spacing w:after="0" w:line="240"/>
            </w:pPr>
            <w:r>
              <w:rPr>
                <w:sz w:val="19"/>
                <w:szCs w:val="19"/>
              </w:rPr>
              <w:t xml:space="preserve">Ponad 20 minut i zerwane połączenie; po zmianie — 8 minut</w:t>
            </w:r>
          </w:p>
        </w:tc>
      </w:tr>
    </w:tbl>
    <w:p>
      <w:pPr>
        <w:spacing w:after="160"/>
      </w:pPr>
    </w:p>
    <w:p>
      <w:pPr>
        <w:pBdr>
          <w:top w:val="single" w:color="D5DBE0" w:sz="4"/>
          <w:bottom w:val="single" w:color="D5DBE0" w:sz="0"/>
          <w:left w:val="single" w:color="D5DBE0" w:sz="4"/>
          <w:right w:val="single" w:color="D5DBE0" w:sz="4"/>
        </w:pBdr>
        <w:shd w:fill="E8EDF2" w:color="auto" w:val="clear"/>
        <w:spacing w:after="0" w:before="160" w:line="276"/>
        <w:ind w:left="120" w:right="120"/>
      </w:pPr>
      <w:r>
        <w:rPr>
          <w:b/>
          <w:bCs/>
          <w:sz w:val="21"/>
          <w:szCs w:val="21"/>
        </w:rPr>
        <w:t xml:space="preserve">Wniosek metodyczny</w:t>
      </w:r>
    </w:p>
    <w:p>
      <w:pPr>
        <w:pBdr>
          <w:top w:val="single" w:color="D5DBE0" w:sz="0"/>
          <w:bottom w:val="single" w:color="D5DBE0" w:sz="0"/>
          <w:left w:val="single" w:color="D5DBE0" w:sz="4"/>
          <w:right w:val="single" w:color="D5DBE0" w:sz="4"/>
        </w:pBdr>
        <w:shd w:fill="E8EDF2" w:color="auto" w:val="clear"/>
        <w:spacing w:after="60" w:line="276"/>
        <w:ind w:left="120" w:right="120"/>
      </w:pPr>
      <w:r>
        <w:rPr>
          <w:sz w:val="20"/>
          <w:szCs w:val="20"/>
        </w:rPr>
        <w:t xml:space="preserve">Żadnej z tych pięciu usterek nie dało się wykryć na danych testowych. Cztery z nich ujawniają się wyłącznie przy skali, a jedna dopiero po naprawieniu poprzedniej.</w:t>
      </w:r>
    </w:p>
    <w:p>
      <w:pPr>
        <w:pBdr>
          <w:top w:val="single" w:color="D5DBE0" w:sz="0"/>
          <w:bottom w:val="single" w:color="D5DBE0" w:sz="4"/>
          <w:left w:val="single" w:color="D5DBE0" w:sz="4"/>
          <w:right w:val="single" w:color="D5DBE0" w:sz="4"/>
        </w:pBdr>
        <w:shd w:fill="E8EDF2" w:color="auto" w:val="clear"/>
        <w:spacing w:after="0" w:line="276"/>
        <w:ind w:left="120" w:right="120"/>
      </w:pPr>
      <w:r>
        <w:rPr>
          <w:sz w:val="20"/>
          <w:szCs w:val="20"/>
        </w:rPr>
        <w:t xml:space="preserve">Harmonogram wdrożenia musi przewidywać przebieg na komplecie 16 województw przed produkcją — testy na próbkach nie wykrywają ani błędów skali, ani błędów wiązania danych. Cztery województwa to ok. 23% kraju, więc analogiczne niespodzianki przy pozostałych dwunastu są możliwe.</w:t>
      </w:r>
    </w:p>
    <w:p>
      <w:pPr>
        <w:spacing w:after="180"/>
      </w:pPr>
    </w:p>
    <w:p>
      <w:pPr>
        <w:pStyle w:val="Heading2"/>
        <w:spacing w:after="140" w:before="280"/>
      </w:pPr>
      <w:r>
        <w:t xml:space="preserve">8.5. Wydajność przetwarzania</w:t>
      </w:r>
    </w:p>
    <w:p>
      <w:pPr>
        <w:spacing w:after="120" w:line="276"/>
      </w:pPr>
      <w:r>
        <w:rPr>
          <w:sz w:val="21"/>
          <w:szCs w:val="21"/>
        </w:rPr>
        <w:t xml:space="preserve">Pomiary na komputerze przenośnym: 8 rdzeni, przetwarzanie w kontenerach, archiwum na dysku hosta. Na serwerze wyniki będą lepsze, proporcje pozostaną.</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4026"/>
      </w:tblGrid>
      <w:tr>
        <w:trPr>
          <w:tblHeader/>
        </w:trPr>
        <w:tc>
          <w:tcPr>
            <w:tcW w:type="dxa" w:w="5000"/>
            <w:shd w:fill="E8EDF2" w:color="auto" w:val="clear"/>
            <w:tcMar>
              <w:top w:type="dxa" w:w="70"/>
              <w:left w:type="dxa" w:w="110"/>
              <w:bottom w:type="dxa" w:w="70"/>
              <w:right w:type="dxa" w:w="110"/>
            </w:tcMar>
            <w:vAlign w:val="center"/>
          </w:tcPr>
          <w:p>
            <w:pPr>
              <w:spacing w:after="0" w:line="240"/>
            </w:pPr>
            <w:r>
              <w:rPr>
                <w:b/>
                <w:bCs/>
                <w:sz w:val="19"/>
                <w:szCs w:val="19"/>
              </w:rPr>
              <w:t xml:space="preserve">Etap</w:t>
            </w:r>
          </w:p>
        </w:tc>
        <w:tc>
          <w:tcPr>
            <w:tcW w:type="dxa" w:w="4026"/>
            <w:shd w:fill="E8EDF2" w:color="auto" w:val="clear"/>
            <w:tcMar>
              <w:top w:type="dxa" w:w="70"/>
              <w:left w:type="dxa" w:w="110"/>
              <w:bottom w:type="dxa" w:w="70"/>
              <w:right w:type="dxa" w:w="110"/>
            </w:tcMar>
            <w:vAlign w:val="center"/>
          </w:tcPr>
          <w:p>
            <w:pPr>
              <w:spacing w:after="0" w:line="240"/>
            </w:pPr>
            <w:r>
              <w:rPr>
                <w:b/>
                <w:bCs/>
                <w:sz w:val="19"/>
                <w:szCs w:val="19"/>
              </w:rPr>
              <w:t xml:space="preserve">Czas</w:t>
            </w:r>
          </w:p>
        </w:tc>
      </w:tr>
      <w:tr>
        <w:tc>
          <w:tcPr>
            <w:tcW w:type="dxa" w:w="5000"/>
            <w:tcMar>
              <w:top w:type="dxa" w:w="70"/>
              <w:left w:type="dxa" w:w="110"/>
              <w:bottom w:type="dxa" w:w="70"/>
              <w:right w:type="dxa" w:w="110"/>
            </w:tcMar>
            <w:vAlign w:val="center"/>
          </w:tcPr>
          <w:p>
            <w:pPr>
              <w:spacing w:after="0" w:line="240"/>
            </w:pPr>
            <w:r>
              <w:rPr>
                <w:sz w:val="19"/>
                <w:szCs w:val="19"/>
              </w:rPr>
              <w:t xml:space="preserve">Parsowanie punktów adresowych (sam odczyt i odwzorowanie pól)</w:t>
            </w:r>
          </w:p>
        </w:tc>
        <w:tc>
          <w:tcPr>
            <w:tcW w:type="dxa" w:w="4026"/>
            <w:tcMar>
              <w:top w:type="dxa" w:w="70"/>
              <w:left w:type="dxa" w:w="110"/>
              <w:bottom w:type="dxa" w:w="70"/>
              <w:right w:type="dxa" w:w="110"/>
            </w:tcMar>
            <w:vAlign w:val="center"/>
          </w:tcPr>
          <w:p>
            <w:pPr>
              <w:spacing w:after="0" w:line="240"/>
            </w:pPr>
            <w:r>
              <w:rPr>
                <w:sz w:val="19"/>
                <w:szCs w:val="19"/>
              </w:rPr>
              <w:t xml:space="preserve">902 rekordy/s</w:t>
            </w:r>
          </w:p>
        </w:tc>
      </w:tr>
      <w:tr>
        <w:tc>
          <w:tcPr>
            <w:tcW w:type="dxa" w:w="5000"/>
            <w:shd w:fill="F5F7F9" w:color="auto" w:val="clear"/>
            <w:tcMar>
              <w:top w:type="dxa" w:w="70"/>
              <w:left w:type="dxa" w:w="110"/>
              <w:bottom w:type="dxa" w:w="70"/>
              <w:right w:type="dxa" w:w="110"/>
            </w:tcMar>
            <w:vAlign w:val="center"/>
          </w:tcPr>
          <w:p>
            <w:pPr>
              <w:spacing w:after="0" w:line="240"/>
            </w:pPr>
            <w:r>
              <w:rPr>
                <w:sz w:val="19"/>
                <w:szCs w:val="19"/>
              </w:rPr>
              <w:t xml:space="preserve">Parsowanie miejscowości i ulic</w:t>
            </w:r>
          </w:p>
        </w:tc>
        <w:tc>
          <w:tcPr>
            <w:tcW w:type="dxa" w:w="4026"/>
            <w:shd w:fill="F5F7F9" w:color="auto" w:val="clear"/>
            <w:tcMar>
              <w:top w:type="dxa" w:w="70"/>
              <w:left w:type="dxa" w:w="110"/>
              <w:bottom w:type="dxa" w:w="70"/>
              <w:right w:type="dxa" w:w="110"/>
            </w:tcMar>
            <w:vAlign w:val="center"/>
          </w:tcPr>
          <w:p>
            <w:pPr>
              <w:spacing w:after="0" w:line="240"/>
            </w:pPr>
            <w:r>
              <w:rPr>
                <w:sz w:val="19"/>
                <w:szCs w:val="19"/>
              </w:rPr>
              <w:t xml:space="preserve">~460 rekordów/s — więcej pól na rekord</w:t>
            </w:r>
          </w:p>
        </w:tc>
      </w:tr>
      <w:tr>
        <w:tc>
          <w:tcPr>
            <w:tcW w:type="dxa" w:w="5000"/>
            <w:tcMar>
              <w:top w:type="dxa" w:w="70"/>
              <w:left w:type="dxa" w:w="110"/>
              <w:bottom w:type="dxa" w:w="70"/>
              <w:right w:type="dxa" w:w="110"/>
            </w:tcMar>
            <w:vAlign w:val="center"/>
          </w:tcPr>
          <w:p>
            <w:pPr>
              <w:spacing w:after="0" w:line="240"/>
            </w:pPr>
            <w:r>
              <w:rPr>
                <w:sz w:val="19"/>
                <w:szCs w:val="19"/>
              </w:rPr>
              <w:t xml:space="preserve">Wczytanie województwa (1,27 mln punktów) — parsowanie wraz z zasileniem obszaru przejściowego</w:t>
            </w:r>
          </w:p>
        </w:tc>
        <w:tc>
          <w:tcPr>
            <w:tcW w:type="dxa" w:w="4026"/>
            <w:tcMar>
              <w:top w:type="dxa" w:w="70"/>
              <w:left w:type="dxa" w:w="110"/>
              <w:bottom w:type="dxa" w:w="70"/>
              <w:right w:type="dxa" w:w="110"/>
            </w:tcMar>
            <w:vAlign w:val="center"/>
          </w:tcPr>
          <w:p>
            <w:pPr>
              <w:spacing w:after="0" w:line="240"/>
            </w:pPr>
            <w:r>
              <w:rPr>
                <w:sz w:val="19"/>
                <w:szCs w:val="19"/>
              </w:rPr>
              <w:t xml:space="preserve">~38 minut, czyli ok. 557 rekordów/s dla pełnego etapu</w:t>
            </w:r>
          </w:p>
        </w:tc>
      </w:tr>
      <w:tr>
        <w:tc>
          <w:tcPr>
            <w:tcW w:type="dxa" w:w="5000"/>
            <w:shd w:fill="F5F7F9" w:color="auto" w:val="clear"/>
            <w:tcMar>
              <w:top w:type="dxa" w:w="70"/>
              <w:left w:type="dxa" w:w="110"/>
              <w:bottom w:type="dxa" w:w="70"/>
              <w:right w:type="dxa" w:w="110"/>
            </w:tcMar>
            <w:vAlign w:val="center"/>
          </w:tcPr>
          <w:p>
            <w:pPr>
              <w:spacing w:after="0" w:line="240"/>
            </w:pPr>
            <w:r>
              <w:rPr>
                <w:sz w:val="19"/>
                <w:szCs w:val="19"/>
              </w:rPr>
              <w:t xml:space="preserve">Import słowników TERYT (400 tys. rekordów)</w:t>
            </w:r>
          </w:p>
        </w:tc>
        <w:tc>
          <w:tcPr>
            <w:tcW w:type="dxa" w:w="4026"/>
            <w:shd w:fill="F5F7F9" w:color="auto" w:val="clear"/>
            <w:tcMar>
              <w:top w:type="dxa" w:w="70"/>
              <w:left w:type="dxa" w:w="110"/>
              <w:bottom w:type="dxa" w:w="70"/>
              <w:right w:type="dxa" w:w="110"/>
            </w:tcMar>
            <w:vAlign w:val="center"/>
          </w:tcPr>
          <w:p>
            <w:pPr>
              <w:spacing w:after="0" w:line="240"/>
            </w:pPr>
            <w:r>
              <w:rPr>
                <w:sz w:val="19"/>
                <w:szCs w:val="19"/>
              </w:rPr>
              <w:t xml:space="preserve">8 minut</w:t>
            </w:r>
          </w:p>
        </w:tc>
      </w:tr>
      <w:tr>
        <w:tc>
          <w:tcPr>
            <w:tcW w:type="dxa" w:w="5000"/>
            <w:tcMar>
              <w:top w:type="dxa" w:w="70"/>
              <w:left w:type="dxa" w:w="110"/>
              <w:bottom w:type="dxa" w:w="70"/>
              <w:right w:type="dxa" w:w="110"/>
            </w:tcMar>
            <w:vAlign w:val="center"/>
          </w:tcPr>
          <w:p>
            <w:pPr>
              <w:spacing w:after="0" w:line="240"/>
            </w:pPr>
            <w:r>
              <w:rPr>
                <w:sz w:val="19"/>
                <w:szCs w:val="19"/>
              </w:rPr>
              <w:t xml:space="preserve">Publikacja 4 województw</w:t>
            </w:r>
          </w:p>
        </w:tc>
        <w:tc>
          <w:tcPr>
            <w:tcW w:type="dxa" w:w="4026"/>
            <w:tcMar>
              <w:top w:type="dxa" w:w="70"/>
              <w:left w:type="dxa" w:w="110"/>
              <w:bottom w:type="dxa" w:w="70"/>
              <w:right w:type="dxa" w:w="110"/>
            </w:tcMar>
            <w:vAlign w:val="center"/>
          </w:tcPr>
          <w:p>
            <w:pPr>
              <w:spacing w:after="0" w:line="240"/>
            </w:pPr>
            <w:r>
              <w:rPr>
                <w:sz w:val="19"/>
                <w:szCs w:val="19"/>
              </w:rPr>
              <w:t xml:space="preserve">72 minuty</w:t>
            </w:r>
          </w:p>
        </w:tc>
      </w:tr>
      <w:tr>
        <w:tc>
          <w:tcPr>
            <w:tcW w:type="dxa" w:w="5000"/>
            <w:shd w:fill="F5F7F9" w:color="auto" w:val="clear"/>
            <w:tcMar>
              <w:top w:type="dxa" w:w="70"/>
              <w:left w:type="dxa" w:w="110"/>
              <w:bottom w:type="dxa" w:w="70"/>
              <w:right w:type="dxa" w:w="110"/>
            </w:tcMar>
            <w:vAlign w:val="center"/>
          </w:tcPr>
          <w:p>
            <w:pPr>
              <w:spacing w:after="0" w:line="240"/>
            </w:pPr>
            <w:r>
              <w:rPr>
                <w:sz w:val="19"/>
                <w:szCs w:val="19"/>
              </w:rPr>
              <w:t xml:space="preserve">Budowa artefaktu wyszukiwania</w:t>
            </w:r>
          </w:p>
        </w:tc>
        <w:tc>
          <w:tcPr>
            <w:tcW w:type="dxa" w:w="4026"/>
            <w:shd w:fill="F5F7F9" w:color="auto" w:val="clear"/>
            <w:tcMar>
              <w:top w:type="dxa" w:w="70"/>
              <w:left w:type="dxa" w:w="110"/>
              <w:bottom w:type="dxa" w:w="70"/>
              <w:right w:type="dxa" w:w="110"/>
            </w:tcMar>
            <w:vAlign w:val="center"/>
          </w:tcPr>
          <w:p>
            <w:pPr>
              <w:spacing w:after="0" w:line="240"/>
            </w:pPr>
            <w:r>
              <w:rPr>
                <w:sz w:val="19"/>
                <w:szCs w:val="19"/>
              </w:rPr>
              <w:t xml:space="preserve">3,5 minuty</w:t>
            </w:r>
          </w:p>
        </w:tc>
      </w:tr>
    </w:tbl>
    <w:p>
      <w:pPr>
        <w:spacing w:after="160"/>
      </w:pPr>
    </w:p>
    <w:p>
      <w:pPr>
        <w:spacing w:after="120" w:line="276"/>
      </w:pPr>
      <w:r>
        <w:rPr>
          <w:sz w:val="21"/>
          <w:szCs w:val="21"/>
        </w:rPr>
        <w:t xml:space="preserve">Rozróżnienie w pierwszym i trzecim wierszu jest istotne przy planowaniu: 902 rekordy/s to przepustowość samego parsowania, natomiast czas wczytania województwa obejmuje dodatkowo zasilenie obszaru przejściowego i budowę indeksów. Szacunki dla całego kraju należy wyprowadzać z tej drugiej wartości.</w:t>
      </w:r>
    </w:p>
    <w:p>
      <w:pPr>
        <w:spacing w:after="120" w:line="276"/>
      </w:pPr>
      <w:r>
        <w:rPr>
          <w:sz w:val="21"/>
          <w:szCs w:val="21"/>
        </w:rPr>
        <w:t xml:space="preserve">Pełny przebieg dla kraju wychodził na około 4 godziny — istotnie więcej niż wcześniej zakładane 40 minut. Rozbieżność usunięto: pliki wojewódzkie są niezależne, więc przetwarzanie rozdzielono na równoległe procesy.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326"/>
      </w:tblGrid>
      <w:tr>
        <w:trPr>
          <w:tblHeader/>
        </w:trPr>
        <w:tc>
          <w:tcPr>
            <w:tcW w:type="dxa" w:w="2400"/>
            <w:shd w:fill="E8EDF2" w:color="auto" w:val="clear"/>
            <w:tcMar>
              <w:top w:type="dxa" w:w="70"/>
              <w:left w:type="dxa" w:w="110"/>
              <w:bottom w:type="dxa" w:w="70"/>
              <w:right w:type="dxa" w:w="110"/>
            </w:tcMar>
            <w:vAlign w:val="center"/>
          </w:tcPr>
          <w:p>
            <w:pPr>
              <w:spacing w:after="0" w:line="240"/>
            </w:pPr>
            <w:r>
              <w:rPr>
                <w:b/>
                <w:bCs/>
                <w:sz w:val="19"/>
                <w:szCs w:val="19"/>
              </w:rPr>
              <w:t xml:space="preserve">Tryb</w:t>
            </w:r>
          </w:p>
        </w:tc>
        <w:tc>
          <w:tcPr>
            <w:tcW w:type="dxa" w:w="3300"/>
            <w:shd w:fill="E8EDF2" w:color="auto" w:val="clear"/>
            <w:tcMar>
              <w:top w:type="dxa" w:w="70"/>
              <w:left w:type="dxa" w:w="110"/>
              <w:bottom w:type="dxa" w:w="70"/>
              <w:right w:type="dxa" w:w="110"/>
            </w:tcMar>
            <w:vAlign w:val="center"/>
          </w:tcPr>
          <w:p>
            <w:pPr>
              <w:spacing w:after="0" w:line="240"/>
            </w:pPr>
            <w:r>
              <w:rPr>
                <w:b/>
                <w:bCs/>
                <w:sz w:val="19"/>
                <w:szCs w:val="19"/>
              </w:rPr>
              <w:t xml:space="preserve">Przepustowość parsowania</w:t>
            </w:r>
          </w:p>
        </w:tc>
        <w:tc>
          <w:tcPr>
            <w:tcW w:type="dxa" w:w="3326"/>
            <w:shd w:fill="E8EDF2" w:color="auto" w:val="clear"/>
            <w:tcMar>
              <w:top w:type="dxa" w:w="70"/>
              <w:left w:type="dxa" w:w="110"/>
              <w:bottom w:type="dxa" w:w="70"/>
              <w:right w:type="dxa" w:w="110"/>
            </w:tcMar>
            <w:vAlign w:val="center"/>
          </w:tcPr>
          <w:p>
            <w:pPr>
              <w:spacing w:after="0" w:line="240"/>
            </w:pPr>
            <w:r>
              <w:rPr>
                <w:b/>
                <w:bCs/>
                <w:sz w:val="19"/>
                <w:szCs w:val="19"/>
              </w:rPr>
              <w:t xml:space="preserve">Pełny przebieg dla kraju</w:t>
            </w:r>
          </w:p>
        </w:tc>
      </w:tr>
      <w:tr>
        <w:tc>
          <w:tcPr>
            <w:tcW w:type="dxa" w:w="2400"/>
            <w:tcMar>
              <w:top w:type="dxa" w:w="70"/>
              <w:left w:type="dxa" w:w="110"/>
              <w:bottom w:type="dxa" w:w="70"/>
              <w:right w:type="dxa" w:w="110"/>
            </w:tcMar>
            <w:vAlign w:val="center"/>
          </w:tcPr>
          <w:p>
            <w:pPr>
              <w:spacing w:after="0" w:line="240"/>
            </w:pPr>
            <w:r>
              <w:rPr>
                <w:sz w:val="19"/>
                <w:szCs w:val="19"/>
              </w:rPr>
              <w:t xml:space="preserve">Jeden proces</w:t>
            </w:r>
          </w:p>
        </w:tc>
        <w:tc>
          <w:tcPr>
            <w:tcW w:type="dxa" w:w="3300"/>
            <w:tcMar>
              <w:top w:type="dxa" w:w="70"/>
              <w:left w:type="dxa" w:w="110"/>
              <w:bottom w:type="dxa" w:w="70"/>
              <w:right w:type="dxa" w:w="110"/>
            </w:tcMar>
            <w:vAlign w:val="center"/>
          </w:tcPr>
          <w:p>
            <w:pPr>
              <w:spacing w:after="0" w:line="240"/>
            </w:pPr>
            <w:r>
              <w:rPr>
                <w:sz w:val="19"/>
                <w:szCs w:val="19"/>
              </w:rPr>
              <w:t xml:space="preserve">902 rekordy/s</w:t>
            </w:r>
          </w:p>
        </w:tc>
        <w:tc>
          <w:tcPr>
            <w:tcW w:type="dxa" w:w="3326"/>
            <w:tcMar>
              <w:top w:type="dxa" w:w="70"/>
              <w:left w:type="dxa" w:w="110"/>
              <w:bottom w:type="dxa" w:w="70"/>
              <w:right w:type="dxa" w:w="110"/>
            </w:tcMar>
            <w:vAlign w:val="center"/>
          </w:tcPr>
          <w:p>
            <w:pPr>
              <w:spacing w:after="0" w:line="240"/>
            </w:pPr>
            <w:r>
              <w:rPr>
                <w:sz w:val="19"/>
                <w:szCs w:val="19"/>
              </w:rPr>
              <w:t xml:space="preserve">~4 godziny</w:t>
            </w:r>
          </w:p>
        </w:tc>
      </w:tr>
      <w:tr>
        <w:tc>
          <w:tcPr>
            <w:tcW w:type="dxa" w:w="2400"/>
            <w:shd w:fill="F5F7F9" w:color="auto" w:val="clear"/>
            <w:tcMar>
              <w:top w:type="dxa" w:w="70"/>
              <w:left w:type="dxa" w:w="110"/>
              <w:bottom w:type="dxa" w:w="70"/>
              <w:right w:type="dxa" w:w="110"/>
            </w:tcMar>
            <w:vAlign w:val="center"/>
          </w:tcPr>
          <w:p>
            <w:pPr>
              <w:spacing w:after="0" w:line="240"/>
            </w:pPr>
            <w:r>
              <w:rPr>
                <w:sz w:val="19"/>
                <w:szCs w:val="19"/>
              </w:rPr>
              <w:t xml:space="preserve">Cztery procesy</w:t>
            </w:r>
          </w:p>
        </w:tc>
        <w:tc>
          <w:tcPr>
            <w:tcW w:type="dxa" w:w="3300"/>
            <w:shd w:fill="F5F7F9" w:color="auto" w:val="clear"/>
            <w:tcMar>
              <w:top w:type="dxa" w:w="70"/>
              <w:left w:type="dxa" w:w="110"/>
              <w:bottom w:type="dxa" w:w="70"/>
              <w:right w:type="dxa" w:w="110"/>
            </w:tcMar>
            <w:vAlign w:val="center"/>
          </w:tcPr>
          <w:p>
            <w:pPr>
              <w:spacing w:after="0" w:line="240"/>
            </w:pPr>
            <w:r>
              <w:rPr>
                <w:sz w:val="19"/>
                <w:szCs w:val="19"/>
              </w:rPr>
              <w:t xml:space="preserve">3266 rekordów/s — 3,6×</w:t>
            </w:r>
          </w:p>
        </w:tc>
        <w:tc>
          <w:tcPr>
            <w:tcW w:type="dxa" w:w="3326"/>
            <w:shd w:fill="F5F7F9" w:color="auto" w:val="clear"/>
            <w:tcMar>
              <w:top w:type="dxa" w:w="70"/>
              <w:left w:type="dxa" w:w="110"/>
              <w:bottom w:type="dxa" w:w="70"/>
              <w:right w:type="dxa" w:w="110"/>
            </w:tcMar>
            <w:vAlign w:val="center"/>
          </w:tcPr>
          <w:p>
            <w:pPr>
              <w:spacing w:after="0" w:line="240"/>
            </w:pPr>
            <w:r>
              <w:rPr>
                <w:sz w:val="19"/>
                <w:szCs w:val="19"/>
              </w:rPr>
              <w:t xml:space="preserve">~1–1,5 godziny</w:t>
            </w:r>
          </w:p>
        </w:tc>
      </w:tr>
    </w:tbl>
    <w:p>
      <w:pPr>
        <w:spacing w:after="160"/>
      </w:pPr>
    </w:p>
    <w:p>
      <w:pPr>
        <w:spacing w:after="120" w:line="276"/>
      </w:pPr>
      <w:r>
        <w:rPr>
          <w:b/>
          <w:bCs/>
          <w:sz w:val="21"/>
          <w:szCs w:val="21"/>
        </w:rPr>
        <w:t xml:space="preserve">Kosztem jest pamięć: </w:t>
      </w:r>
      <w:r>
        <w:rPr>
          <w:sz w:val="21"/>
          <w:szCs w:val="21"/>
        </w:rPr>
        <w:t xml:space="preserve">około 400 MB na proces. Liczbę procesów dobiera się do pamięci dostępnej dla zadania, nie do liczby rdzeni.</w:t>
      </w:r>
    </w:p>
    <w:p>
      <w:pPr>
        <w:pStyle w:val="Heading2"/>
        <w:spacing w:after="140" w:before="280"/>
      </w:pPr>
      <w:r>
        <w:t xml:space="preserve">8.6. Czasy odpowiedzi na danych rzeczywistych — sprostowanie</w:t>
      </w:r>
    </w:p>
    <w:p>
      <w:pPr>
        <w:spacing w:after="120" w:line="276"/>
      </w:pPr>
      <w:r>
        <w:rPr>
          <w:sz w:val="21"/>
          <w:szCs w:val="21"/>
        </w:rPr>
        <w:t xml:space="preserve">Podane wcześniej 0,49 ms mediany pochodziło ze zbioru syntetycznego. Pomiar na danych rzeczywistych daje inny obraz.</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0"/>
        <w:gridCol w:w="3826"/>
      </w:tblGrid>
      <w:tr>
        <w:trPr>
          <w:tblHeader/>
        </w:trPr>
        <w:tc>
          <w:tcPr>
            <w:tcW w:type="dxa" w:w="5200"/>
            <w:shd w:fill="E8EDF2" w:color="auto" w:val="clear"/>
            <w:tcMar>
              <w:top w:type="dxa" w:w="70"/>
              <w:left w:type="dxa" w:w="110"/>
              <w:bottom w:type="dxa" w:w="70"/>
              <w:right w:type="dxa" w:w="110"/>
            </w:tcMar>
            <w:vAlign w:val="center"/>
          </w:tcPr>
          <w:p>
            <w:pPr>
              <w:spacing w:after="0" w:line="240"/>
            </w:pPr>
            <w:r>
              <w:rPr>
                <w:b/>
                <w:bCs/>
                <w:sz w:val="19"/>
                <w:szCs w:val="19"/>
              </w:rPr>
              <w:t xml:space="preserve">Rodzaj zapytania</w:t>
            </w:r>
          </w:p>
        </w:tc>
        <w:tc>
          <w:tcPr>
            <w:tcW w:type="dxa" w:w="3826"/>
            <w:shd w:fill="E8EDF2" w:color="auto" w:val="clear"/>
            <w:tcMar>
              <w:top w:type="dxa" w:w="70"/>
              <w:left w:type="dxa" w:w="110"/>
              <w:bottom w:type="dxa" w:w="70"/>
              <w:right w:type="dxa" w:w="110"/>
            </w:tcMar>
            <w:vAlign w:val="center"/>
          </w:tcPr>
          <w:p>
            <w:pPr>
              <w:spacing w:after="0" w:line="240"/>
            </w:pPr>
            <w:r>
              <w:rPr>
                <w:b/>
                <w:bCs/>
                <w:sz w:val="19"/>
                <w:szCs w:val="19"/>
              </w:rPr>
              <w:t xml:space="preserve">Czas odpowiedzi</w:t>
            </w:r>
          </w:p>
        </w:tc>
      </w:tr>
      <w:tr>
        <w:tc>
          <w:tcPr>
            <w:tcW w:type="dxa" w:w="5200"/>
            <w:tcMar>
              <w:top w:type="dxa" w:w="70"/>
              <w:left w:type="dxa" w:w="110"/>
              <w:bottom w:type="dxa" w:w="70"/>
              <w:right w:type="dxa" w:w="110"/>
            </w:tcMar>
            <w:vAlign w:val="center"/>
          </w:tcPr>
          <w:p>
            <w:pPr>
              <w:spacing w:after="0" w:line="240"/>
            </w:pPr>
            <w:r>
              <w:rPr>
                <w:sz w:val="19"/>
                <w:szCs w:val="19"/>
              </w:rPr>
              <w:t xml:space="preserve">Nazwa jednoznaczna (Grójecka, Puławska)</w:t>
            </w:r>
          </w:p>
        </w:tc>
        <w:tc>
          <w:tcPr>
            <w:tcW w:type="dxa" w:w="3826"/>
            <w:tcMar>
              <w:top w:type="dxa" w:w="70"/>
              <w:left w:type="dxa" w:w="110"/>
              <w:bottom w:type="dxa" w:w="70"/>
              <w:right w:type="dxa" w:w="110"/>
            </w:tcMar>
            <w:vAlign w:val="center"/>
          </w:tcPr>
          <w:p>
            <w:pPr>
              <w:spacing w:after="0" w:line="240"/>
            </w:pPr>
            <w:r>
              <w:rPr>
                <w:sz w:val="19"/>
                <w:szCs w:val="19"/>
              </w:rPr>
              <w:t xml:space="preserve">0,7–0,8 ms</w:t>
            </w:r>
          </w:p>
        </w:tc>
      </w:tr>
      <w:tr>
        <w:tc>
          <w:tcPr>
            <w:tcW w:type="dxa" w:w="5200"/>
            <w:tcMar>
              <w:top w:type="dxa" w:w="70"/>
              <w:left w:type="dxa" w:w="110"/>
              <w:bottom w:type="dxa" w:w="70"/>
              <w:right w:type="dxa" w:w="110"/>
            </w:tcMar>
            <w:vAlign w:val="center"/>
          </w:tcPr>
          <w:p>
            <w:pPr>
              <w:spacing w:after="0" w:line="240"/>
            </w:pPr>
            <w:r>
              <w:rPr>
                <w:sz w:val="19"/>
                <w:szCs w:val="19"/>
              </w:rPr>
              <w:t xml:space="preserve">Nazwa częsta (Polna, 3 Maja, Krakowska)</w:t>
            </w:r>
          </w:p>
        </w:tc>
        <w:tc>
          <w:tcPr>
            <w:tcW w:type="dxa" w:w="3826"/>
            <w:tcMar>
              <w:top w:type="dxa" w:w="70"/>
              <w:left w:type="dxa" w:w="110"/>
              <w:bottom w:type="dxa" w:w="70"/>
              <w:right w:type="dxa" w:w="110"/>
            </w:tcMar>
            <w:vAlign w:val="center"/>
          </w:tcPr>
          <w:p>
            <w:pPr>
              <w:spacing w:after="0" w:line="240"/>
            </w:pPr>
            <w:r>
              <w:rPr>
                <w:sz w:val="19"/>
                <w:szCs w:val="19"/>
              </w:rPr>
              <w:t xml:space="preserve">2,6–4,8 ms</w:t>
            </w:r>
          </w:p>
        </w:tc>
      </w:tr>
      <w:tr>
        <w:tc>
          <w:tcPr>
            <w:tcW w:type="dxa" w:w="5200"/>
            <w:tcMar>
              <w:top w:type="dxa" w:w="70"/>
              <w:left w:type="dxa" w:w="110"/>
              <w:bottom w:type="dxa" w:w="70"/>
              <w:right w:type="dxa" w:w="110"/>
            </w:tcMar>
            <w:vAlign w:val="center"/>
          </w:tcPr>
          <w:p>
            <w:pPr>
              <w:spacing w:after="0" w:line="240"/>
            </w:pPr>
            <w:r>
              <w:rPr>
                <w:sz w:val="19"/>
                <w:szCs w:val="19"/>
              </w:rPr>
              <w:t xml:space="preserve">Nazwa patronacka (Kościuszki)</w:t>
            </w:r>
          </w:p>
        </w:tc>
        <w:tc>
          <w:tcPr>
            <w:tcW w:type="dxa" w:w="3826"/>
            <w:tcMar>
              <w:top w:type="dxa" w:w="70"/>
              <w:left w:type="dxa" w:w="110"/>
              <w:bottom w:type="dxa" w:w="70"/>
              <w:right w:type="dxa" w:w="110"/>
            </w:tcMar>
            <w:vAlign w:val="center"/>
          </w:tcPr>
          <w:p>
            <w:pPr>
              <w:spacing w:after="0" w:line="240"/>
            </w:pPr>
            <w:r>
              <w:rPr>
                <w:sz w:val="19"/>
                <w:szCs w:val="19"/>
              </w:rPr>
              <w:t xml:space="preserve">14 ms</w:t>
            </w:r>
          </w:p>
        </w:tc>
      </w:tr>
      <w:tr>
        <w:tc>
          <w:tcPr>
            <w:tcW w:type="dxa" w:w="5200"/>
            <w:tcMar>
              <w:top w:type="dxa" w:w="70"/>
              <w:left w:type="dxa" w:w="110"/>
              <w:bottom w:type="dxa" w:w="70"/>
              <w:right w:type="dxa" w:w="110"/>
            </w:tcMar>
            <w:vAlign w:val="center"/>
          </w:tcPr>
          <w:p>
            <w:pPr>
              <w:spacing w:after="0" w:line="240"/>
            </w:pPr>
            <w:r>
              <w:rPr>
                <w:sz w:val="19"/>
                <w:szCs w:val="19"/>
              </w:rPr>
              <w:t xml:space="preserve">Zapytanie z literówką (mickievicza)</w:t>
            </w:r>
          </w:p>
        </w:tc>
        <w:tc>
          <w:tcPr>
            <w:tcW w:type="dxa" w:w="3826"/>
            <w:tcMar>
              <w:top w:type="dxa" w:w="70"/>
              <w:left w:type="dxa" w:w="110"/>
              <w:bottom w:type="dxa" w:w="70"/>
              <w:right w:type="dxa" w:w="110"/>
            </w:tcMar>
            <w:vAlign w:val="center"/>
          </w:tcPr>
          <w:p>
            <w:pPr>
              <w:spacing w:after="0" w:line="240"/>
            </w:pPr>
            <w:r>
              <w:rPr>
                <w:sz w:val="19"/>
                <w:szCs w:val="19"/>
              </w:rPr>
              <w:t xml:space="preserve">27 ms</w:t>
            </w:r>
          </w:p>
        </w:tc>
      </w:tr>
      <w:tr>
        <w:tc>
          <w:tcPr>
            <w:tcW w:type="dxa" w:w="5200"/>
            <w:tcMar>
              <w:top w:type="dxa" w:w="70"/>
              <w:left w:type="dxa" w:w="110"/>
              <w:bottom w:type="dxa" w:w="70"/>
              <w:right w:type="dxa" w:w="110"/>
            </w:tcMar>
            <w:vAlign w:val="center"/>
          </w:tcPr>
          <w:p>
            <w:pPr>
              <w:spacing w:after="0" w:line="240"/>
            </w:pPr>
            <w:r>
              <w:rPr>
                <w:sz w:val="19"/>
                <w:szCs w:val="19"/>
              </w:rPr>
              <w:t xml:space="preserve">Nazwa masowo powtarzalna (Nowa Wieś)</w:t>
            </w:r>
          </w:p>
        </w:tc>
        <w:tc>
          <w:tcPr>
            <w:tcW w:type="dxa" w:w="3826"/>
            <w:tcMar>
              <w:top w:type="dxa" w:w="70"/>
              <w:left w:type="dxa" w:w="110"/>
              <w:bottom w:type="dxa" w:w="70"/>
              <w:right w:type="dxa" w:w="110"/>
            </w:tcMar>
            <w:vAlign w:val="center"/>
          </w:tcPr>
          <w:p>
            <w:pPr>
              <w:spacing w:after="0" w:line="240"/>
            </w:pPr>
            <w:r>
              <w:rPr>
                <w:sz w:val="19"/>
                <w:szCs w:val="19"/>
              </w:rPr>
              <w:t xml:space="preserve">42 ms</w:t>
            </w:r>
          </w:p>
        </w:tc>
      </w:tr>
      <w:tr>
        <w:tc>
          <w:tcPr>
            <w:tcW w:type="dxa" w:w="5200"/>
            <w:shd w:fill="E8EDF2" w:color="auto" w:val="clear"/>
            <w:tcMar>
              <w:top w:type="dxa" w:w="70"/>
              <w:left w:type="dxa" w:w="110"/>
              <w:bottom w:type="dxa" w:w="70"/>
              <w:right w:type="dxa" w:w="110"/>
            </w:tcMar>
            <w:vAlign w:val="center"/>
          </w:tcPr>
          <w:p>
            <w:pPr>
              <w:spacing w:after="0" w:line="240"/>
            </w:pPr>
            <w:r>
              <w:rPr>
                <w:sz w:val="19"/>
                <w:szCs w:val="19"/>
              </w:rPr>
              <w:t xml:space="preserve">Mediana</w:t>
            </w:r>
          </w:p>
        </w:tc>
        <w:tc>
          <w:tcPr>
            <w:tcW w:type="dxa" w:w="3826"/>
            <w:shd w:fill="E8EDF2" w:color="auto" w:val="clear"/>
            <w:tcMar>
              <w:top w:type="dxa" w:w="70"/>
              <w:left w:type="dxa" w:w="110"/>
              <w:bottom w:type="dxa" w:w="70"/>
              <w:right w:type="dxa" w:w="110"/>
            </w:tcMar>
            <w:vAlign w:val="center"/>
          </w:tcPr>
          <w:p>
            <w:pPr>
              <w:spacing w:after="0" w:line="240"/>
            </w:pPr>
            <w:r>
              <w:rPr>
                <w:sz w:val="19"/>
                <w:szCs w:val="19"/>
              </w:rPr>
              <w:t xml:space="preserve">ok. 4 ms</w:t>
            </w:r>
          </w:p>
        </w:tc>
      </w:tr>
    </w:tbl>
    <w:p>
      <w:pPr>
        <w:spacing w:after="160"/>
      </w:pPr>
    </w:p>
    <w:p>
      <w:pPr>
        <w:spacing w:after="120" w:line="276"/>
      </w:pPr>
      <w:r>
        <w:rPr>
          <w:sz w:val="21"/>
          <w:szCs w:val="21"/>
        </w:rPr>
        <w:t xml:space="preserve">Różnica nie wynika z wielkości zbioru, lecz z jego rozkładu: w prawdziwych danych „Nowa Wieś” to setki miejscowości, a nazwy patronackie powtarzają się w tysiącach. Koszt bierze się z liczby kandydatów do uszeregowania.</w:t>
      </w:r>
    </w:p>
    <w:p>
      <w:pPr>
        <w:pBdr>
          <w:top w:val="single" w:color="D5DBE0" w:sz="4"/>
          <w:bottom w:val="single" w:color="D5DBE0" w:sz="0"/>
          <w:left w:val="single" w:color="D5DBE0" w:sz="4"/>
          <w:right w:val="single" w:color="D5DBE0" w:sz="4"/>
        </w:pBdr>
        <w:shd w:fill="E8EDF2" w:color="auto" w:val="clear"/>
        <w:spacing w:after="0" w:before="160" w:line="276"/>
        <w:ind w:left="120" w:right="120"/>
      </w:pPr>
      <w:r>
        <w:rPr>
          <w:b/>
          <w:bCs/>
          <w:sz w:val="21"/>
          <w:szCs w:val="21"/>
        </w:rPr>
        <w:t xml:space="preserve">Co to znaczy dla produktu</w:t>
      </w:r>
    </w:p>
    <w:p>
      <w:pPr>
        <w:pBdr>
          <w:top w:val="single" w:color="D5DBE0" w:sz="0"/>
          <w:bottom w:val="single" w:color="D5DBE0" w:sz="0"/>
          <w:left w:val="single" w:color="D5DBE0" w:sz="4"/>
          <w:right w:val="single" w:color="D5DBE0" w:sz="4"/>
        </w:pBdr>
        <w:shd w:fill="E8EDF2" w:color="auto" w:val="clear"/>
        <w:spacing w:after="60" w:line="276"/>
        <w:ind w:left="120" w:right="120"/>
      </w:pPr>
      <w:r>
        <w:rPr>
          <w:sz w:val="20"/>
          <w:szCs w:val="20"/>
        </w:rPr>
        <w:t xml:space="preserve">Wynik pozostaje bardzo dobry — podpowiedzi są dla użytkownika natychmiastowe, a najgorszy zmierzony przypadek mieści się w typowym budżecie czasu odpowiedzi z dużym zapasem.</w:t>
      </w:r>
    </w:p>
    <w:p>
      <w:pPr>
        <w:pBdr>
          <w:top w:val="single" w:color="D5DBE0" w:sz="0"/>
          <w:bottom w:val="single" w:color="D5DBE0" w:sz="0"/>
          <w:left w:val="single" w:color="D5DBE0" w:sz="4"/>
          <w:right w:val="single" w:color="D5DBE0" w:sz="4"/>
        </w:pBdr>
        <w:shd w:fill="E8EDF2" w:color="auto" w:val="clear"/>
        <w:spacing w:after="60" w:line="276"/>
        <w:ind w:left="120" w:right="120"/>
      </w:pPr>
      <w:r>
        <w:rPr>
          <w:sz w:val="20"/>
          <w:szCs w:val="20"/>
        </w:rPr>
        <w:t xml:space="preserve">Planując wydajność, budżet należy przewidzieć pod nazwy pospolite i zapytania z literówką, nie pod przypadek optymistyczny.</w:t>
      </w:r>
    </w:p>
    <w:p>
      <w:pPr>
        <w:pBdr>
          <w:top w:val="single" w:color="D5DBE0" w:sz="0"/>
          <w:bottom w:val="single" w:color="D5DBE0" w:sz="4"/>
          <w:left w:val="single" w:color="D5DBE0" w:sz="4"/>
          <w:right w:val="single" w:color="D5DBE0" w:sz="4"/>
        </w:pBdr>
        <w:shd w:fill="E8EDF2" w:color="auto" w:val="clear"/>
        <w:spacing w:after="0" w:line="276"/>
        <w:ind w:left="120" w:right="120"/>
      </w:pPr>
      <w:r>
        <w:rPr>
          <w:sz w:val="20"/>
          <w:szCs w:val="20"/>
        </w:rPr>
        <w:t xml:space="preserve">Pomiar wykonano na danych czterech województw. Przy komplecie 16 liczba kandydatów dla nazw pospolitych wzrośnie — ponowny pomiar po pełnym przebiegu jest pozycją w planie prac.</w:t>
      </w:r>
    </w:p>
    <w:p>
      <w:pPr>
        <w:spacing w:after="180"/>
      </w:pPr>
    </w:p>
    <w:p>
      <w:r>
        <w:br w:type="page"/>
      </w:r>
    </w:p>
    <w:p>
      <w:pPr>
        <w:pStyle w:val="Heading1"/>
        <w:spacing w:after="180" w:before="360"/>
      </w:pPr>
      <w:r>
        <w:t xml:space="preserve">9. Warianty rozwiązania</w:t>
      </w:r>
    </w:p>
    <w:p>
      <w:pPr>
        <w:spacing w:after="120" w:line="276"/>
      </w:pPr>
      <w:r>
        <w:rPr>
          <w:sz w:val="21"/>
          <w:szCs w:val="21"/>
        </w:rPr>
        <w:t xml:space="preserve">Poniżej porównano trzy możliwe podejścia. Wariant A jest realizowany i opisany w poprzednich rozdziałach.</w:t>
      </w:r>
    </w:p>
    <w:p>
      <w:pPr>
        <w:pStyle w:val="Heading2"/>
        <w:spacing w:after="140" w:before="280"/>
      </w:pPr>
      <w:r>
        <w:t xml:space="preserve">9.1. Porównanie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42"/>
        <w:gridCol w:w="2242"/>
        <w:gridCol w:w="2242"/>
      </w:tblGrid>
      <w:tr>
        <w:trPr>
          <w:tblHeader/>
        </w:trPr>
        <w:tc>
          <w:tcPr>
            <w:tcW w:type="dxa" w:w="2000"/>
            <w:shd w:fill="E8EDF2" w:color="auto" w:val="clear"/>
            <w:tcMar>
              <w:top w:type="dxa" w:w="70"/>
              <w:left w:type="dxa" w:w="110"/>
              <w:bottom w:type="dxa" w:w="70"/>
              <w:right w:type="dxa" w:w="110"/>
            </w:tcMar>
            <w:vAlign w:val="center"/>
          </w:tcPr>
          <w:p>
            <w:pPr>
              <w:spacing w:after="0" w:line="240"/>
            </w:pPr>
            <w:r>
              <w:rPr>
                <w:b/>
                <w:bCs/>
                <w:sz w:val="19"/>
                <w:szCs w:val="19"/>
              </w:rPr>
              <w:t xml:space="preserve">Kryterium</w:t>
            </w:r>
          </w:p>
        </w:tc>
        <w:tc>
          <w:tcPr>
            <w:tcW w:type="dxa" w:w="2542"/>
            <w:shd w:fill="E8EDF2" w:color="auto" w:val="clear"/>
            <w:tcMar>
              <w:top w:type="dxa" w:w="70"/>
              <w:left w:type="dxa" w:w="110"/>
              <w:bottom w:type="dxa" w:w="70"/>
              <w:right w:type="dxa" w:w="110"/>
            </w:tcMar>
            <w:vAlign w:val="center"/>
          </w:tcPr>
          <w:p>
            <w:pPr>
              <w:spacing w:after="0" w:line="240"/>
            </w:pPr>
            <w:r>
              <w:rPr>
                <w:b/>
                <w:bCs/>
                <w:sz w:val="19"/>
                <w:szCs w:val="19"/>
              </w:rPr>
              <w:t xml:space="preserve">A. Własna baza</w:t>
            </w:r>
          </w:p>
        </w:tc>
        <w:tc>
          <w:tcPr>
            <w:tcW w:type="dxa" w:w="2242"/>
            <w:shd w:fill="E8EDF2" w:color="auto" w:val="clear"/>
            <w:tcMar>
              <w:top w:type="dxa" w:w="70"/>
              <w:left w:type="dxa" w:w="110"/>
              <w:bottom w:type="dxa" w:w="70"/>
              <w:right w:type="dxa" w:w="110"/>
            </w:tcMar>
            <w:vAlign w:val="center"/>
          </w:tcPr>
          <w:p>
            <w:pPr>
              <w:spacing w:after="0" w:line="240"/>
            </w:pPr>
            <w:r>
              <w:rPr>
                <w:b/>
                <w:bCs/>
                <w:sz w:val="19"/>
                <w:szCs w:val="19"/>
              </w:rPr>
              <w:t xml:space="preserve">B. Hybryda</w:t>
            </w:r>
          </w:p>
        </w:tc>
        <w:tc>
          <w:tcPr>
            <w:tcW w:type="dxa" w:w="2242"/>
            <w:shd w:fill="E8EDF2" w:color="auto" w:val="clear"/>
            <w:tcMar>
              <w:top w:type="dxa" w:w="70"/>
              <w:left w:type="dxa" w:w="110"/>
              <w:bottom w:type="dxa" w:w="70"/>
              <w:right w:type="dxa" w:w="110"/>
            </w:tcMar>
            <w:vAlign w:val="center"/>
          </w:tcPr>
          <w:p>
            <w:pPr>
              <w:spacing w:after="0" w:line="240"/>
            </w:pPr>
            <w:r>
              <w:rPr>
                <w:b/>
                <w:bCs/>
                <w:sz w:val="19"/>
                <w:szCs w:val="19"/>
              </w:rPr>
              <w:t xml:space="preserve">C. Zewnętrzne API</w:t>
            </w:r>
          </w:p>
        </w:tc>
      </w:tr>
      <w:tr>
        <w:tc>
          <w:tcPr>
            <w:tcW w:type="dxa" w:w="2000"/>
            <w:tcMar>
              <w:top w:type="dxa" w:w="70"/>
              <w:left w:type="dxa" w:w="110"/>
              <w:bottom w:type="dxa" w:w="70"/>
              <w:right w:type="dxa" w:w="110"/>
            </w:tcMar>
            <w:vAlign w:val="center"/>
          </w:tcPr>
          <w:p>
            <w:pPr>
              <w:spacing w:after="0" w:line="240"/>
            </w:pPr>
            <w:r>
              <w:rPr>
                <w:b/>
                <w:bCs/>
                <w:sz w:val="19"/>
                <w:szCs w:val="19"/>
              </w:rPr>
              <w:t xml:space="preserve">Nakład wdrożeniowy</w:t>
            </w:r>
          </w:p>
        </w:tc>
        <w:tc>
          <w:tcPr>
            <w:tcW w:type="dxa" w:w="2542"/>
            <w:tcMar>
              <w:top w:type="dxa" w:w="70"/>
              <w:left w:type="dxa" w:w="110"/>
              <w:bottom w:type="dxa" w:w="70"/>
              <w:right w:type="dxa" w:w="110"/>
            </w:tcMar>
            <w:vAlign w:val="center"/>
          </w:tcPr>
          <w:p>
            <w:pPr>
              <w:spacing w:after="0" w:line="240"/>
            </w:pPr>
            <w:r>
              <w:rPr>
                <w:b w:val="false"/>
                <w:bCs w:val="false"/>
                <w:sz w:val="19"/>
                <w:szCs w:val="19"/>
              </w:rPr>
              <w:t xml:space="preserve">Wysoki (11–15 tygodni do produkcji, rdzeń już zbudowany)</w:t>
            </w:r>
          </w:p>
        </w:tc>
        <w:tc>
          <w:tcPr>
            <w:tcW w:type="dxa" w:w="2242"/>
            <w:tcMar>
              <w:top w:type="dxa" w:w="70"/>
              <w:left w:type="dxa" w:w="110"/>
              <w:bottom w:type="dxa" w:w="70"/>
              <w:right w:type="dxa" w:w="110"/>
            </w:tcMar>
            <w:vAlign w:val="center"/>
          </w:tcPr>
          <w:p>
            <w:pPr>
              <w:spacing w:after="0" w:line="240"/>
            </w:pPr>
            <w:r>
              <w:rPr>
                <w:b w:val="false"/>
                <w:bCs w:val="false"/>
                <w:sz w:val="19"/>
                <w:szCs w:val="19"/>
              </w:rPr>
              <w:t xml:space="preserve">Średni</w:t>
            </w:r>
          </w:p>
        </w:tc>
        <w:tc>
          <w:tcPr>
            <w:tcW w:type="dxa" w:w="2242"/>
            <w:tcMar>
              <w:top w:type="dxa" w:w="70"/>
              <w:left w:type="dxa" w:w="110"/>
              <w:bottom w:type="dxa" w:w="70"/>
              <w:right w:type="dxa" w:w="110"/>
            </w:tcMar>
            <w:vAlign w:val="center"/>
          </w:tcPr>
          <w:p>
            <w:pPr>
              <w:spacing w:after="0" w:line="240"/>
            </w:pPr>
            <w:r>
              <w:rPr>
                <w:b w:val="false"/>
                <w:bCs w:val="false"/>
                <w:sz w:val="19"/>
                <w:szCs w:val="19"/>
              </w:rPr>
              <w:t xml:space="preserve">Niski (kilka dni)</w:t>
            </w:r>
          </w:p>
        </w:tc>
      </w:tr>
      <w:tr>
        <w:tc>
          <w:tcPr>
            <w:tcW w:type="dxa" w:w="2000"/>
            <w:shd w:fill="F5F7F9" w:color="auto" w:val="clear"/>
            <w:tcMar>
              <w:top w:type="dxa" w:w="70"/>
              <w:left w:type="dxa" w:w="110"/>
              <w:bottom w:type="dxa" w:w="70"/>
              <w:right w:type="dxa" w:w="110"/>
            </w:tcMar>
            <w:vAlign w:val="center"/>
          </w:tcPr>
          <w:p>
            <w:pPr>
              <w:spacing w:after="0" w:line="240"/>
            </w:pPr>
            <w:r>
              <w:rPr>
                <w:b/>
                <w:bCs/>
                <w:sz w:val="19"/>
                <w:szCs w:val="19"/>
              </w:rPr>
              <w:t xml:space="preserve">Koszt bieżący</w:t>
            </w:r>
          </w:p>
        </w:tc>
        <w:tc>
          <w:tcPr>
            <w:tcW w:type="dxa" w:w="2542"/>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Infrastruktura + utrzymanie</w:t>
            </w:r>
          </w:p>
        </w:tc>
        <w:tc>
          <w:tcPr>
            <w:tcW w:type="dxa" w:w="2242"/>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Infrastruktura + opłaty za część ruchu</w:t>
            </w:r>
          </w:p>
        </w:tc>
        <w:tc>
          <w:tcPr>
            <w:tcW w:type="dxa" w:w="2242"/>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Opłata rosnąca liniowo z ruchem</w:t>
            </w:r>
          </w:p>
        </w:tc>
      </w:tr>
      <w:tr>
        <w:tc>
          <w:tcPr>
            <w:tcW w:type="dxa" w:w="2000"/>
            <w:tcMar>
              <w:top w:type="dxa" w:w="70"/>
              <w:left w:type="dxa" w:w="110"/>
              <w:bottom w:type="dxa" w:w="70"/>
              <w:right w:type="dxa" w:w="110"/>
            </w:tcMar>
            <w:vAlign w:val="center"/>
          </w:tcPr>
          <w:p>
            <w:pPr>
              <w:spacing w:after="0" w:line="240"/>
            </w:pPr>
            <w:r>
              <w:rPr>
                <w:b/>
                <w:bCs/>
                <w:sz w:val="19"/>
                <w:szCs w:val="19"/>
              </w:rPr>
              <w:t xml:space="preserve">Uzależnienie od dostawcy</w:t>
            </w:r>
          </w:p>
        </w:tc>
        <w:tc>
          <w:tcPr>
            <w:tcW w:type="dxa" w:w="2542"/>
            <w:tcMar>
              <w:top w:type="dxa" w:w="70"/>
              <w:left w:type="dxa" w:w="110"/>
              <w:bottom w:type="dxa" w:w="70"/>
              <w:right w:type="dxa" w:w="110"/>
            </w:tcMar>
            <w:vAlign w:val="center"/>
          </w:tcPr>
          <w:p>
            <w:pPr>
              <w:spacing w:after="0" w:line="240"/>
            </w:pPr>
            <w:r>
              <w:rPr>
                <w:b w:val="false"/>
                <w:bCs w:val="false"/>
                <w:sz w:val="19"/>
                <w:szCs w:val="19"/>
              </w:rPr>
              <w:t xml:space="preserve">Brak</w:t>
            </w:r>
          </w:p>
        </w:tc>
        <w:tc>
          <w:tcPr>
            <w:tcW w:type="dxa" w:w="2242"/>
            <w:tcMar>
              <w:top w:type="dxa" w:w="70"/>
              <w:left w:type="dxa" w:w="110"/>
              <w:bottom w:type="dxa" w:w="70"/>
              <w:right w:type="dxa" w:w="110"/>
            </w:tcMar>
            <w:vAlign w:val="center"/>
          </w:tcPr>
          <w:p>
            <w:pPr>
              <w:spacing w:after="0" w:line="240"/>
            </w:pPr>
            <w:r>
              <w:rPr>
                <w:b w:val="false"/>
                <w:bCs w:val="false"/>
                <w:sz w:val="19"/>
                <w:szCs w:val="19"/>
              </w:rPr>
              <w:t xml:space="preserve">Częściowe</w:t>
            </w:r>
          </w:p>
        </w:tc>
        <w:tc>
          <w:tcPr>
            <w:tcW w:type="dxa" w:w="2242"/>
            <w:tcMar>
              <w:top w:type="dxa" w:w="70"/>
              <w:left w:type="dxa" w:w="110"/>
              <w:bottom w:type="dxa" w:w="70"/>
              <w:right w:type="dxa" w:w="110"/>
            </w:tcMar>
            <w:vAlign w:val="center"/>
          </w:tcPr>
          <w:p>
            <w:pPr>
              <w:spacing w:after="0" w:line="240"/>
            </w:pPr>
            <w:r>
              <w:rPr>
                <w:b w:val="false"/>
                <w:bCs w:val="false"/>
                <w:sz w:val="19"/>
                <w:szCs w:val="19"/>
              </w:rPr>
              <w:t xml:space="preserve">Pełne</w:t>
            </w:r>
          </w:p>
        </w:tc>
      </w:tr>
      <w:tr>
        <w:tc>
          <w:tcPr>
            <w:tcW w:type="dxa" w:w="2000"/>
            <w:shd w:fill="F5F7F9" w:color="auto" w:val="clear"/>
            <w:tcMar>
              <w:top w:type="dxa" w:w="70"/>
              <w:left w:type="dxa" w:w="110"/>
              <w:bottom w:type="dxa" w:w="70"/>
              <w:right w:type="dxa" w:w="110"/>
            </w:tcMar>
            <w:vAlign w:val="center"/>
          </w:tcPr>
          <w:p>
            <w:pPr>
              <w:spacing w:after="0" w:line="240"/>
            </w:pPr>
            <w:r>
              <w:rPr>
                <w:b/>
                <w:bCs/>
                <w:sz w:val="19"/>
                <w:szCs w:val="19"/>
              </w:rPr>
              <w:t xml:space="preserve">Dane osobowe poza organizacją</w:t>
            </w:r>
          </w:p>
        </w:tc>
        <w:tc>
          <w:tcPr>
            <w:tcW w:type="dxa" w:w="2542"/>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Nie</w:t>
            </w:r>
          </w:p>
        </w:tc>
        <w:tc>
          <w:tcPr>
            <w:tcW w:type="dxa" w:w="2242"/>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Dla części zapytań</w:t>
            </w:r>
          </w:p>
        </w:tc>
        <w:tc>
          <w:tcPr>
            <w:tcW w:type="dxa" w:w="2242"/>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Tak</w:t>
            </w:r>
          </w:p>
        </w:tc>
      </w:tr>
      <w:tr>
        <w:tc>
          <w:tcPr>
            <w:tcW w:type="dxa" w:w="2000"/>
            <w:tcMar>
              <w:top w:type="dxa" w:w="70"/>
              <w:left w:type="dxa" w:w="110"/>
              <w:bottom w:type="dxa" w:w="70"/>
              <w:right w:type="dxa" w:w="110"/>
            </w:tcMar>
            <w:vAlign w:val="center"/>
          </w:tcPr>
          <w:p>
            <w:pPr>
              <w:spacing w:after="0" w:line="240"/>
            </w:pPr>
            <w:r>
              <w:rPr>
                <w:b/>
                <w:bCs/>
                <w:sz w:val="19"/>
                <w:szCs w:val="19"/>
              </w:rPr>
              <w:t xml:space="preserve">Czas odpowiedzi</w:t>
            </w:r>
          </w:p>
        </w:tc>
        <w:tc>
          <w:tcPr>
            <w:tcW w:type="dxa" w:w="2542"/>
            <w:tcMar>
              <w:top w:type="dxa" w:w="70"/>
              <w:left w:type="dxa" w:w="110"/>
              <w:bottom w:type="dxa" w:w="70"/>
              <w:right w:type="dxa" w:w="110"/>
            </w:tcMar>
            <w:vAlign w:val="center"/>
          </w:tcPr>
          <w:p>
            <w:pPr>
              <w:spacing w:after="0" w:line="240"/>
            </w:pPr>
            <w:r>
              <w:rPr>
                <w:b w:val="false"/>
                <w:bCs w:val="false"/>
                <w:sz w:val="19"/>
                <w:szCs w:val="19"/>
              </w:rPr>
              <w:t xml:space="preserve">ok. 4 ms (mediana), do 42 ms dla nazw masowo powtarzalnych — patrz 8.6</w:t>
            </w:r>
          </w:p>
        </w:tc>
        <w:tc>
          <w:tcPr>
            <w:tcW w:type="dxa" w:w="2242"/>
            <w:tcMar>
              <w:top w:type="dxa" w:w="70"/>
              <w:left w:type="dxa" w:w="110"/>
              <w:bottom w:type="dxa" w:w="70"/>
              <w:right w:type="dxa" w:w="110"/>
            </w:tcMar>
            <w:vAlign w:val="center"/>
          </w:tcPr>
          <w:p>
            <w:pPr>
              <w:spacing w:after="0" w:line="240"/>
            </w:pPr>
            <w:r>
              <w:rPr>
                <w:b w:val="false"/>
                <w:bCs w:val="false"/>
                <w:sz w:val="19"/>
                <w:szCs w:val="19"/>
              </w:rPr>
              <w:t xml:space="preserve">ok. 4 ms lokalnie / opóźnienie sieci dla ruchu kierowanego na zewnątrz</w:t>
            </w:r>
          </w:p>
        </w:tc>
        <w:tc>
          <w:tcPr>
            <w:tcW w:type="dxa" w:w="2242"/>
            <w:tcMar>
              <w:top w:type="dxa" w:w="70"/>
              <w:left w:type="dxa" w:w="110"/>
              <w:bottom w:type="dxa" w:w="70"/>
              <w:right w:type="dxa" w:w="110"/>
            </w:tcMar>
            <w:vAlign w:val="center"/>
          </w:tcPr>
          <w:p>
            <w:pPr>
              <w:spacing w:after="0" w:line="240"/>
            </w:pPr>
            <w:r>
              <w:rPr>
                <w:b w:val="false"/>
                <w:bCs w:val="false"/>
                <w:sz w:val="19"/>
                <w:szCs w:val="19"/>
              </w:rPr>
              <w:t xml:space="preserve">Opóźnienie sieci</w:t>
            </w:r>
          </w:p>
        </w:tc>
      </w:tr>
      <w:tr>
        <w:tc>
          <w:tcPr>
            <w:tcW w:type="dxa" w:w="2000"/>
            <w:shd w:fill="F5F7F9" w:color="auto" w:val="clear"/>
            <w:tcMar>
              <w:top w:type="dxa" w:w="70"/>
              <w:left w:type="dxa" w:w="110"/>
              <w:bottom w:type="dxa" w:w="70"/>
              <w:right w:type="dxa" w:w="110"/>
            </w:tcMar>
            <w:vAlign w:val="center"/>
          </w:tcPr>
          <w:p>
            <w:pPr>
              <w:spacing w:after="0" w:line="240"/>
            </w:pPr>
            <w:r>
              <w:rPr>
                <w:b/>
                <w:bCs/>
                <w:sz w:val="19"/>
                <w:szCs w:val="19"/>
              </w:rPr>
              <w:t xml:space="preserve">Identyfikatory rejestrowe</w:t>
            </w:r>
          </w:p>
        </w:tc>
        <w:tc>
          <w:tcPr>
            <w:tcW w:type="dxa" w:w="2542"/>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Tak</w:t>
            </w:r>
          </w:p>
        </w:tc>
        <w:tc>
          <w:tcPr>
            <w:tcW w:type="dxa" w:w="2242"/>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Tak</w:t>
            </w:r>
          </w:p>
        </w:tc>
        <w:tc>
          <w:tcPr>
            <w:tcW w:type="dxa" w:w="2242"/>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Zwykle nie</w:t>
            </w:r>
          </w:p>
        </w:tc>
      </w:tr>
      <w:tr>
        <w:tc>
          <w:tcPr>
            <w:tcW w:type="dxa" w:w="2000"/>
            <w:tcMar>
              <w:top w:type="dxa" w:w="70"/>
              <w:left w:type="dxa" w:w="110"/>
              <w:bottom w:type="dxa" w:w="70"/>
              <w:right w:type="dxa" w:w="110"/>
            </w:tcMar>
            <w:vAlign w:val="center"/>
          </w:tcPr>
          <w:p>
            <w:pPr>
              <w:spacing w:after="0" w:line="240"/>
            </w:pPr>
            <w:r>
              <w:rPr>
                <w:b/>
                <w:bCs/>
                <w:sz w:val="19"/>
                <w:szCs w:val="19"/>
              </w:rPr>
              <w:t xml:space="preserve">Odporność na awarię źródła</w:t>
            </w:r>
          </w:p>
        </w:tc>
        <w:tc>
          <w:tcPr>
            <w:tcW w:type="dxa" w:w="2542"/>
            <w:tcMar>
              <w:top w:type="dxa" w:w="70"/>
              <w:left w:type="dxa" w:w="110"/>
              <w:bottom w:type="dxa" w:w="70"/>
              <w:right w:type="dxa" w:w="110"/>
            </w:tcMar>
            <w:vAlign w:val="center"/>
          </w:tcPr>
          <w:p>
            <w:pPr>
              <w:spacing w:after="0" w:line="240"/>
            </w:pPr>
            <w:r>
              <w:rPr>
                <w:b w:val="false"/>
                <w:bCs w:val="false"/>
                <w:sz w:val="19"/>
                <w:szCs w:val="19"/>
              </w:rPr>
              <w:t xml:space="preserve">Cztery poziomy w projekcie, dwa uruchomione — patrz 7.3</w:t>
            </w:r>
          </w:p>
        </w:tc>
        <w:tc>
          <w:tcPr>
            <w:tcW w:type="dxa" w:w="2242"/>
            <w:tcMar>
              <w:top w:type="dxa" w:w="70"/>
              <w:left w:type="dxa" w:w="110"/>
              <w:bottom w:type="dxa" w:w="70"/>
              <w:right w:type="dxa" w:w="110"/>
            </w:tcMar>
            <w:vAlign w:val="center"/>
          </w:tcPr>
          <w:p>
            <w:pPr>
              <w:spacing w:after="0" w:line="240"/>
            </w:pPr>
            <w:r>
              <w:rPr>
                <w:b w:val="false"/>
                <w:bCs w:val="false"/>
                <w:sz w:val="19"/>
                <w:szCs w:val="19"/>
              </w:rPr>
              <w:t xml:space="preserve">Dwa źródła</w:t>
            </w:r>
          </w:p>
        </w:tc>
        <w:tc>
          <w:tcPr>
            <w:tcW w:type="dxa" w:w="2242"/>
            <w:tcMar>
              <w:top w:type="dxa" w:w="70"/>
              <w:left w:type="dxa" w:w="110"/>
              <w:bottom w:type="dxa" w:w="70"/>
              <w:right w:type="dxa" w:w="110"/>
            </w:tcMar>
            <w:vAlign w:val="center"/>
          </w:tcPr>
          <w:p>
            <w:pPr>
              <w:spacing w:after="0" w:line="240"/>
            </w:pPr>
            <w:r>
              <w:rPr>
                <w:b w:val="false"/>
                <w:bCs w:val="false"/>
                <w:sz w:val="19"/>
                <w:szCs w:val="19"/>
              </w:rPr>
              <w:t xml:space="preserve">Usługa działa nadal, ale dane dostawcy też pochodzą z PRG i przestaną się aktualizować — patrz 3.2</w:t>
            </w:r>
          </w:p>
        </w:tc>
      </w:tr>
      <w:tr>
        <w:tc>
          <w:tcPr>
            <w:tcW w:type="dxa" w:w="2000"/>
            <w:shd w:fill="F5F7F9" w:color="auto" w:val="clear"/>
            <w:tcMar>
              <w:top w:type="dxa" w:w="70"/>
              <w:left w:type="dxa" w:w="110"/>
              <w:bottom w:type="dxa" w:w="70"/>
              <w:right w:type="dxa" w:w="110"/>
            </w:tcMar>
            <w:vAlign w:val="center"/>
          </w:tcPr>
          <w:p>
            <w:pPr>
              <w:spacing w:after="0" w:line="240"/>
            </w:pPr>
            <w:r>
              <w:rPr>
                <w:b/>
                <w:bCs/>
                <w:sz w:val="19"/>
                <w:szCs w:val="19"/>
              </w:rPr>
              <w:t xml:space="preserve">Utrzymanie</w:t>
            </w:r>
          </w:p>
        </w:tc>
        <w:tc>
          <w:tcPr>
            <w:tcW w:type="dxa" w:w="2542"/>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Konieczne, po stronie Zamawiającego</w:t>
            </w:r>
          </w:p>
        </w:tc>
        <w:tc>
          <w:tcPr>
            <w:tcW w:type="dxa" w:w="2242"/>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Konieczne</w:t>
            </w:r>
          </w:p>
        </w:tc>
        <w:tc>
          <w:tcPr>
            <w:tcW w:type="dxa" w:w="2242"/>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Po stronie dostawcy</w:t>
            </w:r>
          </w:p>
        </w:tc>
      </w:tr>
    </w:tbl>
    <w:p>
      <w:pPr>
        <w:spacing w:after="160"/>
      </w:pPr>
    </w:p>
    <w:p>
      <w:pPr>
        <w:pStyle w:val="Heading2"/>
        <w:spacing w:after="140" w:before="280"/>
      </w:pPr>
      <w:r>
        <w:t xml:space="preserve">9.2. Charakterystyka wariantów</w:t>
      </w:r>
    </w:p>
    <w:p>
      <w:pPr>
        <w:pStyle w:val="Heading3"/>
        <w:spacing w:after="110" w:before="220"/>
      </w:pPr>
      <w:r>
        <w:t xml:space="preserve">Wariant A — własna baza (rekomendowany)</w:t>
      </w:r>
    </w:p>
    <w:p>
      <w:pPr>
        <w:spacing w:after="120" w:line="276"/>
      </w:pPr>
      <w:r>
        <w:rPr>
          <w:sz w:val="21"/>
          <w:szCs w:val="21"/>
        </w:rPr>
        <w:t xml:space="preserve">Pełna kontrola nad danymi i wynikami. Koszt danych zerowy, koszt wyłącznie po stronie infrastruktury i utrzymania. Wymaga stałej obserwacji komunikatów instytucji prowadzącej rejestr — zmiana formatu z 1 września 2026 jest tego przykładem. Zapewnia identyfikatory rejestrowe umożliwiające trwałe powiązanie danych między aktualizacjami.</w:t>
      </w:r>
    </w:p>
    <w:p>
      <w:pPr>
        <w:pStyle w:val="Heading3"/>
        <w:spacing w:after="110" w:before="220"/>
      </w:pPr>
      <w:r>
        <w:t xml:space="preserve">Wariant B — hybryda</w:t>
      </w:r>
    </w:p>
    <w:p>
      <w:pPr>
        <w:spacing w:after="120" w:line="276"/>
      </w:pPr>
      <w:r>
        <w:rPr>
          <w:sz w:val="21"/>
          <w:szCs w:val="21"/>
        </w:rPr>
        <w:t xml:space="preserve">Własna baza obsługuje ruch podstawowy, a zapytania niedopasowane kierowane są do zewnętrznego dostawcy. Sensowne jako uzupełnienie wariantu A, gdy istotna jest skuteczność automatycznej korekty danych wprowadzanych ręcznie. Wymaga świadomej decyzji dotyczącej przekazywania danych osobowych poza infrastrukturę Zamawiającego oraz odpowiednich zapisów w rejestrze czynności przetwarzania.</w:t>
      </w:r>
    </w:p>
    <w:p>
      <w:pPr>
        <w:pStyle w:val="Heading3"/>
        <w:spacing w:after="110" w:before="220"/>
      </w:pPr>
      <w:r>
        <w:t xml:space="preserve">Wariant C — wyłącznie zewnętrzne API</w:t>
      </w:r>
    </w:p>
    <w:p>
      <w:pPr>
        <w:spacing w:after="120" w:line="276"/>
      </w:pPr>
      <w:r>
        <w:rPr>
          <w:sz w:val="21"/>
          <w:szCs w:val="21"/>
        </w:rPr>
        <w:t xml:space="preserve">Najszybszy we wdrożeniu. Koszt rośnie liniowo z ruchem, a organizacja nie ma wpływu na cennik ani na dostępność usługi. Nie zapewnia identyfikatorów rejestrowych, co utrudnia utrzymanie spójności danych historycznych. W analizie rynku napotkano również dostawców, których wiarygodności nie udało się potwierdzić — rekomendujemy weryfikację danych rejestrowych operatora przed podpisaniem umowy.</w:t>
      </w:r>
    </w:p>
    <w:p>
      <w:r>
        <w:br w:type="page"/>
      </w:r>
    </w:p>
    <w:p>
      <w:pPr>
        <w:pStyle w:val="Heading1"/>
        <w:spacing w:after="180" w:before="360"/>
      </w:pPr>
      <w:r>
        <w:t xml:space="preserve">10. Plan dalszych prac</w:t>
      </w:r>
    </w:p>
    <w:p>
      <w:pPr>
        <w:spacing w:after="120" w:line="276"/>
      </w:pPr>
      <w:r>
        <w:rPr>
          <w:sz w:val="21"/>
          <w:szCs w:val="21"/>
        </w:rPr>
        <w:t xml:space="preserve">Plan przepisano w wydaniu 1.3. Poprzednia wersja wyceniała pracę już wykonaną i pomijała obszary ujawnione podczas uruchomienia na danych rzeczywistych. Nakłady podano w dniach roboczych jednej osoby.</w:t>
      </w:r>
    </w:p>
    <w:p>
      <w:pPr>
        <w:pStyle w:val="Heading2"/>
        <w:spacing w:after="140" w:before="280"/>
      </w:pPr>
      <w:r>
        <w:t xml:space="preserve">10.1. Pozycje zamknięte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tblHeader/>
        </w:trPr>
        <w:tc>
          <w:tcPr>
            <w:tcW w:type="dxa" w:w="4000"/>
            <w:shd w:fill="E8EDF2" w:color="auto" w:val="clear"/>
            <w:tcMar>
              <w:top w:type="dxa" w:w="70"/>
              <w:left w:type="dxa" w:w="110"/>
              <w:bottom w:type="dxa" w:w="70"/>
              <w:right w:type="dxa" w:w="110"/>
            </w:tcMar>
            <w:vAlign w:val="center"/>
          </w:tcPr>
          <w:p>
            <w:pPr>
              <w:spacing w:after="0" w:line="240"/>
            </w:pPr>
            <w:r>
              <w:rPr>
                <w:b/>
                <w:bCs/>
                <w:sz w:val="19"/>
                <w:szCs w:val="19"/>
              </w:rPr>
              <w:t xml:space="preserve">Pozycja z poprzednich wydań</w:t>
            </w:r>
          </w:p>
        </w:tc>
        <w:tc>
          <w:tcPr>
            <w:tcW w:type="dxa" w:w="5026"/>
            <w:shd w:fill="E8EDF2" w:color="auto" w:val="clear"/>
            <w:tcMar>
              <w:top w:type="dxa" w:w="70"/>
              <w:left w:type="dxa" w:w="110"/>
              <w:bottom w:type="dxa" w:w="70"/>
              <w:right w:type="dxa" w:w="110"/>
            </w:tcMar>
            <w:vAlign w:val="center"/>
          </w:tcPr>
          <w:p>
            <w:pPr>
              <w:spacing w:after="0" w:line="240"/>
            </w:pPr>
            <w:r>
              <w:rPr>
                <w:b/>
                <w:bCs/>
                <w:sz w:val="19"/>
                <w:szCs w:val="19"/>
              </w:rPr>
              <w:t xml:space="preserve">Stan</w:t>
            </w:r>
          </w:p>
        </w:tc>
      </w:tr>
      <w:tr>
        <w:tc>
          <w:tcPr>
            <w:tcW w:type="dxa" w:w="4000"/>
            <w:shd w:fill="EDF5EE" w:color="auto" w:val="clear"/>
            <w:tcMar>
              <w:top w:type="dxa" w:w="70"/>
              <w:left w:type="dxa" w:w="110"/>
              <w:bottom w:type="dxa" w:w="70"/>
              <w:right w:type="dxa" w:w="110"/>
            </w:tcMar>
            <w:vAlign w:val="center"/>
          </w:tcPr>
          <w:p>
            <w:pPr>
              <w:spacing w:after="0" w:line="240"/>
            </w:pPr>
            <w:r>
              <w:rPr>
                <w:sz w:val="19"/>
                <w:szCs w:val="19"/>
              </w:rPr>
              <w:t xml:space="preserve">Archiwizacja danych w dotychczasowej strukturze</w:t>
            </w:r>
          </w:p>
        </w:tc>
        <w:tc>
          <w:tcPr>
            <w:tcW w:type="dxa" w:w="5026"/>
            <w:shd w:fill="EDF5EE" w:color="auto" w:val="clear"/>
            <w:tcMar>
              <w:top w:type="dxa" w:w="70"/>
              <w:left w:type="dxa" w:w="110"/>
              <w:bottom w:type="dxa" w:w="70"/>
              <w:right w:type="dxa" w:w="110"/>
            </w:tcMar>
            <w:vAlign w:val="center"/>
          </w:tcPr>
          <w:p>
            <w:pPr>
              <w:spacing w:after="0" w:line="240"/>
            </w:pPr>
            <w:r>
              <w:rPr>
                <w:sz w:val="19"/>
                <w:szCs w:val="19"/>
              </w:rPr>
              <w:t xml:space="preserve">WYKONANE 6.08.2026 — komplet 16 województw, 1,8 GB, sumy kontrolne</w:t>
            </w:r>
          </w:p>
        </w:tc>
      </w:tr>
      <w:tr>
        <w:tc>
          <w:tcPr>
            <w:tcW w:type="dxa" w:w="4000"/>
            <w:shd w:fill="EDF5EE" w:color="auto" w:val="clear"/>
            <w:tcMar>
              <w:top w:type="dxa" w:w="70"/>
              <w:left w:type="dxa" w:w="110"/>
              <w:bottom w:type="dxa" w:w="70"/>
              <w:right w:type="dxa" w:w="110"/>
            </w:tcMar>
            <w:vAlign w:val="center"/>
          </w:tcPr>
          <w:p>
            <w:pPr>
              <w:spacing w:after="0" w:line="240"/>
            </w:pPr>
            <w:r>
              <w:rPr>
                <w:sz w:val="19"/>
                <w:szCs w:val="19"/>
              </w:rPr>
              <w:t xml:space="preserve">Weryfikacja nowej struktury danych</w:t>
            </w:r>
          </w:p>
        </w:tc>
        <w:tc>
          <w:tcPr>
            <w:tcW w:type="dxa" w:w="5026"/>
            <w:shd w:fill="EDF5EE" w:color="auto" w:val="clear"/>
            <w:tcMar>
              <w:top w:type="dxa" w:w="70"/>
              <w:left w:type="dxa" w:w="110"/>
              <w:bottom w:type="dxa" w:w="70"/>
              <w:right w:type="dxa" w:w="110"/>
            </w:tcMar>
            <w:vAlign w:val="center"/>
          </w:tcPr>
          <w:p>
            <w:pPr>
              <w:spacing w:after="0" w:line="240"/>
            </w:pPr>
            <w:r>
              <w:rPr>
                <w:sz w:val="19"/>
                <w:szCs w:val="19"/>
              </w:rPr>
              <w:t xml:space="preserve">WYKONANE 6.08.2026 — rozpoznanie i odwzorowanie pól potwierdzone na rzeczywistym pliku, zero odrzuconych rekordów</w:t>
            </w:r>
          </w:p>
        </w:tc>
      </w:tr>
      <w:tr>
        <w:tc>
          <w:tcPr>
            <w:tcW w:type="dxa" w:w="4000"/>
            <w:shd w:fill="EDF5EE" w:color="auto" w:val="clear"/>
            <w:tcMar>
              <w:top w:type="dxa" w:w="70"/>
              <w:left w:type="dxa" w:w="110"/>
              <w:bottom w:type="dxa" w:w="70"/>
              <w:right w:type="dxa" w:w="110"/>
            </w:tcMar>
            <w:vAlign w:val="center"/>
          </w:tcPr>
          <w:p>
            <w:pPr>
              <w:spacing w:after="0" w:line="240"/>
            </w:pPr>
            <w:r>
              <w:rPr>
                <w:sz w:val="19"/>
                <w:szCs w:val="19"/>
              </w:rPr>
              <w:t xml:space="preserve">Import słowników TERYT</w:t>
            </w:r>
          </w:p>
        </w:tc>
        <w:tc>
          <w:tcPr>
            <w:tcW w:type="dxa" w:w="5026"/>
            <w:shd w:fill="EDF5EE" w:color="auto" w:val="clear"/>
            <w:tcMar>
              <w:top w:type="dxa" w:w="70"/>
              <w:left w:type="dxa" w:w="110"/>
              <w:bottom w:type="dxa" w:w="70"/>
              <w:right w:type="dxa" w:w="110"/>
            </w:tcMar>
            <w:vAlign w:val="center"/>
          </w:tcPr>
          <w:p>
            <w:pPr>
              <w:spacing w:after="0" w:line="240"/>
            </w:pPr>
            <w:r>
              <w:rPr>
                <w:sz w:val="19"/>
                <w:szCs w:val="19"/>
              </w:rPr>
              <w:t xml:space="preserve">WYKONANE 6.08.2026 — pliki pełne, bez konta w GUS. Zależność od rejestracji w GUS nieaktualna</w:t>
            </w:r>
          </w:p>
        </w:tc>
      </w:tr>
    </w:tbl>
    <w:p>
      <w:pPr>
        <w:spacing w:after="160"/>
      </w:pPr>
    </w:p>
    <w:p>
      <w:pPr>
        <w:pStyle w:val="Heading2"/>
        <w:spacing w:after="140" w:before="280"/>
      </w:pPr>
      <w:r>
        <w:t xml:space="preserve">10.2. Etapy do wykonania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4926"/>
        <w:gridCol w:w="1600"/>
      </w:tblGrid>
      <w:tr>
        <w:trPr>
          <w:tblHeader/>
        </w:trPr>
        <w:tc>
          <w:tcPr>
            <w:tcW w:type="dxa" w:w="2500"/>
            <w:shd w:fill="E8EDF2" w:color="auto" w:val="clear"/>
            <w:tcMar>
              <w:top w:type="dxa" w:w="70"/>
              <w:left w:type="dxa" w:w="110"/>
              <w:bottom w:type="dxa" w:w="70"/>
              <w:right w:type="dxa" w:w="110"/>
            </w:tcMar>
            <w:vAlign w:val="center"/>
          </w:tcPr>
          <w:p>
            <w:pPr>
              <w:spacing w:after="0" w:line="240"/>
            </w:pPr>
            <w:r>
              <w:rPr>
                <w:b/>
                <w:bCs/>
                <w:sz w:val="19"/>
                <w:szCs w:val="19"/>
              </w:rPr>
              <w:t xml:space="preserve">Etap</w:t>
            </w:r>
          </w:p>
        </w:tc>
        <w:tc>
          <w:tcPr>
            <w:tcW w:type="dxa" w:w="4926"/>
            <w:shd w:fill="E8EDF2" w:color="auto" w:val="clear"/>
            <w:tcMar>
              <w:top w:type="dxa" w:w="70"/>
              <w:left w:type="dxa" w:w="110"/>
              <w:bottom w:type="dxa" w:w="70"/>
              <w:right w:type="dxa" w:w="110"/>
            </w:tcMar>
            <w:vAlign w:val="center"/>
          </w:tcPr>
          <w:p>
            <w:pPr>
              <w:spacing w:after="0" w:line="240"/>
            </w:pPr>
            <w:r>
              <w:rPr>
                <w:b/>
                <w:bCs/>
                <w:sz w:val="19"/>
                <w:szCs w:val="19"/>
              </w:rPr>
              <w:t xml:space="preserve">Zakres</w:t>
            </w:r>
          </w:p>
        </w:tc>
        <w:tc>
          <w:tcPr>
            <w:tcW w:type="dxa" w:w="1600"/>
            <w:shd w:fill="E8EDF2" w:color="auto" w:val="clear"/>
            <w:tcMar>
              <w:top w:type="dxa" w:w="70"/>
              <w:left w:type="dxa" w:w="110"/>
              <w:bottom w:type="dxa" w:w="70"/>
              <w:right w:type="dxa" w:w="110"/>
            </w:tcMar>
            <w:vAlign w:val="center"/>
          </w:tcPr>
          <w:p>
            <w:pPr>
              <w:spacing w:after="0" w:line="240"/>
            </w:pPr>
            <w:r>
              <w:rPr>
                <w:b/>
                <w:bCs/>
                <w:sz w:val="19"/>
                <w:szCs w:val="19"/>
              </w:rPr>
              <w:t xml:space="preserve">Nakład</w:t>
            </w:r>
          </w:p>
        </w:tc>
      </w:tr>
      <w:tr>
        <w:tc>
          <w:tcPr>
            <w:tcW w:type="dxa" w:w="2500"/>
            <w:tcMar>
              <w:top w:type="dxa" w:w="70"/>
              <w:left w:type="dxa" w:w="110"/>
              <w:bottom w:type="dxa" w:w="70"/>
              <w:right w:type="dxa" w:w="110"/>
            </w:tcMar>
            <w:vAlign w:val="center"/>
          </w:tcPr>
          <w:p>
            <w:pPr>
              <w:spacing w:after="0" w:line="240"/>
            </w:pPr>
            <w:r>
              <w:rPr>
                <w:sz w:val="19"/>
                <w:szCs w:val="19"/>
              </w:rPr>
              <w:t xml:space="preserve">1. Dokończenie bazy produkcyjnej</w:t>
            </w:r>
          </w:p>
        </w:tc>
        <w:tc>
          <w:tcPr>
            <w:tcW w:type="dxa" w:w="4926"/>
            <w:tcMar>
              <w:top w:type="dxa" w:w="70"/>
              <w:left w:type="dxa" w:w="110"/>
              <w:bottom w:type="dxa" w:w="70"/>
              <w:right w:type="dxa" w:w="110"/>
            </w:tcMar>
            <w:vAlign w:val="center"/>
          </w:tcPr>
          <w:p>
            <w:pPr>
              <w:spacing w:after="0" w:line="240"/>
            </w:pPr>
            <w:r>
              <w:rPr>
                <w:sz w:val="19"/>
                <w:szCs w:val="19"/>
              </w:rPr>
              <w:t xml:space="preserve">Przetworzenie pozostałych 12 województw, publikacja pełnego kraju, artefakt i pomiary na komplecie danych, archiwum poza maszyną, kopie zapasowe bazy z testem odtworzenia</w:t>
            </w:r>
          </w:p>
        </w:tc>
        <w:tc>
          <w:tcPr>
            <w:tcW w:type="dxa" w:w="1600"/>
            <w:tcMar>
              <w:top w:type="dxa" w:w="70"/>
              <w:left w:type="dxa" w:w="110"/>
              <w:bottom w:type="dxa" w:w="70"/>
              <w:right w:type="dxa" w:w="110"/>
            </w:tcMar>
            <w:vAlign w:val="center"/>
          </w:tcPr>
          <w:p>
            <w:pPr>
              <w:spacing w:after="0" w:line="240"/>
            </w:pPr>
            <w:r>
              <w:rPr>
                <w:sz w:val="19"/>
                <w:szCs w:val="19"/>
              </w:rPr>
              <w:t xml:space="preserve">3–4 dni</w:t>
            </w:r>
          </w:p>
        </w:tc>
      </w:tr>
      <w:tr>
        <w:tc>
          <w:tcPr>
            <w:tcW w:type="dxa" w:w="2500"/>
            <w:shd w:fill="F5F7F9" w:color="auto" w:val="clear"/>
            <w:tcMar>
              <w:top w:type="dxa" w:w="70"/>
              <w:left w:type="dxa" w:w="110"/>
              <w:bottom w:type="dxa" w:w="70"/>
              <w:right w:type="dxa" w:w="110"/>
            </w:tcMar>
            <w:vAlign w:val="center"/>
          </w:tcPr>
          <w:p>
            <w:pPr>
              <w:spacing w:after="0" w:line="240"/>
            </w:pPr>
            <w:r>
              <w:rPr>
                <w:sz w:val="19"/>
                <w:szCs w:val="19"/>
              </w:rPr>
              <w:t xml:space="preserve">2. Wydajność i przetwarzanie równoległe</w:t>
            </w:r>
          </w:p>
        </w:tc>
        <w:tc>
          <w:tcPr>
            <w:tcW w:type="dxa" w:w="4926"/>
            <w:shd w:fill="F5F7F9" w:color="auto" w:val="clear"/>
            <w:tcMar>
              <w:top w:type="dxa" w:w="70"/>
              <w:left w:type="dxa" w:w="110"/>
              <w:bottom w:type="dxa" w:w="70"/>
              <w:right w:type="dxa" w:w="110"/>
            </w:tcMar>
            <w:vAlign w:val="center"/>
          </w:tcPr>
          <w:p>
            <w:pPr>
              <w:spacing w:after="0" w:line="240"/>
            </w:pPr>
            <w:r>
              <w:rPr>
                <w:sz w:val="19"/>
                <w:szCs w:val="19"/>
              </w:rPr>
              <w:t xml:space="preserve">Raportowanie postępu, wznawianie przerwanych przebiegów, limit czasu i wykrywanie zawieszenia, strojenie bazy pod ładowanie masowe, testy regresji wydajności</w:t>
            </w:r>
          </w:p>
        </w:tc>
        <w:tc>
          <w:tcPr>
            <w:tcW w:type="dxa" w:w="1600"/>
            <w:shd w:fill="F5F7F9" w:color="auto" w:val="clear"/>
            <w:tcMar>
              <w:top w:type="dxa" w:w="70"/>
              <w:left w:type="dxa" w:w="110"/>
              <w:bottom w:type="dxa" w:w="70"/>
              <w:right w:type="dxa" w:w="110"/>
            </w:tcMar>
            <w:vAlign w:val="center"/>
          </w:tcPr>
          <w:p>
            <w:pPr>
              <w:spacing w:after="0" w:line="240"/>
            </w:pPr>
            <w:r>
              <w:rPr>
                <w:sz w:val="19"/>
                <w:szCs w:val="19"/>
              </w:rPr>
              <w:t xml:space="preserve">6–8 dni</w:t>
            </w:r>
          </w:p>
        </w:tc>
      </w:tr>
      <w:tr>
        <w:tc>
          <w:tcPr>
            <w:tcW w:type="dxa" w:w="2500"/>
            <w:tcMar>
              <w:top w:type="dxa" w:w="70"/>
              <w:left w:type="dxa" w:w="110"/>
              <w:bottom w:type="dxa" w:w="70"/>
              <w:right w:type="dxa" w:w="110"/>
            </w:tcMar>
            <w:vAlign w:val="center"/>
          </w:tcPr>
          <w:p>
            <w:pPr>
              <w:spacing w:after="0" w:line="240"/>
            </w:pPr>
            <w:r>
              <w:rPr>
                <w:sz w:val="19"/>
                <w:szCs w:val="19"/>
              </w:rPr>
              <w:t xml:space="preserve">3. Podział na dwa serwisy</w:t>
            </w:r>
          </w:p>
        </w:tc>
        <w:tc>
          <w:tcPr>
            <w:tcW w:type="dxa" w:w="4926"/>
            <w:tcMar>
              <w:top w:type="dxa" w:w="70"/>
              <w:left w:type="dxa" w:w="110"/>
              <w:bottom w:type="dxa" w:w="70"/>
              <w:right w:type="dxa" w:w="110"/>
            </w:tcMar>
            <w:vAlign w:val="center"/>
          </w:tcPr>
          <w:p>
            <w:pPr>
              <w:spacing w:after="0" w:line="240"/>
            </w:pPr>
            <w:r>
              <w:rPr>
                <w:sz w:val="19"/>
                <w:szCs w:val="19"/>
              </w:rPr>
              <w:t xml:space="preserve">Rozdzielenie ról w bazie, osobne potoki budowania, kontrakt między serwisami, test skalowania poziomego</w:t>
            </w:r>
          </w:p>
        </w:tc>
        <w:tc>
          <w:tcPr>
            <w:tcW w:type="dxa" w:w="1600"/>
            <w:tcMar>
              <w:top w:type="dxa" w:w="70"/>
              <w:left w:type="dxa" w:w="110"/>
              <w:bottom w:type="dxa" w:w="70"/>
              <w:right w:type="dxa" w:w="110"/>
            </w:tcMar>
            <w:vAlign w:val="center"/>
          </w:tcPr>
          <w:p>
            <w:pPr>
              <w:spacing w:after="0" w:line="240"/>
            </w:pPr>
            <w:r>
              <w:rPr>
                <w:sz w:val="19"/>
                <w:szCs w:val="19"/>
              </w:rPr>
              <w:t xml:space="preserve">3–5 dni</w:t>
            </w:r>
          </w:p>
        </w:tc>
      </w:tr>
      <w:tr>
        <w:tc>
          <w:tcPr>
            <w:tcW w:type="dxa" w:w="2500"/>
            <w:shd w:fill="F5F7F9" w:color="auto" w:val="clear"/>
            <w:tcMar>
              <w:top w:type="dxa" w:w="70"/>
              <w:left w:type="dxa" w:w="110"/>
              <w:bottom w:type="dxa" w:w="70"/>
              <w:right w:type="dxa" w:w="110"/>
            </w:tcMar>
            <w:vAlign w:val="center"/>
          </w:tcPr>
          <w:p>
            <w:pPr>
              <w:spacing w:after="0" w:line="240"/>
            </w:pPr>
            <w:r>
              <w:rPr>
                <w:sz w:val="19"/>
                <w:szCs w:val="19"/>
              </w:rPr>
              <w:t xml:space="preserve">4. Wersjonowanie wydań</w:t>
            </w:r>
          </w:p>
        </w:tc>
        <w:tc>
          <w:tcPr>
            <w:tcW w:type="dxa" w:w="4926"/>
            <w:shd w:fill="F5F7F9" w:color="auto" w:val="clear"/>
            <w:tcMar>
              <w:top w:type="dxa" w:w="70"/>
              <w:left w:type="dxa" w:w="110"/>
              <w:bottom w:type="dxa" w:w="70"/>
              <w:right w:type="dxa" w:w="110"/>
            </w:tcMar>
            <w:vAlign w:val="center"/>
          </w:tcPr>
          <w:p>
            <w:pPr>
              <w:spacing w:after="0" w:line="240"/>
            </w:pPr>
            <w:r>
              <w:rPr>
                <w:sz w:val="19"/>
                <w:szCs w:val="19"/>
              </w:rPr>
              <w:t xml:space="preserve">Rejestr wydań, wersja danych w każdej odpowiedzi, procedura wycofania, wydanie kanarkowe, przypięcie klienta do wersji</w:t>
            </w:r>
          </w:p>
        </w:tc>
        <w:tc>
          <w:tcPr>
            <w:tcW w:type="dxa" w:w="1600"/>
            <w:shd w:fill="F5F7F9" w:color="auto" w:val="clear"/>
            <w:tcMar>
              <w:top w:type="dxa" w:w="70"/>
              <w:left w:type="dxa" w:w="110"/>
              <w:bottom w:type="dxa" w:w="70"/>
              <w:right w:type="dxa" w:w="110"/>
            </w:tcMar>
            <w:vAlign w:val="center"/>
          </w:tcPr>
          <w:p>
            <w:pPr>
              <w:spacing w:after="0" w:line="240"/>
            </w:pPr>
            <w:r>
              <w:rPr>
                <w:sz w:val="19"/>
                <w:szCs w:val="19"/>
              </w:rPr>
              <w:t xml:space="preserve">4–5 dni</w:t>
            </w:r>
          </w:p>
        </w:tc>
      </w:tr>
      <w:tr>
        <w:tc>
          <w:tcPr>
            <w:tcW w:type="dxa" w:w="2500"/>
            <w:tcMar>
              <w:top w:type="dxa" w:w="70"/>
              <w:left w:type="dxa" w:w="110"/>
              <w:bottom w:type="dxa" w:w="70"/>
              <w:right w:type="dxa" w:w="110"/>
            </w:tcMar>
            <w:vAlign w:val="center"/>
          </w:tcPr>
          <w:p>
            <w:pPr>
              <w:spacing w:after="0" w:line="240"/>
            </w:pPr>
            <w:r>
              <w:rPr>
                <w:sz w:val="19"/>
                <w:szCs w:val="19"/>
              </w:rPr>
              <w:t xml:space="preserve">5. Audyt zmian i kontrola nadpisywania</w:t>
            </w:r>
          </w:p>
        </w:tc>
        <w:tc>
          <w:tcPr>
            <w:tcW w:type="dxa" w:w="4926"/>
            <w:tcMar>
              <w:top w:type="dxa" w:w="70"/>
              <w:left w:type="dxa" w:w="110"/>
              <w:bottom w:type="dxa" w:w="70"/>
              <w:right w:type="dxa" w:w="110"/>
            </w:tcMar>
            <w:vAlign w:val="center"/>
          </w:tcPr>
          <w:p>
            <w:pPr>
              <w:spacing w:after="0" w:line="240"/>
            </w:pPr>
            <w:r>
              <w:rPr>
                <w:sz w:val="19"/>
                <w:szCs w:val="19"/>
              </w:rPr>
              <w:t xml:space="preserve">Dziennik zmian rekordów, raport różnic między wydaniami, jawne reguły precedencji źródeł, ochrona zmian ręcznych przed nadpisaniem przez automat</w:t>
            </w:r>
          </w:p>
        </w:tc>
        <w:tc>
          <w:tcPr>
            <w:tcW w:type="dxa" w:w="1600"/>
            <w:tcMar>
              <w:top w:type="dxa" w:w="70"/>
              <w:left w:type="dxa" w:w="110"/>
              <w:bottom w:type="dxa" w:w="70"/>
              <w:right w:type="dxa" w:w="110"/>
            </w:tcMar>
            <w:vAlign w:val="center"/>
          </w:tcPr>
          <w:p>
            <w:pPr>
              <w:spacing w:after="0" w:line="240"/>
            </w:pPr>
            <w:r>
              <w:rPr>
                <w:sz w:val="19"/>
                <w:szCs w:val="19"/>
              </w:rPr>
              <w:t xml:space="preserve">5–7 dni</w:t>
            </w:r>
          </w:p>
        </w:tc>
      </w:tr>
      <w:tr>
        <w:tc>
          <w:tcPr>
            <w:tcW w:type="dxa" w:w="2500"/>
            <w:shd w:fill="F5F7F9" w:color="auto" w:val="clear"/>
            <w:tcMar>
              <w:top w:type="dxa" w:w="70"/>
              <w:left w:type="dxa" w:w="110"/>
              <w:bottom w:type="dxa" w:w="70"/>
              <w:right w:type="dxa" w:w="110"/>
            </w:tcMar>
            <w:vAlign w:val="center"/>
          </w:tcPr>
          <w:p>
            <w:pPr>
              <w:spacing w:after="0" w:line="240"/>
            </w:pPr>
            <w:r>
              <w:rPr>
                <w:sz w:val="19"/>
                <w:szCs w:val="19"/>
              </w:rPr>
              <w:t xml:space="preserve">6. Braki blokujące wdrożenie</w:t>
            </w:r>
          </w:p>
        </w:tc>
        <w:tc>
          <w:tcPr>
            <w:tcW w:type="dxa" w:w="4926"/>
            <w:shd w:fill="F5F7F9" w:color="auto" w:val="clear"/>
            <w:tcMar>
              <w:top w:type="dxa" w:w="70"/>
              <w:left w:type="dxa" w:w="110"/>
              <w:bottom w:type="dxa" w:w="70"/>
              <w:right w:type="dxa" w:w="110"/>
            </w:tcMar>
            <w:vAlign w:val="center"/>
          </w:tcPr>
          <w:p>
            <w:pPr>
              <w:spacing w:after="0" w:line="240"/>
            </w:pPr>
            <w:r>
              <w:rPr>
                <w:sz w:val="19"/>
                <w:szCs w:val="19"/>
              </w:rPr>
              <w:t xml:space="preserve">Specyfikacja OpenAPI, retencja i anonimizacja logów zapytań, rejestr czynności przetwarzania, zbiór wzorcowy i testy regresji jakości wyszukiwania, cele dostępności, procedura przy awarii źródła</w:t>
            </w:r>
          </w:p>
        </w:tc>
        <w:tc>
          <w:tcPr>
            <w:tcW w:type="dxa" w:w="1600"/>
            <w:shd w:fill="F5F7F9" w:color="auto" w:val="clear"/>
            <w:tcMar>
              <w:top w:type="dxa" w:w="70"/>
              <w:left w:type="dxa" w:w="110"/>
              <w:bottom w:type="dxa" w:w="70"/>
              <w:right w:type="dxa" w:w="110"/>
            </w:tcMar>
            <w:vAlign w:val="center"/>
          </w:tcPr>
          <w:p>
            <w:pPr>
              <w:spacing w:after="0" w:line="240"/>
            </w:pPr>
            <w:r>
              <w:rPr>
                <w:sz w:val="19"/>
                <w:szCs w:val="19"/>
              </w:rPr>
              <w:t xml:space="preserve">8–10 dni</w:t>
            </w:r>
          </w:p>
        </w:tc>
      </w:tr>
      <w:tr>
        <w:tc>
          <w:tcPr>
            <w:tcW w:type="dxa" w:w="2500"/>
            <w:tcMar>
              <w:top w:type="dxa" w:w="70"/>
              <w:left w:type="dxa" w:w="110"/>
              <w:bottom w:type="dxa" w:w="70"/>
              <w:right w:type="dxa" w:w="110"/>
            </w:tcMar>
            <w:vAlign w:val="center"/>
          </w:tcPr>
          <w:p>
            <w:pPr>
              <w:spacing w:after="0" w:line="240"/>
            </w:pPr>
            <w:r>
              <w:rPr>
                <w:sz w:val="19"/>
                <w:szCs w:val="19"/>
              </w:rPr>
              <w:t xml:space="preserve">7. Monitorowanie i obserwowalność</w:t>
            </w:r>
          </w:p>
        </w:tc>
        <w:tc>
          <w:tcPr>
            <w:tcW w:type="dxa" w:w="4926"/>
            <w:tcMar>
              <w:top w:type="dxa" w:w="70"/>
              <w:left w:type="dxa" w:w="110"/>
              <w:bottom w:type="dxa" w:w="70"/>
              <w:right w:type="dxa" w:w="110"/>
            </w:tcMar>
            <w:vAlign w:val="center"/>
          </w:tcPr>
          <w:p>
            <w:pPr>
              <w:spacing w:after="0" w:line="240"/>
            </w:pPr>
            <w:r>
              <w:rPr>
                <w:sz w:val="19"/>
                <w:szCs w:val="19"/>
              </w:rPr>
              <w:t xml:space="preserve">Odbiorca metryk i alertów, pulpit operacyjny, alerty dla usługi, sonda syntetyczna, centralne logi, zasady eskalacji</w:t>
            </w:r>
          </w:p>
        </w:tc>
        <w:tc>
          <w:tcPr>
            <w:tcW w:type="dxa" w:w="1600"/>
            <w:tcMar>
              <w:top w:type="dxa" w:w="70"/>
              <w:left w:type="dxa" w:w="110"/>
              <w:bottom w:type="dxa" w:w="70"/>
              <w:right w:type="dxa" w:w="110"/>
            </w:tcMar>
            <w:vAlign w:val="center"/>
          </w:tcPr>
          <w:p>
            <w:pPr>
              <w:spacing w:after="0" w:line="240"/>
            </w:pPr>
            <w:r>
              <w:rPr>
                <w:sz w:val="19"/>
                <w:szCs w:val="19"/>
              </w:rPr>
              <w:t xml:space="preserve">6–8 dni</w:t>
            </w:r>
          </w:p>
        </w:tc>
      </w:tr>
      <w:tr>
        <w:tc>
          <w:tcPr>
            <w:tcW w:type="dxa" w:w="2500"/>
            <w:shd w:fill="F5F7F9" w:color="auto" w:val="clear"/>
            <w:tcMar>
              <w:top w:type="dxa" w:w="70"/>
              <w:left w:type="dxa" w:w="110"/>
              <w:bottom w:type="dxa" w:w="70"/>
              <w:right w:type="dxa" w:w="110"/>
            </w:tcMar>
            <w:vAlign w:val="center"/>
          </w:tcPr>
          <w:p>
            <w:pPr>
              <w:spacing w:after="0" w:line="240"/>
            </w:pPr>
            <w:r>
              <w:rPr>
                <w:sz w:val="19"/>
                <w:szCs w:val="19"/>
              </w:rPr>
              <w:t xml:space="preserve">8. Komercjalizacja</w:t>
            </w:r>
          </w:p>
        </w:tc>
        <w:tc>
          <w:tcPr>
            <w:tcW w:type="dxa" w:w="4926"/>
            <w:shd w:fill="F5F7F9" w:color="auto" w:val="clear"/>
            <w:tcMar>
              <w:top w:type="dxa" w:w="70"/>
              <w:left w:type="dxa" w:w="110"/>
              <w:bottom w:type="dxa" w:w="70"/>
              <w:right w:type="dxa" w:w="110"/>
            </w:tcMar>
            <w:vAlign w:val="center"/>
          </w:tcPr>
          <w:p>
            <w:pPr>
              <w:spacing w:after="0" w:line="240"/>
            </w:pPr>
            <w:r>
              <w:rPr>
                <w:sz w:val="19"/>
                <w:szCs w:val="19"/>
              </w:rPr>
              <w:t xml:space="preserve">Klucze API z licencjami i limitami per klient, model wielodostępności, kopie zapasowe na osobną maszynę z cotygodniowym testem odtworzenia</w:t>
            </w:r>
          </w:p>
        </w:tc>
        <w:tc>
          <w:tcPr>
            <w:tcW w:type="dxa" w:w="1600"/>
            <w:shd w:fill="F5F7F9" w:color="auto" w:val="clear"/>
            <w:tcMar>
              <w:top w:type="dxa" w:w="70"/>
              <w:left w:type="dxa" w:w="110"/>
              <w:bottom w:type="dxa" w:w="70"/>
              <w:right w:type="dxa" w:w="110"/>
            </w:tcMar>
            <w:vAlign w:val="center"/>
          </w:tcPr>
          <w:p>
            <w:pPr>
              <w:spacing w:after="0" w:line="240"/>
            </w:pPr>
            <w:r>
              <w:rPr>
                <w:sz w:val="19"/>
                <w:szCs w:val="19"/>
              </w:rPr>
              <w:t xml:space="preserve">18–24 dni</w:t>
            </w:r>
          </w:p>
        </w:tc>
      </w:tr>
      <w:tr>
        <w:tc>
          <w:tcPr>
            <w:tcW w:type="dxa" w:w="2500"/>
            <w:tcMar>
              <w:top w:type="dxa" w:w="70"/>
              <w:left w:type="dxa" w:w="110"/>
              <w:bottom w:type="dxa" w:w="70"/>
              <w:right w:type="dxa" w:w="110"/>
            </w:tcMar>
            <w:vAlign w:val="center"/>
          </w:tcPr>
          <w:p>
            <w:pPr>
              <w:spacing w:after="0" w:line="240"/>
            </w:pPr>
            <w:r>
              <w:rPr>
                <w:sz w:val="19"/>
                <w:szCs w:val="19"/>
              </w:rPr>
              <w:t xml:space="preserve">Narzędzie do migracji bazy (poza etapami)</w:t>
            </w:r>
          </w:p>
        </w:tc>
        <w:tc>
          <w:tcPr>
            <w:tcW w:type="dxa" w:w="4926"/>
            <w:tcMar>
              <w:top w:type="dxa" w:w="70"/>
              <w:left w:type="dxa" w:w="110"/>
              <w:bottom w:type="dxa" w:w="70"/>
              <w:right w:type="dxa" w:w="110"/>
            </w:tcMar>
            <w:vAlign w:val="center"/>
          </w:tcPr>
          <w:p>
            <w:pPr>
              <w:spacing w:after="0" w:line="240"/>
            </w:pPr>
            <w:r>
              <w:rPr>
                <w:sz w:val="19"/>
                <w:szCs w:val="19"/>
              </w:rPr>
              <w:t xml:space="preserve">Wersjonowanie schematu z rejestrem zastosowanych migracji</w:t>
            </w:r>
          </w:p>
        </w:tc>
        <w:tc>
          <w:tcPr>
            <w:tcW w:type="dxa" w:w="1600"/>
            <w:tcMar>
              <w:top w:type="dxa" w:w="70"/>
              <w:left w:type="dxa" w:w="110"/>
              <w:bottom w:type="dxa" w:w="70"/>
              <w:right w:type="dxa" w:w="110"/>
            </w:tcMar>
            <w:vAlign w:val="center"/>
          </w:tcPr>
          <w:p>
            <w:pPr>
              <w:spacing w:after="0" w:line="240"/>
            </w:pPr>
            <w:r>
              <w:rPr>
                <w:sz w:val="19"/>
                <w:szCs w:val="19"/>
              </w:rPr>
              <w:t xml:space="preserve">1,5 dnia</w:t>
            </w:r>
          </w:p>
        </w:tc>
      </w:tr>
    </w:tbl>
    <w:p>
      <w:pPr>
        <w:spacing w:after="160"/>
      </w:pPr>
    </w:p>
    <w:p>
      <w:pPr>
        <w:spacing w:after="120" w:line="276"/>
      </w:pPr>
      <w:r>
        <w:rPr>
          <w:sz w:val="21"/>
          <w:szCs w:val="21"/>
        </w:rPr>
        <w:t xml:space="preserve">Łącznie 55–73 dni roboczych, czyli około 11–15 tygodni pracy jednej osoby na sam back-end. Panel administracyjny i interfejs użytkownika doliczane osobno.</w:t>
      </w:r>
    </w:p>
    <w:p>
      <w:pPr>
        <w:pBdr>
          <w:top w:val="single" w:color="D5DBE0" w:sz="4"/>
          <w:bottom w:val="single" w:color="D5DBE0" w:sz="0"/>
          <w:left w:val="single" w:color="D5DBE0" w:sz="4"/>
          <w:right w:val="single" w:color="D5DBE0" w:sz="4"/>
        </w:pBdr>
        <w:shd w:fill="E8EDF2" w:color="auto" w:val="clear"/>
        <w:spacing w:after="0" w:before="160" w:line="276"/>
        <w:ind w:left="120" w:right="120"/>
      </w:pPr>
      <w:r>
        <w:rPr>
          <w:b/>
          <w:bCs/>
          <w:sz w:val="21"/>
          <w:szCs w:val="21"/>
        </w:rPr>
        <w:t xml:space="preserve">Co można odłożyć, a czego nie</w:t>
      </w:r>
    </w:p>
    <w:p>
      <w:pPr>
        <w:pBdr>
          <w:top w:val="single" w:color="D5DBE0" w:sz="0"/>
          <w:bottom w:val="single" w:color="D5DBE0" w:sz="0"/>
          <w:left w:val="single" w:color="D5DBE0" w:sz="4"/>
          <w:right w:val="single" w:color="D5DBE0" w:sz="4"/>
        </w:pBdr>
        <w:shd w:fill="E8EDF2" w:color="auto" w:val="clear"/>
        <w:spacing w:after="60" w:line="276"/>
        <w:ind w:left="120" w:right="120"/>
      </w:pPr>
      <w:r>
        <w:rPr>
          <w:sz w:val="20"/>
          <w:szCs w:val="20"/>
        </w:rPr>
        <w:t xml:space="preserve">Etap 8 w całości dotyczy komercjalizacji. Jeśli nie jest ona celem pierwszego wdrożenia, można go odłożyć — z jednym wyjątkiem: doraźne zamknięcie luki w limitowaniu zapytań (0,25 dnia) należy wykonać niezależnie, bo dziś zabezpieczenie tylko pozornie działa.</w:t>
      </w:r>
    </w:p>
    <w:p>
      <w:pPr>
        <w:pBdr>
          <w:top w:val="single" w:color="D5DBE0" w:sz="0"/>
          <w:bottom w:val="single" w:color="D5DBE0" w:sz="0"/>
          <w:left w:val="single" w:color="D5DBE0" w:sz="4"/>
          <w:right w:val="single" w:color="D5DBE0" w:sz="4"/>
        </w:pBdr>
        <w:shd w:fill="E8EDF2" w:color="auto" w:val="clear"/>
        <w:spacing w:after="60" w:line="276"/>
        <w:ind w:left="120" w:right="120"/>
      </w:pPr>
      <w:r>
        <w:rPr>
          <w:sz w:val="20"/>
          <w:szCs w:val="20"/>
        </w:rPr>
        <w:t xml:space="preserve">Etapy 4 i 5 muszą poprzedzać prace nad panelem administracyjnym — bez rejestru wydań i dziennika zmian nie ma czym zarządzać.</w:t>
      </w:r>
    </w:p>
    <w:p>
      <w:pPr>
        <w:pBdr>
          <w:top w:val="single" w:color="D5DBE0" w:sz="0"/>
          <w:bottom w:val="single" w:color="D5DBE0" w:sz="0"/>
          <w:left w:val="single" w:color="D5DBE0" w:sz="4"/>
          <w:right w:val="single" w:color="D5DBE0" w:sz="4"/>
        </w:pBdr>
        <w:shd w:fill="E8EDF2" w:color="auto" w:val="clear"/>
        <w:spacing w:after="60" w:line="276"/>
        <w:ind w:left="120" w:right="120"/>
      </w:pPr>
      <w:r>
        <w:rPr>
          <w:sz w:val="20"/>
          <w:szCs w:val="20"/>
        </w:rPr>
        <w:t xml:space="preserve">Z etapu 7 warto wykonać wcześnie dwie pierwsze pozycje (odbiorca metryk i pulpit operacyjny, ok. 3 dni). Zaczynają się zwracać już w trakcie etapów 1 i 2, bo dziś przebieg przetwarzania jest nieprzejrzysty.</w:t>
      </w:r>
    </w:p>
    <w:p>
      <w:pPr>
        <w:pBdr>
          <w:top w:val="single" w:color="D5DBE0" w:sz="0"/>
          <w:bottom w:val="single" w:color="D5DBE0" w:sz="4"/>
          <w:left w:val="single" w:color="D5DBE0" w:sz="4"/>
          <w:right w:val="single" w:color="D5DBE0" w:sz="4"/>
        </w:pBdr>
        <w:shd w:fill="E8EDF2" w:color="auto" w:val="clear"/>
        <w:spacing w:after="0" w:line="276"/>
        <w:ind w:left="120" w:right="120"/>
      </w:pPr>
      <w:r>
        <w:rPr>
          <w:sz w:val="20"/>
          <w:szCs w:val="20"/>
        </w:rPr>
        <w:t xml:space="preserve">Etap 2 przed etapem 3, żeby nie przenosić problemów wydajnościowych do nowej struktury.</w:t>
      </w:r>
    </w:p>
    <w:p>
      <w:pPr>
        <w:spacing w:after="180"/>
      </w:pPr>
    </w:p>
    <w:p>
      <w:pPr>
        <w:pStyle w:val="Heading2"/>
        <w:spacing w:after="140" w:before="280"/>
      </w:pPr>
      <w:r>
        <w:t xml:space="preserve">10.3. Zagadnienia otwarte</w:t>
      </w:r>
    </w:p>
    <w:p>
      <w:pPr>
        <w:spacing w:after="120" w:line="276"/>
      </w:pPr>
      <w:r>
        <w:rPr>
          <w:sz w:val="21"/>
          <w:szCs w:val="21"/>
        </w:rPr>
        <w:t xml:space="preserve">Poniższe kwestie wymagają potwierdzenia empirycznego lub decyzji poza zespołem wdrożeniowym. Żadna nie zagraża przyjętej architekturze.</w:t>
      </w:r>
    </w:p>
    <w:p>
      <w:pPr>
        <w:pStyle w:val="ListParagraph"/>
        <w:numPr>
          <w:ilvl w:val="0"/>
          <w:numId w:val="2"/>
        </w:numPr>
        <w:spacing w:after="80" w:line="276"/>
      </w:pPr>
      <w:r>
        <w:rPr>
          <w:b/>
          <w:bCs/>
          <w:sz w:val="21"/>
          <w:szCs w:val="21"/>
        </w:rPr>
        <w:t xml:space="preserve">ROZSTRZYGNIĘTE 6.08.2026: </w:t>
      </w:r>
      <w:r>
        <w:rPr>
          <w:sz w:val="21"/>
          <w:szCs w:val="21"/>
        </w:rPr>
        <w:t xml:space="preserve">serwer nie zwraca ani ETag, ani Last-Modified dla żadnego z 16 województw. Tani sondaż jest niemożliwy — obowiązuje harmonogram tygodniowy i porównywanie sumy kontrolnej pobranego pliku. Mechanizm jest już wbudowany.</w:t>
      </w:r>
    </w:p>
    <w:p>
      <w:pPr>
        <w:pStyle w:val="ListParagraph"/>
        <w:numPr>
          <w:ilvl w:val="0"/>
          <w:numId w:val="2"/>
        </w:numPr>
        <w:spacing w:after="80" w:line="276"/>
      </w:pPr>
      <w:r>
        <w:rPr>
          <w:b/>
          <w:bCs/>
          <w:sz w:val="21"/>
          <w:szCs w:val="21"/>
        </w:rPr>
        <w:t xml:space="preserve">ROZSTRZYGNIĘTE 6.08.2026: </w:t>
      </w:r>
      <w:r>
        <w:rPr>
          <w:sz w:val="21"/>
          <w:szCs w:val="21"/>
        </w:rPr>
        <w:t xml:space="preserve">nowa struktura zachowuje wersjonowanie obiektów, więc wykrywanie zmian może opierać się na wersjach, a nie wyłącznie na sumach kontrolnych.</w:t>
      </w:r>
    </w:p>
    <w:p>
      <w:pPr>
        <w:pStyle w:val="ListParagraph"/>
        <w:numPr>
          <w:ilvl w:val="0"/>
          <w:numId w:val="2"/>
        </w:numPr>
        <w:spacing w:after="80" w:line="276"/>
      </w:pPr>
      <w:r>
        <w:rPr>
          <w:b/>
          <w:bCs/>
          <w:sz w:val="21"/>
          <w:szCs w:val="21"/>
        </w:rPr>
        <w:t xml:space="preserve">CZĘŚCIOWO ROZSTRZYGNIĘTE 6.08.2026: </w:t>
      </w:r>
      <w:r>
        <w:rPr>
          <w:sz w:val="21"/>
          <w:szCs w:val="21"/>
        </w:rPr>
        <w:t xml:space="preserve">pliki w nowej strukturze z paczki sierpniowej zostały pobrane i przetworzone, więc nazewnictwo jest znane empirycznie. Pozostaje potwierdzenie, że nie zmieni się po wycofaniu struktury dotychczasowej 1 września.</w:t>
      </w:r>
    </w:p>
    <w:p>
      <w:pPr>
        <w:pStyle w:val="ListParagraph"/>
        <w:numPr>
          <w:ilvl w:val="0"/>
          <w:numId w:val="2"/>
        </w:numPr>
        <w:spacing w:after="80" w:line="276"/>
      </w:pPr>
      <w:r>
        <w:rPr>
          <w:b/>
          <w:bCs/>
          <w:sz w:val="21"/>
          <w:szCs w:val="21"/>
        </w:rPr>
        <w:t xml:space="preserve">OTWARTE: </w:t>
      </w:r>
      <w:r>
        <w:rPr>
          <w:sz w:val="21"/>
          <w:szCs w:val="21"/>
        </w:rPr>
        <w:t xml:space="preserve">warunki licencyjne źródła iMPA — wymagane wystąpienie pisemne do podmiotu prowadzącego. Blokuje poziom 2 odporności na awarię źródła.</w:t>
      </w:r>
    </w:p>
    <w:p>
      <w:pPr>
        <w:pStyle w:val="ListParagraph"/>
        <w:numPr>
          <w:ilvl w:val="0"/>
          <w:numId w:val="2"/>
        </w:numPr>
        <w:spacing w:after="80" w:line="276"/>
      </w:pPr>
      <w:r>
        <w:rPr>
          <w:b/>
          <w:bCs/>
          <w:sz w:val="21"/>
          <w:szCs w:val="21"/>
        </w:rPr>
        <w:t xml:space="preserve">OTWARTE: </w:t>
      </w:r>
      <w:r>
        <w:rPr>
          <w:sz w:val="21"/>
          <w:szCs w:val="21"/>
        </w:rPr>
        <w:t xml:space="preserve">czy mikroserwis ma zachować połączenie z bazą danych. Dziś potrzebuje go do numerów budynków, kodów pocztowych i geokodowania odwrotnego. Włączenie tych danych do artefaktu uniezależniłoby go całkowicie, ale powiększa artefakt i wydłuża budowę — wymaga oszacowania w etapie 3.</w:t>
      </w:r>
    </w:p>
    <w:p>
      <w:pPr>
        <w:pStyle w:val="Heading2"/>
        <w:spacing w:after="140" w:before="280"/>
      </w:pPr>
      <w:r>
        <w:t xml:space="preserve">10.4. Rozstrzygnięcia technologiczne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426"/>
      </w:tblGrid>
      <w:tr>
        <w:trPr>
          <w:tblHeader/>
        </w:trPr>
        <w:tc>
          <w:tcPr>
            <w:tcW w:type="dxa" w:w="2000"/>
            <w:shd w:fill="E8EDF2" w:color="auto" w:val="clear"/>
            <w:tcMar>
              <w:top w:type="dxa" w:w="70"/>
              <w:left w:type="dxa" w:w="110"/>
              <w:bottom w:type="dxa" w:w="70"/>
              <w:right w:type="dxa" w:w="110"/>
            </w:tcMar>
            <w:vAlign w:val="center"/>
          </w:tcPr>
          <w:p>
            <w:pPr>
              <w:spacing w:after="0" w:line="240"/>
            </w:pPr>
            <w:r>
              <w:rPr>
                <w:b/>
                <w:bCs/>
                <w:sz w:val="19"/>
                <w:szCs w:val="19"/>
              </w:rPr>
              <w:t xml:space="preserve">Pytanie</w:t>
            </w:r>
          </w:p>
        </w:tc>
        <w:tc>
          <w:tcPr>
            <w:tcW w:type="dxa" w:w="2600"/>
            <w:shd w:fill="E8EDF2" w:color="auto" w:val="clear"/>
            <w:tcMar>
              <w:top w:type="dxa" w:w="70"/>
              <w:left w:type="dxa" w:w="110"/>
              <w:bottom w:type="dxa" w:w="70"/>
              <w:right w:type="dxa" w:w="110"/>
            </w:tcMar>
            <w:vAlign w:val="center"/>
          </w:tcPr>
          <w:p>
            <w:pPr>
              <w:spacing w:after="0" w:line="240"/>
            </w:pPr>
            <w:r>
              <w:rPr>
                <w:b/>
                <w:bCs/>
                <w:sz w:val="19"/>
                <w:szCs w:val="19"/>
              </w:rPr>
              <w:t xml:space="preserve">Rozstrzygnięcie</w:t>
            </w:r>
          </w:p>
        </w:tc>
        <w:tc>
          <w:tcPr>
            <w:tcW w:type="dxa" w:w="4426"/>
            <w:shd w:fill="E8EDF2" w:color="auto" w:val="clear"/>
            <w:tcMar>
              <w:top w:type="dxa" w:w="70"/>
              <w:left w:type="dxa" w:w="110"/>
              <w:bottom w:type="dxa" w:w="70"/>
              <w:right w:type="dxa" w:w="110"/>
            </w:tcMar>
            <w:vAlign w:val="center"/>
          </w:tcPr>
          <w:p>
            <w:pPr>
              <w:spacing w:after="0" w:line="240"/>
            </w:pPr>
            <w:r>
              <w:rPr>
                <w:b/>
                <w:bCs/>
                <w:sz w:val="19"/>
                <w:szCs w:val="19"/>
              </w:rPr>
              <w:t xml:space="preserve">Uzasadnienie</w:t>
            </w:r>
          </w:p>
        </w:tc>
      </w:tr>
      <w:tr>
        <w:tc>
          <w:tcPr>
            <w:tcW w:type="dxa" w:w="2000"/>
            <w:tcMar>
              <w:top w:type="dxa" w:w="70"/>
              <w:left w:type="dxa" w:w="110"/>
              <w:bottom w:type="dxa" w:w="70"/>
              <w:right w:type="dxa" w:w="110"/>
            </w:tcMar>
            <w:vAlign w:val="center"/>
          </w:tcPr>
          <w:p>
            <w:pPr>
              <w:spacing w:after="0" w:line="240"/>
            </w:pPr>
            <w:r>
              <w:rPr>
                <w:sz w:val="19"/>
                <w:szCs w:val="19"/>
              </w:rPr>
              <w:t xml:space="preserve">Framework serwisu danych</w:t>
            </w:r>
          </w:p>
        </w:tc>
        <w:tc>
          <w:tcPr>
            <w:tcW w:type="dxa" w:w="2600"/>
            <w:tcMar>
              <w:top w:type="dxa" w:w="70"/>
              <w:left w:type="dxa" w:w="110"/>
              <w:bottom w:type="dxa" w:w="70"/>
              <w:right w:type="dxa" w:w="110"/>
            </w:tcMar>
            <w:vAlign w:val="center"/>
          </w:tcPr>
          <w:p>
            <w:pPr>
              <w:spacing w:after="0" w:line="240"/>
            </w:pPr>
            <w:r>
              <w:rPr>
                <w:sz w:val="19"/>
                <w:szCs w:val="19"/>
              </w:rPr>
              <w:t xml:space="preserve">Zostaje Fastify</w:t>
            </w:r>
          </w:p>
        </w:tc>
        <w:tc>
          <w:tcPr>
            <w:tcW w:type="dxa" w:w="4426"/>
            <w:tcMar>
              <w:top w:type="dxa" w:w="70"/>
              <w:left w:type="dxa" w:w="110"/>
              <w:bottom w:type="dxa" w:w="70"/>
              <w:right w:type="dxa" w:w="110"/>
            </w:tcMar>
            <w:vAlign w:val="center"/>
          </w:tcPr>
          <w:p>
            <w:pPr>
              <w:spacing w:after="0" w:line="240"/>
            </w:pPr>
            <w:r>
              <w:rPr>
                <w:sz w:val="19"/>
                <w:szCs w:val="19"/>
              </w:rPr>
              <w:t xml:space="preserve">Serwis to 11 punktów końcowych bezstanowych, w których liczy się czas odpowiedzi. Projekt działa bez kroku kompilacji; przejście na framework oparty na dekoratorach odwróciłoby tę decyzję bez zysku</w:t>
            </w:r>
          </w:p>
        </w:tc>
      </w:tr>
      <w:tr>
        <w:tc>
          <w:tcPr>
            <w:tcW w:type="dxa" w:w="2000"/>
            <w:shd w:fill="F5F7F9" w:color="auto" w:val="clear"/>
            <w:tcMar>
              <w:top w:type="dxa" w:w="70"/>
              <w:left w:type="dxa" w:w="110"/>
              <w:bottom w:type="dxa" w:w="70"/>
              <w:right w:type="dxa" w:w="110"/>
            </w:tcMar>
            <w:vAlign w:val="center"/>
          </w:tcPr>
          <w:p>
            <w:pPr>
              <w:spacing w:after="0" w:line="240"/>
            </w:pPr>
            <w:r>
              <w:rPr>
                <w:sz w:val="19"/>
                <w:szCs w:val="19"/>
              </w:rPr>
              <w:t xml:space="preserve">Framework serwisu administracyjnego</w:t>
            </w:r>
          </w:p>
        </w:tc>
        <w:tc>
          <w:tcPr>
            <w:tcW w:type="dxa" w:w="2600"/>
            <w:shd w:fill="F5F7F9" w:color="auto" w:val="clear"/>
            <w:tcMar>
              <w:top w:type="dxa" w:w="70"/>
              <w:left w:type="dxa" w:w="110"/>
              <w:bottom w:type="dxa" w:w="70"/>
              <w:right w:type="dxa" w:w="110"/>
            </w:tcMar>
            <w:vAlign w:val="center"/>
          </w:tcPr>
          <w:p>
            <w:pPr>
              <w:spacing w:after="0" w:line="240"/>
            </w:pPr>
            <w:r>
              <w:rPr>
                <w:sz w:val="19"/>
                <w:szCs w:val="19"/>
              </w:rPr>
              <w:t xml:space="preserve">Kandydat: NestJS</w:t>
            </w:r>
          </w:p>
        </w:tc>
        <w:tc>
          <w:tcPr>
            <w:tcW w:type="dxa" w:w="4426"/>
            <w:shd w:fill="F5F7F9" w:color="auto" w:val="clear"/>
            <w:tcMar>
              <w:top w:type="dxa" w:w="70"/>
              <w:left w:type="dxa" w:w="110"/>
              <w:bottom w:type="dxa" w:w="70"/>
              <w:right w:type="dxa" w:w="110"/>
            </w:tcMar>
            <w:vAlign w:val="center"/>
          </w:tcPr>
          <w:p>
            <w:pPr>
              <w:spacing w:after="0" w:line="240"/>
            </w:pPr>
            <w:r>
              <w:rPr>
                <w:sz w:val="19"/>
                <w:szCs w:val="19"/>
              </w:rPr>
              <w:t xml:space="preserve">Autoryzacja, role, walidacja wejścia i generowanie kontraktu przydają się tam, gdzie jest ich dużo, a ruch administracyjny jest znikomy, więc narzut nie ma znaczenia</w:t>
            </w:r>
          </w:p>
        </w:tc>
      </w:tr>
      <w:tr>
        <w:tc>
          <w:tcPr>
            <w:tcW w:type="dxa" w:w="2000"/>
            <w:tcMar>
              <w:top w:type="dxa" w:w="70"/>
              <w:left w:type="dxa" w:w="110"/>
              <w:bottom w:type="dxa" w:w="70"/>
              <w:right w:type="dxa" w:w="110"/>
            </w:tcMar>
            <w:vAlign w:val="center"/>
          </w:tcPr>
          <w:p>
            <w:pPr>
              <w:spacing w:after="0" w:line="240"/>
            </w:pPr>
            <w:r>
              <w:rPr>
                <w:sz w:val="19"/>
                <w:szCs w:val="19"/>
              </w:rPr>
              <w:t xml:space="preserve">Mapowanie obiektowo-relacyjne (ORM)</w:t>
            </w:r>
          </w:p>
        </w:tc>
        <w:tc>
          <w:tcPr>
            <w:tcW w:type="dxa" w:w="2600"/>
            <w:tcMar>
              <w:top w:type="dxa" w:w="70"/>
              <w:left w:type="dxa" w:w="110"/>
              <w:bottom w:type="dxa" w:w="70"/>
              <w:right w:type="dxa" w:w="110"/>
            </w:tcMar>
            <w:vAlign w:val="center"/>
          </w:tcPr>
          <w:p>
            <w:pPr>
              <w:spacing w:after="0" w:line="240"/>
            </w:pPr>
            <w:r>
              <w:rPr>
                <w:sz w:val="19"/>
                <w:szCs w:val="19"/>
              </w:rPr>
              <w:t xml:space="preserve">Nie w przetwarzaniu i w serwisie danych</w:t>
            </w:r>
          </w:p>
        </w:tc>
        <w:tc>
          <w:tcPr>
            <w:tcW w:type="dxa" w:w="4426"/>
            <w:tcMar>
              <w:top w:type="dxa" w:w="70"/>
              <w:left w:type="dxa" w:w="110"/>
              <w:bottom w:type="dxa" w:w="70"/>
              <w:right w:type="dxa" w:w="110"/>
            </w:tcMar>
            <w:vAlign w:val="center"/>
          </w:tcPr>
          <w:p>
            <w:pPr>
              <w:spacing w:after="0" w:line="240"/>
            </w:pPr>
            <w:r>
              <w:rPr>
                <w:sz w:val="19"/>
                <w:szCs w:val="19"/>
              </w:rPr>
              <w:t xml:space="preserve">Przetwarzanie opiera się na ładowaniu masowym, a zapytania serwisu są strojone pod konkretne indeksy, w tym przestrzenne. Ewentualnie w części administracyjnej — wtedy narzędzie leżące blisko SQL</w:t>
            </w:r>
          </w:p>
        </w:tc>
      </w:tr>
      <w:tr>
        <w:tc>
          <w:tcPr>
            <w:tcW w:type="dxa" w:w="2000"/>
            <w:shd w:fill="F5F7F9" w:color="auto" w:val="clear"/>
            <w:tcMar>
              <w:top w:type="dxa" w:w="70"/>
              <w:left w:type="dxa" w:w="110"/>
              <w:bottom w:type="dxa" w:w="70"/>
              <w:right w:type="dxa" w:w="110"/>
            </w:tcMar>
            <w:vAlign w:val="center"/>
          </w:tcPr>
          <w:p>
            <w:pPr>
              <w:spacing w:after="0" w:line="240"/>
            </w:pPr>
            <w:r>
              <w:rPr>
                <w:sz w:val="19"/>
                <w:szCs w:val="19"/>
              </w:rPr>
              <w:t xml:space="preserve">Wersjonowanie schematu bazy</w:t>
            </w:r>
          </w:p>
        </w:tc>
        <w:tc>
          <w:tcPr>
            <w:tcW w:type="dxa" w:w="2600"/>
            <w:shd w:fill="F5F7F9" w:color="auto" w:val="clear"/>
            <w:tcMar>
              <w:top w:type="dxa" w:w="70"/>
              <w:left w:type="dxa" w:w="110"/>
              <w:bottom w:type="dxa" w:w="70"/>
              <w:right w:type="dxa" w:w="110"/>
            </w:tcMar>
            <w:vAlign w:val="center"/>
          </w:tcPr>
          <w:p>
            <w:pPr>
              <w:spacing w:after="0" w:line="240"/>
            </w:pPr>
            <w:r>
              <w:rPr>
                <w:sz w:val="19"/>
                <w:szCs w:val="19"/>
              </w:rPr>
              <w:t xml:space="preserve">Wymagane, dziś brak</w:t>
            </w:r>
          </w:p>
        </w:tc>
        <w:tc>
          <w:tcPr>
            <w:tcW w:type="dxa" w:w="4426"/>
            <w:shd w:fill="F5F7F9" w:color="auto" w:val="clear"/>
            <w:tcMar>
              <w:top w:type="dxa" w:w="70"/>
              <w:left w:type="dxa" w:w="110"/>
              <w:bottom w:type="dxa" w:w="70"/>
              <w:right w:type="dxa" w:w="110"/>
            </w:tcMar>
            <w:vAlign w:val="center"/>
          </w:tcPr>
          <w:p>
            <w:pPr>
              <w:spacing w:after="0" w:line="240"/>
            </w:pPr>
            <w:r>
              <w:rPr>
                <w:sz w:val="19"/>
                <w:szCs w:val="19"/>
              </w:rPr>
              <w:t xml:space="preserve">Migracje wykonują się wyłącznie przy inicjalizacji kontenera bazy, a poprawki trzeba wgrywać ręcznie. Jest to kruche i wpływa na procedurę odtwarzania z kopii zapasowej</w:t>
            </w:r>
          </w:p>
        </w:tc>
      </w:tr>
    </w:tbl>
    <w:p>
      <w:r>
        <w:br w:type="page"/>
      </w:r>
    </w:p>
    <w:p>
      <w:pPr>
        <w:pStyle w:val="Heading1"/>
        <w:spacing w:after="180" w:before="360"/>
      </w:pPr>
      <w:r>
        <w:t xml:space="preserve">11. Decyzje wymagane od Zamawiającego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400"/>
        <w:gridCol w:w="1500"/>
        <w:gridCol w:w="2826"/>
      </w:tblGrid>
      <w:tr>
        <w:trPr>
          <w:tblHeader/>
        </w:trPr>
        <w:tc>
          <w:tcPr>
            <w:tcW w:type="dxa" w:w="2300"/>
            <w:shd w:fill="E8EDF2" w:color="auto" w:val="clear"/>
            <w:tcMar>
              <w:top w:type="dxa" w:w="70"/>
              <w:left w:type="dxa" w:w="110"/>
              <w:bottom w:type="dxa" w:w="70"/>
              <w:right w:type="dxa" w:w="110"/>
            </w:tcMar>
            <w:vAlign w:val="center"/>
          </w:tcPr>
          <w:p>
            <w:pPr>
              <w:spacing w:after="0" w:line="240"/>
            </w:pPr>
            <w:r>
              <w:rPr>
                <w:b/>
                <w:bCs/>
                <w:sz w:val="19"/>
                <w:szCs w:val="19"/>
              </w:rPr>
              <w:t xml:space="preserve">Decyzja</w:t>
            </w:r>
          </w:p>
        </w:tc>
        <w:tc>
          <w:tcPr>
            <w:tcW w:type="dxa" w:w="2400"/>
            <w:shd w:fill="E8EDF2" w:color="auto" w:val="clear"/>
            <w:tcMar>
              <w:top w:type="dxa" w:w="70"/>
              <w:left w:type="dxa" w:w="110"/>
              <w:bottom w:type="dxa" w:w="70"/>
              <w:right w:type="dxa" w:w="110"/>
            </w:tcMar>
            <w:vAlign w:val="center"/>
          </w:tcPr>
          <w:p>
            <w:pPr>
              <w:spacing w:after="0" w:line="240"/>
            </w:pPr>
            <w:r>
              <w:rPr>
                <w:b/>
                <w:bCs/>
                <w:sz w:val="19"/>
                <w:szCs w:val="19"/>
              </w:rPr>
              <w:t xml:space="preserve">Rekomendacja</w:t>
            </w:r>
          </w:p>
        </w:tc>
        <w:tc>
          <w:tcPr>
            <w:tcW w:type="dxa" w:w="1500"/>
            <w:shd w:fill="E8EDF2" w:color="auto" w:val="clear"/>
            <w:tcMar>
              <w:top w:type="dxa" w:w="70"/>
              <w:left w:type="dxa" w:w="110"/>
              <w:bottom w:type="dxa" w:w="70"/>
              <w:right w:type="dxa" w:w="110"/>
            </w:tcMar>
            <w:vAlign w:val="center"/>
          </w:tcPr>
          <w:p>
            <w:pPr>
              <w:spacing w:after="0" w:line="240"/>
            </w:pPr>
            <w:r>
              <w:rPr>
                <w:b/>
                <w:bCs/>
                <w:sz w:val="19"/>
                <w:szCs w:val="19"/>
              </w:rPr>
              <w:t xml:space="preserve">Termin</w:t>
            </w:r>
          </w:p>
        </w:tc>
        <w:tc>
          <w:tcPr>
            <w:tcW w:type="dxa" w:w="2826"/>
            <w:shd w:fill="E8EDF2" w:color="auto" w:val="clear"/>
            <w:tcMar>
              <w:top w:type="dxa" w:w="70"/>
              <w:left w:type="dxa" w:w="110"/>
              <w:bottom w:type="dxa" w:w="70"/>
              <w:right w:type="dxa" w:w="110"/>
            </w:tcMar>
            <w:vAlign w:val="center"/>
          </w:tcPr>
          <w:p>
            <w:pPr>
              <w:spacing w:after="0" w:line="240"/>
            </w:pPr>
            <w:r>
              <w:rPr>
                <w:b/>
                <w:bCs/>
                <w:sz w:val="19"/>
                <w:szCs w:val="19"/>
              </w:rPr>
              <w:t xml:space="preserve">Konsekwencja zaniechania</w:t>
            </w:r>
          </w:p>
        </w:tc>
      </w:tr>
      <w:tr>
        <w:tc>
          <w:tcPr>
            <w:tcW w:type="dxa" w:w="2300"/>
            <w:tcMar>
              <w:top w:type="dxa" w:w="70"/>
              <w:left w:type="dxa" w:w="110"/>
              <w:bottom w:type="dxa" w:w="70"/>
              <w:right w:type="dxa" w:w="110"/>
            </w:tcMar>
            <w:vAlign w:val="center"/>
          </w:tcPr>
          <w:p>
            <w:pPr>
              <w:spacing w:after="0" w:line="240"/>
            </w:pPr>
            <w:r>
              <w:rPr>
                <w:b/>
                <w:bCs/>
                <w:sz w:val="19"/>
                <w:szCs w:val="19"/>
              </w:rPr>
              <w:t xml:space="preserve">Archiwizacja danych w dotychczasowej strukturze</w:t>
            </w:r>
          </w:p>
        </w:tc>
        <w:tc>
          <w:tcPr>
            <w:tcW w:type="dxa" w:w="2400"/>
            <w:tcMar>
              <w:top w:type="dxa" w:w="70"/>
              <w:left w:type="dxa" w:w="110"/>
              <w:bottom w:type="dxa" w:w="70"/>
              <w:right w:type="dxa" w:w="110"/>
            </w:tcMar>
            <w:vAlign w:val="center"/>
          </w:tcPr>
          <w:p>
            <w:pPr>
              <w:spacing w:after="0" w:line="240"/>
            </w:pPr>
            <w:r>
              <w:rPr>
                <w:b w:val="false"/>
                <w:bCs w:val="false"/>
                <w:sz w:val="19"/>
                <w:szCs w:val="19"/>
              </w:rPr>
              <w:t xml:space="preserve">WYKONANE 6.08.2026</w:t>
            </w:r>
          </w:p>
        </w:tc>
        <w:tc>
          <w:tcPr>
            <w:tcW w:type="dxa" w:w="1500"/>
            <w:tcMar>
              <w:top w:type="dxa" w:w="70"/>
              <w:left w:type="dxa" w:w="110"/>
              <w:bottom w:type="dxa" w:w="70"/>
              <w:right w:type="dxa" w:w="110"/>
            </w:tcMar>
            <w:vAlign w:val="center"/>
          </w:tcPr>
          <w:p>
            <w:pPr>
              <w:spacing w:after="0" w:line="240"/>
            </w:pPr>
            <w:r>
              <w:rPr>
                <w:b w:val="false"/>
                <w:bCs w:val="false"/>
                <w:sz w:val="19"/>
                <w:szCs w:val="19"/>
              </w:rPr>
              <w:t xml:space="preserve">Zamknięte</w:t>
            </w:r>
          </w:p>
        </w:tc>
        <w:tc>
          <w:tcPr>
            <w:tcW w:type="dxa" w:w="2826"/>
            <w:tcMar>
              <w:top w:type="dxa" w:w="70"/>
              <w:left w:type="dxa" w:w="110"/>
              <w:bottom w:type="dxa" w:w="70"/>
              <w:right w:type="dxa" w:w="110"/>
            </w:tcMar>
            <w:vAlign w:val="center"/>
          </w:tcPr>
          <w:p>
            <w:pPr>
              <w:spacing w:after="0" w:line="240"/>
            </w:pPr>
            <w:r>
              <w:rPr>
                <w:b w:val="false"/>
                <w:bCs w:val="false"/>
                <w:sz w:val="19"/>
                <w:szCs w:val="19"/>
              </w:rPr>
              <w:t xml:space="preserve">Bezpowrotna utrata statusu budynku, numeru lokalu i przynależności administracyjnej</w:t>
            </w:r>
          </w:p>
        </w:tc>
      </w:tr>
      <w:tr>
        <w:tc>
          <w:tcPr>
            <w:tcW w:type="dxa" w:w="2300"/>
            <w:shd w:fill="F5F7F9" w:color="auto" w:val="clear"/>
            <w:tcMar>
              <w:top w:type="dxa" w:w="70"/>
              <w:left w:type="dxa" w:w="110"/>
              <w:bottom w:type="dxa" w:w="70"/>
              <w:right w:type="dxa" w:w="110"/>
            </w:tcMar>
            <w:vAlign w:val="center"/>
          </w:tcPr>
          <w:p>
            <w:pPr>
              <w:spacing w:after="0" w:line="240"/>
            </w:pPr>
            <w:r>
              <w:rPr>
                <w:b/>
                <w:bCs/>
                <w:sz w:val="19"/>
                <w:szCs w:val="19"/>
              </w:rPr>
              <w:t xml:space="preserve">Wyniesienie archiwum i kopii zapasowych poza maszynę roboczą</w:t>
            </w:r>
          </w:p>
        </w:tc>
        <w:tc>
          <w:tcPr>
            <w:tcW w:type="dxa" w:w="2400"/>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Wykonać niezwłocznie</w:t>
            </w:r>
          </w:p>
        </w:tc>
        <w:tc>
          <w:tcPr>
            <w:tcW w:type="dxa" w:w="1500"/>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Najbliższe tygodnie</w:t>
            </w:r>
          </w:p>
        </w:tc>
        <w:tc>
          <w:tcPr>
            <w:tcW w:type="dxa" w:w="2826"/>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Awaria dysku oznacza bezpowrotną utratę zrzutu w strukturze sprzed 1.09.2026, którego nie da się odtworzyć</w:t>
            </w:r>
          </w:p>
        </w:tc>
      </w:tr>
      <w:tr>
        <w:tc>
          <w:tcPr>
            <w:tcW w:type="dxa" w:w="2300"/>
            <w:tcMar>
              <w:top w:type="dxa" w:w="70"/>
              <w:left w:type="dxa" w:w="110"/>
              <w:bottom w:type="dxa" w:w="70"/>
              <w:right w:type="dxa" w:w="110"/>
            </w:tcMar>
            <w:vAlign w:val="center"/>
          </w:tcPr>
          <w:p>
            <w:pPr>
              <w:spacing w:after="0" w:line="240"/>
            </w:pPr>
            <w:r>
              <w:rPr>
                <w:b/>
                <w:bCs/>
                <w:sz w:val="19"/>
                <w:szCs w:val="19"/>
              </w:rPr>
              <w:t xml:space="preserve">Doraźne zamknięcie luki w limitowaniu zapytań</w:t>
            </w:r>
          </w:p>
        </w:tc>
        <w:tc>
          <w:tcPr>
            <w:tcW w:type="dxa" w:w="2400"/>
            <w:tcMar>
              <w:top w:type="dxa" w:w="70"/>
              <w:left w:type="dxa" w:w="110"/>
              <w:bottom w:type="dxa" w:w="70"/>
              <w:right w:type="dxa" w:w="110"/>
            </w:tcMar>
            <w:vAlign w:val="center"/>
          </w:tcPr>
          <w:p>
            <w:pPr>
              <w:spacing w:after="0" w:line="240"/>
            </w:pPr>
            <w:r>
              <w:rPr>
                <w:b w:val="false"/>
                <w:bCs w:val="false"/>
                <w:sz w:val="19"/>
                <w:szCs w:val="19"/>
              </w:rPr>
              <w:t xml:space="preserve">Wykonać niezależnie od reszty planu</w:t>
            </w:r>
          </w:p>
        </w:tc>
        <w:tc>
          <w:tcPr>
            <w:tcW w:type="dxa" w:w="1500"/>
            <w:tcMar>
              <w:top w:type="dxa" w:w="70"/>
              <w:left w:type="dxa" w:w="110"/>
              <w:bottom w:type="dxa" w:w="70"/>
              <w:right w:type="dxa" w:w="110"/>
            </w:tcMar>
            <w:vAlign w:val="center"/>
          </w:tcPr>
          <w:p>
            <w:pPr>
              <w:spacing w:after="0" w:line="240"/>
            </w:pPr>
            <w:r>
              <w:rPr>
                <w:b w:val="false"/>
                <w:bCs w:val="false"/>
                <w:sz w:val="19"/>
                <w:szCs w:val="19"/>
              </w:rPr>
              <w:t xml:space="preserve">Przed jakimkolwiek wystawieniem serwisu</w:t>
            </w:r>
          </w:p>
        </w:tc>
        <w:tc>
          <w:tcPr>
            <w:tcW w:type="dxa" w:w="2826"/>
            <w:tcMar>
              <w:top w:type="dxa" w:w="70"/>
              <w:left w:type="dxa" w:w="110"/>
              <w:bottom w:type="dxa" w:w="70"/>
              <w:right w:type="dxa" w:w="110"/>
            </w:tcMar>
            <w:vAlign w:val="center"/>
          </w:tcPr>
          <w:p>
            <w:pPr>
              <w:spacing w:after="0" w:line="240"/>
            </w:pPr>
            <w:r>
              <w:rPr>
                <w:b w:val="false"/>
                <w:bCs w:val="false"/>
                <w:sz w:val="19"/>
                <w:szCs w:val="19"/>
              </w:rPr>
              <w:t xml:space="preserve">Limitowanie pozostaje możliwe do obejścia — usługa bez ochrony przed nadużyciem</w:t>
            </w:r>
          </w:p>
        </w:tc>
      </w:tr>
      <w:tr>
        <w:tc>
          <w:tcPr>
            <w:tcW w:type="dxa" w:w="2300"/>
            <w:shd w:fill="F5F7F9" w:color="auto" w:val="clear"/>
            <w:tcMar>
              <w:top w:type="dxa" w:w="70"/>
              <w:left w:type="dxa" w:w="110"/>
              <w:bottom w:type="dxa" w:w="70"/>
              <w:right w:type="dxa" w:w="110"/>
            </w:tcMar>
            <w:vAlign w:val="center"/>
          </w:tcPr>
          <w:p>
            <w:pPr>
              <w:spacing w:after="0" w:line="240"/>
            </w:pPr>
            <w:r>
              <w:rPr>
                <w:b/>
                <w:bCs/>
                <w:sz w:val="19"/>
                <w:szCs w:val="19"/>
              </w:rPr>
              <w:t xml:space="preserve">Czy komercjalizacja jest celem pierwszego wdrożenia</w:t>
            </w:r>
          </w:p>
        </w:tc>
        <w:tc>
          <w:tcPr>
            <w:tcW w:type="dxa" w:w="2400"/>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Rozstrzygnąć przed etapem 4</w:t>
            </w:r>
          </w:p>
        </w:tc>
        <w:tc>
          <w:tcPr>
            <w:tcW w:type="dxa" w:w="1500"/>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Najbliższe tygodnie</w:t>
            </w:r>
          </w:p>
        </w:tc>
        <w:tc>
          <w:tcPr>
            <w:tcW w:type="dxa" w:w="2826"/>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Etap 8 to 18–24 dni. Odłożenie go bez decyzji grozi budowaniem wersjonowania wydań bez uwzględnienia rozliczania klientów</w:t>
            </w:r>
          </w:p>
        </w:tc>
      </w:tr>
      <w:tr>
        <w:tc>
          <w:tcPr>
            <w:tcW w:type="dxa" w:w="2300"/>
            <w:tcMar>
              <w:top w:type="dxa" w:w="70"/>
              <w:left w:type="dxa" w:w="110"/>
              <w:bottom w:type="dxa" w:w="70"/>
              <w:right w:type="dxa" w:w="110"/>
            </w:tcMar>
            <w:vAlign w:val="center"/>
          </w:tcPr>
          <w:p>
            <w:pPr>
              <w:spacing w:after="0" w:line="240"/>
            </w:pPr>
            <w:r>
              <w:rPr>
                <w:b/>
                <w:bCs/>
                <w:sz w:val="19"/>
                <w:szCs w:val="19"/>
              </w:rPr>
              <w:t xml:space="preserve">Model udostępniania: wspólna instalacja czy instancja per klient</w:t>
            </w:r>
          </w:p>
        </w:tc>
        <w:tc>
          <w:tcPr>
            <w:tcW w:type="dxa" w:w="2400"/>
            <w:tcMar>
              <w:top w:type="dxa" w:w="70"/>
              <w:left w:type="dxa" w:w="110"/>
              <w:bottom w:type="dxa" w:w="70"/>
              <w:right w:type="dxa" w:w="110"/>
            </w:tcMar>
            <w:vAlign w:val="center"/>
          </w:tcPr>
          <w:p>
            <w:pPr>
              <w:spacing w:after="0" w:line="240"/>
            </w:pPr>
            <w:r>
              <w:rPr>
                <w:b w:val="false"/>
                <w:bCs w:val="false"/>
                <w:sz w:val="19"/>
                <w:szCs w:val="19"/>
              </w:rPr>
              <w:t xml:space="preserve">Jedna wspólna instalacja</w:t>
            </w:r>
          </w:p>
        </w:tc>
        <w:tc>
          <w:tcPr>
            <w:tcW w:type="dxa" w:w="1500"/>
            <w:tcMar>
              <w:top w:type="dxa" w:w="70"/>
              <w:left w:type="dxa" w:w="110"/>
              <w:bottom w:type="dxa" w:w="70"/>
              <w:right w:type="dxa" w:w="110"/>
            </w:tcMar>
            <w:vAlign w:val="center"/>
          </w:tcPr>
          <w:p>
            <w:pPr>
              <w:spacing w:after="0" w:line="240"/>
            </w:pPr>
            <w:r>
              <w:rPr>
                <w:b w:val="false"/>
                <w:bCs w:val="false"/>
                <w:sz w:val="19"/>
                <w:szCs w:val="19"/>
              </w:rPr>
              <w:t xml:space="preserve">Przed etapem 3</w:t>
            </w:r>
          </w:p>
        </w:tc>
        <w:tc>
          <w:tcPr>
            <w:tcW w:type="dxa" w:w="2826"/>
            <w:tcMar>
              <w:top w:type="dxa" w:w="70"/>
              <w:left w:type="dxa" w:w="110"/>
              <w:bottom w:type="dxa" w:w="70"/>
              <w:right w:type="dxa" w:w="110"/>
            </w:tcMar>
            <w:vAlign w:val="center"/>
          </w:tcPr>
          <w:p>
            <w:pPr>
              <w:spacing w:after="0" w:line="240"/>
            </w:pPr>
            <w:r>
              <w:rPr>
                <w:b w:val="false"/>
                <w:bCs w:val="false"/>
                <w:sz w:val="19"/>
                <w:szCs w:val="19"/>
              </w:rPr>
              <w:t xml:space="preserve">Instancja per klient powiela ten sam artefakt w pamięci — przy 50 klientach to ponad 20 GB na dane identyczne dla wszystkich</w:t>
            </w:r>
          </w:p>
        </w:tc>
      </w:tr>
      <w:tr>
        <w:tc>
          <w:tcPr>
            <w:tcW w:type="dxa" w:w="2300"/>
            <w:shd w:fill="F5F7F9" w:color="auto" w:val="clear"/>
            <w:tcMar>
              <w:top w:type="dxa" w:w="70"/>
              <w:left w:type="dxa" w:w="110"/>
              <w:bottom w:type="dxa" w:w="70"/>
              <w:right w:type="dxa" w:w="110"/>
            </w:tcMar>
            <w:vAlign w:val="center"/>
          </w:tcPr>
          <w:p>
            <w:pPr>
              <w:spacing w:after="0" w:line="240"/>
            </w:pPr>
            <w:r>
              <w:rPr>
                <w:b/>
                <w:bCs/>
                <w:sz w:val="19"/>
                <w:szCs w:val="19"/>
              </w:rPr>
              <w:t xml:space="preserve">Wystąpienie o warunki licencyjne iMPA</w:t>
            </w:r>
          </w:p>
        </w:tc>
        <w:tc>
          <w:tcPr>
            <w:tcW w:type="dxa" w:w="2400"/>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Wystąpić teraz</w:t>
            </w:r>
          </w:p>
        </w:tc>
        <w:tc>
          <w:tcPr>
            <w:tcW w:type="dxa" w:w="1500"/>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Najbliższe tygodnie</w:t>
            </w:r>
          </w:p>
        </w:tc>
        <w:tc>
          <w:tcPr>
            <w:tcW w:type="dxa" w:w="2826"/>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Brak zabezpieczenia na wypadek awarii źródła podstawowego — poziom 2 pozostaje niedostępny</w:t>
            </w:r>
          </w:p>
        </w:tc>
      </w:tr>
      <w:tr>
        <w:tc>
          <w:tcPr>
            <w:tcW w:type="dxa" w:w="2300"/>
            <w:tcMar>
              <w:top w:type="dxa" w:w="70"/>
              <w:left w:type="dxa" w:w="110"/>
              <w:bottom w:type="dxa" w:w="70"/>
              <w:right w:type="dxa" w:w="110"/>
            </w:tcMar>
            <w:vAlign w:val="center"/>
          </w:tcPr>
          <w:p>
            <w:pPr>
              <w:spacing w:after="0" w:line="240"/>
            </w:pPr>
            <w:r>
              <w:rPr>
                <w:b/>
                <w:bCs/>
                <w:sz w:val="19"/>
                <w:szCs w:val="19"/>
              </w:rPr>
              <w:t xml:space="preserve">Zakup licencji na spis kodów pocztowych</w:t>
            </w:r>
          </w:p>
        </w:tc>
        <w:tc>
          <w:tcPr>
            <w:tcW w:type="dxa" w:w="2400"/>
            <w:tcMar>
              <w:top w:type="dxa" w:w="70"/>
              <w:left w:type="dxa" w:w="110"/>
              <w:bottom w:type="dxa" w:w="70"/>
              <w:right w:type="dxa" w:w="110"/>
            </w:tcMar>
            <w:vAlign w:val="center"/>
          </w:tcPr>
          <w:p>
            <w:pPr>
              <w:spacing w:after="0" w:line="240"/>
            </w:pPr>
            <w:r>
              <w:rPr>
                <w:b w:val="false"/>
                <w:bCs w:val="false"/>
                <w:sz w:val="19"/>
                <w:szCs w:val="19"/>
              </w:rPr>
              <w:t xml:space="preserve">Odłożyć</w:t>
            </w:r>
          </w:p>
        </w:tc>
        <w:tc>
          <w:tcPr>
            <w:tcW w:type="dxa" w:w="1500"/>
            <w:tcMar>
              <w:top w:type="dxa" w:w="70"/>
              <w:left w:type="dxa" w:w="110"/>
              <w:bottom w:type="dxa" w:w="70"/>
              <w:right w:type="dxa" w:w="110"/>
            </w:tcMar>
            <w:vAlign w:val="center"/>
          </w:tcPr>
          <w:p>
            <w:pPr>
              <w:spacing w:after="0" w:line="240"/>
            </w:pPr>
            <w:r>
              <w:rPr>
                <w:b w:val="false"/>
                <w:bCs w:val="false"/>
                <w:sz w:val="19"/>
                <w:szCs w:val="19"/>
              </w:rPr>
              <w:t xml:space="preserve">—</w:t>
            </w:r>
          </w:p>
        </w:tc>
        <w:tc>
          <w:tcPr>
            <w:tcW w:type="dxa" w:w="2826"/>
            <w:tcMar>
              <w:top w:type="dxa" w:w="70"/>
              <w:left w:type="dxa" w:w="110"/>
              <w:bottom w:type="dxa" w:w="70"/>
              <w:right w:type="dxa" w:w="110"/>
            </w:tcMar>
            <w:vAlign w:val="center"/>
          </w:tcPr>
          <w:p>
            <w:pPr>
              <w:spacing w:after="0" w:line="240"/>
            </w:pPr>
            <w:r>
              <w:rPr>
                <w:b w:val="false"/>
                <w:bCs w:val="false"/>
                <w:sz w:val="19"/>
                <w:szCs w:val="19"/>
              </w:rPr>
              <w:t xml:space="preserve">Kody z rejestru pozostają przybliżeniem — akceptowalne</w:t>
            </w:r>
          </w:p>
        </w:tc>
      </w:tr>
      <w:tr>
        <w:tc>
          <w:tcPr>
            <w:tcW w:type="dxa" w:w="2300"/>
            <w:shd w:fill="F5F7F9" w:color="auto" w:val="clear"/>
            <w:tcMar>
              <w:top w:type="dxa" w:w="70"/>
              <w:left w:type="dxa" w:w="110"/>
              <w:bottom w:type="dxa" w:w="70"/>
              <w:right w:type="dxa" w:w="110"/>
            </w:tcMar>
            <w:vAlign w:val="center"/>
          </w:tcPr>
          <w:p>
            <w:pPr>
              <w:spacing w:after="0" w:line="240"/>
            </w:pPr>
            <w:r>
              <w:rPr>
                <w:b/>
                <w:bCs/>
                <w:sz w:val="19"/>
                <w:szCs w:val="19"/>
              </w:rPr>
              <w:t xml:space="preserve">Zewnętrzne API jako uzupełnienie</w:t>
            </w:r>
          </w:p>
        </w:tc>
        <w:tc>
          <w:tcPr>
            <w:tcW w:type="dxa" w:w="2400"/>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Przewidzieć, uruchamiać warunkowo</w:t>
            </w:r>
          </w:p>
        </w:tc>
        <w:tc>
          <w:tcPr>
            <w:tcW w:type="dxa" w:w="1500"/>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Przed produkcją</w:t>
            </w:r>
          </w:p>
        </w:tc>
        <w:tc>
          <w:tcPr>
            <w:tcW w:type="dxa" w:w="2826"/>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Niższa skuteczność korekty danych wprowadzanych ręcznie</w:t>
            </w:r>
          </w:p>
        </w:tc>
      </w:tr>
      <w:tr>
        <w:tc>
          <w:tcPr>
            <w:tcW w:type="dxa" w:w="2300"/>
            <w:tcMar>
              <w:top w:type="dxa" w:w="70"/>
              <w:left w:type="dxa" w:w="110"/>
              <w:bottom w:type="dxa" w:w="70"/>
              <w:right w:type="dxa" w:w="110"/>
            </w:tcMar>
            <w:vAlign w:val="center"/>
          </w:tcPr>
          <w:p>
            <w:pPr>
              <w:spacing w:after="0" w:line="240"/>
            </w:pPr>
            <w:r>
              <w:rPr>
                <w:b/>
                <w:bCs/>
                <w:sz w:val="19"/>
                <w:szCs w:val="19"/>
              </w:rPr>
              <w:t xml:space="preserve">Zakres pierwszego wdrożenia</w:t>
            </w:r>
          </w:p>
        </w:tc>
        <w:tc>
          <w:tcPr>
            <w:tcW w:type="dxa" w:w="2400"/>
            <w:tcMar>
              <w:top w:type="dxa" w:w="70"/>
              <w:left w:type="dxa" w:w="110"/>
              <w:bottom w:type="dxa" w:w="70"/>
              <w:right w:type="dxa" w:w="110"/>
            </w:tcMar>
            <w:vAlign w:val="center"/>
          </w:tcPr>
          <w:p>
            <w:pPr>
              <w:spacing w:after="0" w:line="240"/>
            </w:pPr>
            <w:r>
              <w:rPr>
                <w:b w:val="false"/>
                <w:bCs w:val="false"/>
                <w:sz w:val="19"/>
                <w:szCs w:val="19"/>
              </w:rPr>
              <w:t xml:space="preserve">Cały kraj</w:t>
            </w:r>
          </w:p>
        </w:tc>
        <w:tc>
          <w:tcPr>
            <w:tcW w:type="dxa" w:w="1500"/>
            <w:tcMar>
              <w:top w:type="dxa" w:w="70"/>
              <w:left w:type="dxa" w:w="110"/>
              <w:bottom w:type="dxa" w:w="70"/>
              <w:right w:type="dxa" w:w="110"/>
            </w:tcMar>
            <w:vAlign w:val="center"/>
          </w:tcPr>
          <w:p>
            <w:pPr>
              <w:spacing w:after="0" w:line="240"/>
            </w:pPr>
            <w:r>
              <w:rPr>
                <w:b w:val="false"/>
                <w:bCs w:val="false"/>
                <w:sz w:val="19"/>
                <w:szCs w:val="19"/>
              </w:rPr>
              <w:t xml:space="preserve">Przed przetworzeniem pozostałych 12 województw</w:t>
            </w:r>
          </w:p>
        </w:tc>
        <w:tc>
          <w:tcPr>
            <w:tcW w:type="dxa" w:w="2826"/>
            <w:tcMar>
              <w:top w:type="dxa" w:w="70"/>
              <w:left w:type="dxa" w:w="110"/>
              <w:bottom w:type="dxa" w:w="70"/>
              <w:right w:type="dxa" w:w="110"/>
            </w:tcMar>
            <w:vAlign w:val="center"/>
          </w:tcPr>
          <w:p>
            <w:pPr>
              <w:spacing w:after="0" w:line="240"/>
            </w:pPr>
            <w:r>
              <w:rPr>
                <w:b w:val="false"/>
                <w:bCs w:val="false"/>
                <w:sz w:val="19"/>
                <w:szCs w:val="19"/>
              </w:rPr>
              <w:t xml:space="preserve">Rozwiązanie działa dziś na 4 województwach (ok. 23% kraju); pozostanie przy tym zakresie ogranicza użyteczność produktu</w:t>
            </w:r>
          </w:p>
        </w:tc>
      </w:tr>
      <w:tr>
        <w:tc>
          <w:tcPr>
            <w:tcW w:type="dxa" w:w="2300"/>
            <w:shd w:fill="F5F7F9" w:color="auto" w:val="clear"/>
            <w:tcMar>
              <w:top w:type="dxa" w:w="70"/>
              <w:left w:type="dxa" w:w="110"/>
              <w:bottom w:type="dxa" w:w="70"/>
              <w:right w:type="dxa" w:w="110"/>
            </w:tcMar>
            <w:vAlign w:val="center"/>
          </w:tcPr>
          <w:p>
            <w:pPr>
              <w:spacing w:after="0" w:line="240"/>
            </w:pPr>
            <w:r>
              <w:rPr>
                <w:b/>
                <w:bCs/>
                <w:sz w:val="19"/>
                <w:szCs w:val="19"/>
              </w:rPr>
              <w:t xml:space="preserve">Model utrzymania</w:t>
            </w:r>
          </w:p>
        </w:tc>
        <w:tc>
          <w:tcPr>
            <w:tcW w:type="dxa" w:w="2400"/>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Wskazać osobę odpowiedzialną za obserwację zmian po stronie rejestru</w:t>
            </w:r>
          </w:p>
        </w:tc>
        <w:tc>
          <w:tcPr>
            <w:tcW w:type="dxa" w:w="1500"/>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Przed produkcją</w:t>
            </w:r>
          </w:p>
        </w:tc>
        <w:tc>
          <w:tcPr>
            <w:tcW w:type="dxa" w:w="2826"/>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Zmiana formatu może pozostać niezauważona</w:t>
            </w:r>
          </w:p>
        </w:tc>
      </w:tr>
    </w:tbl>
    <w:p>
      <w:r>
        <w:br w:type="page"/>
      </w:r>
    </w:p>
    <w:p>
      <w:pPr>
        <w:pStyle w:val="Heading1"/>
        <w:spacing w:after="180" w:before="360"/>
      </w:pPr>
      <w:r>
        <w:t xml:space="preserve">12. Słownik pojęć</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shd w:fill="E8EDF2" w:color="auto" w:val="clear"/>
            <w:tcMar>
              <w:top w:type="dxa" w:w="70"/>
              <w:left w:type="dxa" w:w="110"/>
              <w:bottom w:type="dxa" w:w="70"/>
              <w:right w:type="dxa" w:w="110"/>
            </w:tcMar>
            <w:vAlign w:val="center"/>
          </w:tcPr>
          <w:p>
            <w:pPr>
              <w:spacing w:after="0" w:line="240"/>
            </w:pPr>
            <w:r>
              <w:rPr>
                <w:b/>
                <w:bCs/>
                <w:sz w:val="19"/>
                <w:szCs w:val="19"/>
              </w:rPr>
              <w:t xml:space="preserve">Pojęcie</w:t>
            </w:r>
          </w:p>
        </w:tc>
        <w:tc>
          <w:tcPr>
            <w:tcW w:type="dxa" w:w="6826"/>
            <w:shd w:fill="E8EDF2" w:color="auto" w:val="clear"/>
            <w:tcMar>
              <w:top w:type="dxa" w:w="70"/>
              <w:left w:type="dxa" w:w="110"/>
              <w:bottom w:type="dxa" w:w="70"/>
              <w:right w:type="dxa" w:w="110"/>
            </w:tcMar>
            <w:vAlign w:val="center"/>
          </w:tcPr>
          <w:p>
            <w:pPr>
              <w:spacing w:after="0" w:line="240"/>
            </w:pPr>
            <w:r>
              <w:rPr>
                <w:b/>
                <w:bCs/>
                <w:sz w:val="19"/>
                <w:szCs w:val="19"/>
              </w:rPr>
              <w:t xml:space="preserve">Wyjaśnienie</w:t>
            </w:r>
          </w:p>
        </w:tc>
      </w:tr>
      <w:tr>
        <w:tc>
          <w:tcPr>
            <w:tcW w:type="dxa" w:w="2200"/>
            <w:tcMar>
              <w:top w:type="dxa" w:w="70"/>
              <w:left w:type="dxa" w:w="110"/>
              <w:bottom w:type="dxa" w:w="70"/>
              <w:right w:type="dxa" w:w="110"/>
            </w:tcMar>
            <w:vAlign w:val="center"/>
          </w:tcPr>
          <w:p>
            <w:pPr>
              <w:spacing w:after="0" w:line="240"/>
            </w:pPr>
            <w:r>
              <w:rPr>
                <w:sz w:val="19"/>
                <w:szCs w:val="19"/>
              </w:rPr>
              <w:t xml:space="preserve">PRG</w:t>
            </w:r>
          </w:p>
        </w:tc>
        <w:tc>
          <w:tcPr>
            <w:tcW w:type="dxa" w:w="6826"/>
            <w:tcMar>
              <w:top w:type="dxa" w:w="70"/>
              <w:left w:type="dxa" w:w="110"/>
              <w:bottom w:type="dxa" w:w="70"/>
              <w:right w:type="dxa" w:w="110"/>
            </w:tcMar>
            <w:vAlign w:val="center"/>
          </w:tcPr>
          <w:p>
            <w:pPr>
              <w:spacing w:after="0" w:line="240"/>
            </w:pPr>
            <w:r>
              <w:rPr>
                <w:sz w:val="19"/>
                <w:szCs w:val="19"/>
              </w:rPr>
              <w:t xml:space="preserve">Państwowy Rejestr Granic i Powierzchni Jednostek Podziałów Terytorialnych Kraju. Prowadzony przez GUGiK. Zawiera m.in. punkty adresowe — podstawowe źródło danych w projekcie</w:t>
            </w:r>
          </w:p>
        </w:tc>
      </w:tr>
      <w:tr>
        <w:tc>
          <w:tcPr>
            <w:tcW w:type="dxa" w:w="2200"/>
            <w:shd w:fill="F5F7F9" w:color="auto" w:val="clear"/>
            <w:tcMar>
              <w:top w:type="dxa" w:w="70"/>
              <w:left w:type="dxa" w:w="110"/>
              <w:bottom w:type="dxa" w:w="70"/>
              <w:right w:type="dxa" w:w="110"/>
            </w:tcMar>
            <w:vAlign w:val="center"/>
          </w:tcPr>
          <w:p>
            <w:pPr>
              <w:spacing w:after="0" w:line="240"/>
            </w:pPr>
            <w:r>
              <w:rPr>
                <w:sz w:val="19"/>
                <w:szCs w:val="19"/>
              </w:rPr>
              <w:t xml:space="preserve">GUGiK</w:t>
            </w:r>
          </w:p>
        </w:tc>
        <w:tc>
          <w:tcPr>
            <w:tcW w:type="dxa" w:w="6826"/>
            <w:shd w:fill="F5F7F9" w:color="auto" w:val="clear"/>
            <w:tcMar>
              <w:top w:type="dxa" w:w="70"/>
              <w:left w:type="dxa" w:w="110"/>
              <w:bottom w:type="dxa" w:w="70"/>
              <w:right w:type="dxa" w:w="110"/>
            </w:tcMar>
            <w:vAlign w:val="center"/>
          </w:tcPr>
          <w:p>
            <w:pPr>
              <w:spacing w:after="0" w:line="240"/>
            </w:pPr>
            <w:r>
              <w:rPr>
                <w:sz w:val="19"/>
                <w:szCs w:val="19"/>
              </w:rPr>
              <w:t xml:space="preserve">Główny Urząd Geodezji i Kartografii</w:t>
            </w:r>
          </w:p>
        </w:tc>
      </w:tr>
      <w:tr>
        <w:tc>
          <w:tcPr>
            <w:tcW w:type="dxa" w:w="2200"/>
            <w:tcMar>
              <w:top w:type="dxa" w:w="70"/>
              <w:left w:type="dxa" w:w="110"/>
              <w:bottom w:type="dxa" w:w="70"/>
              <w:right w:type="dxa" w:w="110"/>
            </w:tcMar>
            <w:vAlign w:val="center"/>
          </w:tcPr>
          <w:p>
            <w:pPr>
              <w:spacing w:after="0" w:line="240"/>
            </w:pPr>
            <w:r>
              <w:rPr>
                <w:sz w:val="19"/>
                <w:szCs w:val="19"/>
              </w:rPr>
              <w:t xml:space="preserve">TERYT</w:t>
            </w:r>
          </w:p>
        </w:tc>
        <w:tc>
          <w:tcPr>
            <w:tcW w:type="dxa" w:w="6826"/>
            <w:tcMar>
              <w:top w:type="dxa" w:w="70"/>
              <w:left w:type="dxa" w:w="110"/>
              <w:bottom w:type="dxa" w:w="70"/>
              <w:right w:type="dxa" w:w="110"/>
            </w:tcMar>
            <w:vAlign w:val="center"/>
          </w:tcPr>
          <w:p>
            <w:pPr>
              <w:spacing w:after="0" w:line="240"/>
            </w:pPr>
            <w:r>
              <w:rPr>
                <w:sz w:val="19"/>
                <w:szCs w:val="19"/>
              </w:rPr>
              <w:t xml:space="preserve">Krajowy Rejestr Urzędowy Podziału Terytorialnego Kraju, prowadzony przez GUS</w:t>
            </w:r>
          </w:p>
        </w:tc>
      </w:tr>
      <w:tr>
        <w:tc>
          <w:tcPr>
            <w:tcW w:type="dxa" w:w="2200"/>
            <w:shd w:fill="F5F7F9" w:color="auto" w:val="clear"/>
            <w:tcMar>
              <w:top w:type="dxa" w:w="70"/>
              <w:left w:type="dxa" w:w="110"/>
              <w:bottom w:type="dxa" w:w="70"/>
              <w:right w:type="dxa" w:w="110"/>
            </w:tcMar>
            <w:vAlign w:val="center"/>
          </w:tcPr>
          <w:p>
            <w:pPr>
              <w:spacing w:after="0" w:line="240"/>
            </w:pPr>
            <w:r>
              <w:rPr>
                <w:sz w:val="19"/>
                <w:szCs w:val="19"/>
              </w:rPr>
              <w:t xml:space="preserve">TERC</w:t>
            </w:r>
          </w:p>
        </w:tc>
        <w:tc>
          <w:tcPr>
            <w:tcW w:type="dxa" w:w="6826"/>
            <w:shd w:fill="F5F7F9" w:color="auto" w:val="clear"/>
            <w:tcMar>
              <w:top w:type="dxa" w:w="70"/>
              <w:left w:type="dxa" w:w="110"/>
              <w:bottom w:type="dxa" w:w="70"/>
              <w:right w:type="dxa" w:w="110"/>
            </w:tcMar>
            <w:vAlign w:val="center"/>
          </w:tcPr>
          <w:p>
            <w:pPr>
              <w:spacing w:after="0" w:line="240"/>
            </w:pPr>
            <w:r>
              <w:rPr>
                <w:sz w:val="19"/>
                <w:szCs w:val="19"/>
              </w:rPr>
              <w:t xml:space="preserve">Identyfikator jednostki podziału terytorialnego (województwo, powiat, gmina) w rejestrze TERYT</w:t>
            </w:r>
          </w:p>
        </w:tc>
      </w:tr>
      <w:tr>
        <w:tc>
          <w:tcPr>
            <w:tcW w:type="dxa" w:w="2200"/>
            <w:tcMar>
              <w:top w:type="dxa" w:w="70"/>
              <w:left w:type="dxa" w:w="110"/>
              <w:bottom w:type="dxa" w:w="70"/>
              <w:right w:type="dxa" w:w="110"/>
            </w:tcMar>
            <w:vAlign w:val="center"/>
          </w:tcPr>
          <w:p>
            <w:pPr>
              <w:spacing w:after="0" w:line="240"/>
            </w:pPr>
            <w:r>
              <w:rPr>
                <w:sz w:val="19"/>
                <w:szCs w:val="19"/>
              </w:rPr>
              <w:t xml:space="preserve">SIMC</w:t>
            </w:r>
          </w:p>
        </w:tc>
        <w:tc>
          <w:tcPr>
            <w:tcW w:type="dxa" w:w="6826"/>
            <w:tcMar>
              <w:top w:type="dxa" w:w="70"/>
              <w:left w:type="dxa" w:w="110"/>
              <w:bottom w:type="dxa" w:w="70"/>
              <w:right w:type="dxa" w:w="110"/>
            </w:tcMar>
            <w:vAlign w:val="center"/>
          </w:tcPr>
          <w:p>
            <w:pPr>
              <w:spacing w:after="0" w:line="240"/>
            </w:pPr>
            <w:r>
              <w:rPr>
                <w:sz w:val="19"/>
                <w:szCs w:val="19"/>
              </w:rPr>
              <w:t xml:space="preserve">Identyfikator miejscowości w rejestrze TERYT. Siedem znaków, wiodące zera są znaczące</w:t>
            </w:r>
          </w:p>
        </w:tc>
      </w:tr>
      <w:tr>
        <w:tc>
          <w:tcPr>
            <w:tcW w:type="dxa" w:w="2200"/>
            <w:shd w:fill="F5F7F9" w:color="auto" w:val="clear"/>
            <w:tcMar>
              <w:top w:type="dxa" w:w="70"/>
              <w:left w:type="dxa" w:w="110"/>
              <w:bottom w:type="dxa" w:w="70"/>
              <w:right w:type="dxa" w:w="110"/>
            </w:tcMar>
            <w:vAlign w:val="center"/>
          </w:tcPr>
          <w:p>
            <w:pPr>
              <w:spacing w:after="0" w:line="240"/>
            </w:pPr>
            <w:r>
              <w:rPr>
                <w:sz w:val="19"/>
                <w:szCs w:val="19"/>
              </w:rPr>
              <w:t xml:space="preserve">ULIC</w:t>
            </w:r>
          </w:p>
        </w:tc>
        <w:tc>
          <w:tcPr>
            <w:tcW w:type="dxa" w:w="6826"/>
            <w:shd w:fill="F5F7F9" w:color="auto" w:val="clear"/>
            <w:tcMar>
              <w:top w:type="dxa" w:w="70"/>
              <w:left w:type="dxa" w:w="110"/>
              <w:bottom w:type="dxa" w:w="70"/>
              <w:right w:type="dxa" w:w="110"/>
            </w:tcMar>
            <w:vAlign w:val="center"/>
          </w:tcPr>
          <w:p>
            <w:pPr>
              <w:spacing w:after="0" w:line="240"/>
            </w:pPr>
            <w:r>
              <w:rPr>
                <w:sz w:val="19"/>
                <w:szCs w:val="19"/>
              </w:rPr>
              <w:t xml:space="preserve">Centralny Katalog Ulic — część rejestru TERYT</w:t>
            </w:r>
          </w:p>
        </w:tc>
      </w:tr>
      <w:tr>
        <w:tc>
          <w:tcPr>
            <w:tcW w:type="dxa" w:w="2200"/>
            <w:tcMar>
              <w:top w:type="dxa" w:w="70"/>
              <w:left w:type="dxa" w:w="110"/>
              <w:bottom w:type="dxa" w:w="70"/>
              <w:right w:type="dxa" w:w="110"/>
            </w:tcMar>
            <w:vAlign w:val="center"/>
          </w:tcPr>
          <w:p>
            <w:pPr>
              <w:spacing w:after="0" w:line="240"/>
            </w:pPr>
            <w:r>
              <w:rPr>
                <w:sz w:val="19"/>
                <w:szCs w:val="19"/>
              </w:rPr>
              <w:t xml:space="preserve">EMUiA</w:t>
            </w:r>
          </w:p>
        </w:tc>
        <w:tc>
          <w:tcPr>
            <w:tcW w:type="dxa" w:w="6826"/>
            <w:tcMar>
              <w:top w:type="dxa" w:w="70"/>
              <w:left w:type="dxa" w:w="110"/>
              <w:bottom w:type="dxa" w:w="70"/>
              <w:right w:type="dxa" w:w="110"/>
            </w:tcMar>
            <w:vAlign w:val="center"/>
          </w:tcPr>
          <w:p>
            <w:pPr>
              <w:spacing w:after="0" w:line="240"/>
            </w:pPr>
            <w:r>
              <w:rPr>
                <w:sz w:val="19"/>
                <w:szCs w:val="19"/>
              </w:rPr>
              <w:t xml:space="preserve">Ewidencja Miejscowości, Ulic i Adresów prowadzona przez gminy. Źródło zasilające rejestr PRG</w:t>
            </w:r>
          </w:p>
        </w:tc>
      </w:tr>
      <w:tr>
        <w:tc>
          <w:tcPr>
            <w:tcW w:type="dxa" w:w="2200"/>
            <w:shd w:fill="F5F7F9" w:color="auto" w:val="clear"/>
            <w:tcMar>
              <w:top w:type="dxa" w:w="70"/>
              <w:left w:type="dxa" w:w="110"/>
              <w:bottom w:type="dxa" w:w="70"/>
              <w:right w:type="dxa" w:w="110"/>
            </w:tcMar>
            <w:vAlign w:val="center"/>
          </w:tcPr>
          <w:p>
            <w:pPr>
              <w:spacing w:after="0" w:line="240"/>
            </w:pPr>
            <w:r>
              <w:rPr>
                <w:sz w:val="19"/>
                <w:szCs w:val="19"/>
              </w:rPr>
              <w:t xml:space="preserve">iMPA</w:t>
            </w:r>
          </w:p>
        </w:tc>
        <w:tc>
          <w:tcPr>
            <w:tcW w:type="dxa" w:w="6826"/>
            <w:shd w:fill="F5F7F9" w:color="auto" w:val="clear"/>
            <w:tcMar>
              <w:top w:type="dxa" w:w="70"/>
              <w:left w:type="dxa" w:w="110"/>
              <w:bottom w:type="dxa" w:w="70"/>
              <w:right w:type="dxa" w:w="110"/>
            </w:tcMar>
            <w:vAlign w:val="center"/>
          </w:tcPr>
          <w:p>
            <w:pPr>
              <w:spacing w:after="0" w:line="240"/>
            </w:pPr>
            <w:r>
              <w:rPr>
                <w:sz w:val="19"/>
                <w:szCs w:val="19"/>
              </w:rPr>
              <w:t xml:space="preserve">Internetowy Manager Punktów Adresowych — system, w którym ok. 1400 gmin prowadzi ewidencję adresową</w:t>
            </w:r>
          </w:p>
        </w:tc>
      </w:tr>
      <w:tr>
        <w:tc>
          <w:tcPr>
            <w:tcW w:type="dxa" w:w="2200"/>
            <w:tcMar>
              <w:top w:type="dxa" w:w="70"/>
              <w:left w:type="dxa" w:w="110"/>
              <w:bottom w:type="dxa" w:w="70"/>
              <w:right w:type="dxa" w:w="110"/>
            </w:tcMar>
            <w:vAlign w:val="center"/>
          </w:tcPr>
          <w:p>
            <w:pPr>
              <w:spacing w:after="0" w:line="240"/>
            </w:pPr>
            <w:r>
              <w:rPr>
                <w:sz w:val="19"/>
                <w:szCs w:val="19"/>
              </w:rPr>
              <w:t xml:space="preserve">PNA</w:t>
            </w:r>
          </w:p>
        </w:tc>
        <w:tc>
          <w:tcPr>
            <w:tcW w:type="dxa" w:w="6826"/>
            <w:tcMar>
              <w:top w:type="dxa" w:w="70"/>
              <w:left w:type="dxa" w:w="110"/>
              <w:bottom w:type="dxa" w:w="70"/>
              <w:right w:type="dxa" w:w="110"/>
            </w:tcMar>
            <w:vAlign w:val="center"/>
          </w:tcPr>
          <w:p>
            <w:pPr>
              <w:spacing w:after="0" w:line="240"/>
            </w:pPr>
            <w:r>
              <w:rPr>
                <w:sz w:val="19"/>
                <w:szCs w:val="19"/>
              </w:rPr>
              <w:t xml:space="preserve">Pocztowy Numer Adresowy, potocznie kod pocztowy</w:t>
            </w:r>
          </w:p>
        </w:tc>
      </w:tr>
      <w:tr>
        <w:tc>
          <w:tcPr>
            <w:tcW w:type="dxa" w:w="2200"/>
            <w:shd w:fill="F5F7F9" w:color="auto" w:val="clear"/>
            <w:tcMar>
              <w:top w:type="dxa" w:w="70"/>
              <w:left w:type="dxa" w:w="110"/>
              <w:bottom w:type="dxa" w:w="70"/>
              <w:right w:type="dxa" w:w="110"/>
            </w:tcMar>
            <w:vAlign w:val="center"/>
          </w:tcPr>
          <w:p>
            <w:pPr>
              <w:spacing w:after="0" w:line="240"/>
            </w:pPr>
            <w:r>
              <w:rPr>
                <w:sz w:val="19"/>
                <w:szCs w:val="19"/>
              </w:rPr>
              <w:t xml:space="preserve">Punkt adresowy</w:t>
            </w:r>
          </w:p>
        </w:tc>
        <w:tc>
          <w:tcPr>
            <w:tcW w:type="dxa" w:w="6826"/>
            <w:shd w:fill="F5F7F9" w:color="auto" w:val="clear"/>
            <w:tcMar>
              <w:top w:type="dxa" w:w="70"/>
              <w:left w:type="dxa" w:w="110"/>
              <w:bottom w:type="dxa" w:w="70"/>
              <w:right w:type="dxa" w:w="110"/>
            </w:tcMar>
            <w:vAlign w:val="center"/>
          </w:tcPr>
          <w:p>
            <w:pPr>
              <w:spacing w:after="0" w:line="240"/>
            </w:pPr>
            <w:r>
              <w:rPr>
                <w:sz w:val="19"/>
                <w:szCs w:val="19"/>
              </w:rPr>
              <w:t xml:space="preserve">Pojedynczy adres w rejestrze: miejscowość, ewentualna ulica, numer porządkowy i współrzędne</w:t>
            </w:r>
          </w:p>
        </w:tc>
      </w:tr>
      <w:tr>
        <w:tc>
          <w:tcPr>
            <w:tcW w:type="dxa" w:w="2200"/>
            <w:tcMar>
              <w:top w:type="dxa" w:w="70"/>
              <w:left w:type="dxa" w:w="110"/>
              <w:bottom w:type="dxa" w:w="70"/>
              <w:right w:type="dxa" w:w="110"/>
            </w:tcMar>
            <w:vAlign w:val="center"/>
          </w:tcPr>
          <w:p>
            <w:pPr>
              <w:spacing w:after="0" w:line="240"/>
            </w:pPr>
            <w:r>
              <w:rPr>
                <w:sz w:val="19"/>
                <w:szCs w:val="19"/>
              </w:rPr>
              <w:t xml:space="preserve">GML</w:t>
            </w:r>
          </w:p>
        </w:tc>
        <w:tc>
          <w:tcPr>
            <w:tcW w:type="dxa" w:w="6826"/>
            <w:tcMar>
              <w:top w:type="dxa" w:w="70"/>
              <w:left w:type="dxa" w:w="110"/>
              <w:bottom w:type="dxa" w:w="70"/>
              <w:right w:type="dxa" w:w="110"/>
            </w:tcMar>
            <w:vAlign w:val="center"/>
          </w:tcPr>
          <w:p>
            <w:pPr>
              <w:spacing w:after="0" w:line="240"/>
            </w:pPr>
            <w:r>
              <w:rPr>
                <w:sz w:val="19"/>
                <w:szCs w:val="19"/>
              </w:rPr>
              <w:t xml:space="preserve">Format wymiany danych przestrzennych oparty na XML, stosowany przez GUGiK</w:t>
            </w:r>
          </w:p>
        </w:tc>
      </w:tr>
      <w:tr>
        <w:tc>
          <w:tcPr>
            <w:tcW w:type="dxa" w:w="2200"/>
            <w:shd w:fill="F5F7F9" w:color="auto" w:val="clear"/>
            <w:tcMar>
              <w:top w:type="dxa" w:w="70"/>
              <w:left w:type="dxa" w:w="110"/>
              <w:bottom w:type="dxa" w:w="70"/>
              <w:right w:type="dxa" w:w="110"/>
            </w:tcMar>
            <w:vAlign w:val="center"/>
          </w:tcPr>
          <w:p>
            <w:pPr>
              <w:spacing w:after="0" w:line="240"/>
            </w:pPr>
            <w:r>
              <w:rPr>
                <w:sz w:val="19"/>
                <w:szCs w:val="19"/>
              </w:rPr>
              <w:t xml:space="preserve">PL-1992</w:t>
            </w:r>
          </w:p>
        </w:tc>
        <w:tc>
          <w:tcPr>
            <w:tcW w:type="dxa" w:w="6826"/>
            <w:shd w:fill="F5F7F9" w:color="auto" w:val="clear"/>
            <w:tcMar>
              <w:top w:type="dxa" w:w="70"/>
              <w:left w:type="dxa" w:w="110"/>
              <w:bottom w:type="dxa" w:w="70"/>
              <w:right w:type="dxa" w:w="110"/>
            </w:tcMar>
            <w:vAlign w:val="center"/>
          </w:tcPr>
          <w:p>
            <w:pPr>
              <w:spacing w:after="0" w:line="240"/>
            </w:pPr>
            <w:r>
              <w:rPr>
                <w:sz w:val="19"/>
                <w:szCs w:val="19"/>
              </w:rPr>
              <w:t xml:space="preserve">Państwowy układ współrzędnych geodezyjnych stosowany w rejestrze PRG. Wymaga przeliczenia do układu stosowanego w mapach internetowych</w:t>
            </w:r>
          </w:p>
        </w:tc>
      </w:tr>
      <w:tr>
        <w:tc>
          <w:tcPr>
            <w:tcW w:type="dxa" w:w="2200"/>
            <w:tcMar>
              <w:top w:type="dxa" w:w="70"/>
              <w:left w:type="dxa" w:w="110"/>
              <w:bottom w:type="dxa" w:w="70"/>
              <w:right w:type="dxa" w:w="110"/>
            </w:tcMar>
            <w:vAlign w:val="center"/>
          </w:tcPr>
          <w:p>
            <w:pPr>
              <w:spacing w:after="0" w:line="240"/>
            </w:pPr>
            <w:r>
              <w:rPr>
                <w:sz w:val="19"/>
                <w:szCs w:val="19"/>
              </w:rPr>
              <w:t xml:space="preserve">ODbL</w:t>
            </w:r>
          </w:p>
        </w:tc>
        <w:tc>
          <w:tcPr>
            <w:tcW w:type="dxa" w:w="6826"/>
            <w:tcMar>
              <w:top w:type="dxa" w:w="70"/>
              <w:left w:type="dxa" w:w="110"/>
              <w:bottom w:type="dxa" w:w="70"/>
              <w:right w:type="dxa" w:w="110"/>
            </w:tcMar>
            <w:vAlign w:val="center"/>
          </w:tcPr>
          <w:p>
            <w:pPr>
              <w:spacing w:after="0" w:line="240"/>
            </w:pPr>
            <w:r>
              <w:rPr>
                <w:sz w:val="19"/>
                <w:szCs w:val="19"/>
              </w:rPr>
              <w:t xml:space="preserve">Licencja danych OpenStreetMap zawierająca klauzulę zobowiązującą do udostępnienia bazy pochodnej na tych samych warunkach</w:t>
            </w:r>
          </w:p>
        </w:tc>
      </w:tr>
      <w:tr>
        <w:tc>
          <w:tcPr>
            <w:tcW w:type="dxa" w:w="2200"/>
            <w:shd w:fill="F5F7F9" w:color="auto" w:val="clear"/>
            <w:tcMar>
              <w:top w:type="dxa" w:w="70"/>
              <w:left w:type="dxa" w:w="110"/>
              <w:bottom w:type="dxa" w:w="70"/>
              <w:right w:type="dxa" w:w="110"/>
            </w:tcMar>
            <w:vAlign w:val="center"/>
          </w:tcPr>
          <w:p>
            <w:pPr>
              <w:spacing w:after="0" w:line="240"/>
            </w:pPr>
            <w:r>
              <w:rPr>
                <w:sz w:val="19"/>
                <w:szCs w:val="19"/>
              </w:rPr>
              <w:t xml:space="preserve">Artefakt indeksu</w:t>
            </w:r>
          </w:p>
        </w:tc>
        <w:tc>
          <w:tcPr>
            <w:tcW w:type="dxa" w:w="6826"/>
            <w:shd w:fill="F5F7F9" w:color="auto" w:val="clear"/>
            <w:tcMar>
              <w:top w:type="dxa" w:w="70"/>
              <w:left w:type="dxa" w:w="110"/>
              <w:bottom w:type="dxa" w:w="70"/>
              <w:right w:type="dxa" w:w="110"/>
            </w:tcMar>
            <w:vAlign w:val="center"/>
          </w:tcPr>
          <w:p>
            <w:pPr>
              <w:spacing w:after="0" w:line="240"/>
            </w:pPr>
            <w:r>
              <w:rPr>
                <w:sz w:val="19"/>
                <w:szCs w:val="19"/>
              </w:rPr>
              <w:t xml:space="preserve">Niezmienny plik zawierający strukturę wyszukiwania, wytwarzany przez proces przetwarzania i ładowany przez mikroserwis</w:t>
            </w:r>
          </w:p>
        </w:tc>
      </w:tr>
      <w:tr>
        <w:tc>
          <w:tcPr>
            <w:tcW w:type="dxa" w:w="2200"/>
            <w:tcMar>
              <w:top w:type="dxa" w:w="70"/>
              <w:left w:type="dxa" w:w="110"/>
              <w:bottom w:type="dxa" w:w="70"/>
              <w:right w:type="dxa" w:w="110"/>
            </w:tcMar>
            <w:vAlign w:val="center"/>
          </w:tcPr>
          <w:p>
            <w:pPr>
              <w:spacing w:after="0" w:line="240"/>
            </w:pPr>
            <w:r>
              <w:rPr>
                <w:sz w:val="19"/>
                <w:szCs w:val="19"/>
              </w:rPr>
              <w:t xml:space="preserve">Obszar przejściowy</w:t>
            </w:r>
          </w:p>
        </w:tc>
        <w:tc>
          <w:tcPr>
            <w:tcW w:type="dxa" w:w="6826"/>
            <w:tcMar>
              <w:top w:type="dxa" w:w="70"/>
              <w:left w:type="dxa" w:w="110"/>
              <w:bottom w:type="dxa" w:w="70"/>
              <w:right w:type="dxa" w:w="110"/>
            </w:tcMar>
            <w:vAlign w:val="center"/>
          </w:tcPr>
          <w:p>
            <w:pPr>
              <w:spacing w:after="0" w:line="240"/>
            </w:pPr>
            <w:r>
              <w:rPr>
                <w:sz w:val="19"/>
                <w:szCs w:val="19"/>
              </w:rPr>
              <w:t xml:space="preserve">Wydzielona część bazy danych, do której trafiają dane przed weryfikacją i publikacją</w:t>
            </w:r>
          </w:p>
        </w:tc>
      </w:tr>
      <w:tr>
        <w:tc>
          <w:tcPr>
            <w:tcW w:type="dxa" w:w="2200"/>
            <w:shd w:fill="F5F7F9" w:color="auto" w:val="clear"/>
            <w:tcMar>
              <w:top w:type="dxa" w:w="70"/>
              <w:left w:type="dxa" w:w="110"/>
              <w:bottom w:type="dxa" w:w="70"/>
              <w:right w:type="dxa" w:w="110"/>
            </w:tcMar>
            <w:vAlign w:val="center"/>
          </w:tcPr>
          <w:p>
            <w:pPr>
              <w:spacing w:after="0" w:line="240"/>
            </w:pPr>
            <w:r>
              <w:rPr>
                <w:sz w:val="19"/>
                <w:szCs w:val="19"/>
              </w:rPr>
              <w:t xml:space="preserve">Punkt końcowy</w:t>
            </w:r>
          </w:p>
        </w:tc>
        <w:tc>
          <w:tcPr>
            <w:tcW w:type="dxa" w:w="6826"/>
            <w:shd w:fill="F5F7F9" w:color="auto" w:val="clear"/>
            <w:tcMar>
              <w:top w:type="dxa" w:w="70"/>
              <w:left w:type="dxa" w:w="110"/>
              <w:bottom w:type="dxa" w:w="70"/>
              <w:right w:type="dxa" w:w="110"/>
            </w:tcMar>
            <w:vAlign w:val="center"/>
          </w:tcPr>
          <w:p>
            <w:pPr>
              <w:spacing w:after="0" w:line="240"/>
            </w:pPr>
            <w:r>
              <w:rPr>
                <w:sz w:val="19"/>
                <w:szCs w:val="19"/>
              </w:rPr>
              <w:t xml:space="preserve">Pojedynczy adres funkcji w interfejsie REST — jedna operacja, którą aplikacja może wywołać</w:t>
            </w:r>
          </w:p>
        </w:tc>
      </w:tr>
      <w:tr>
        <w:tc>
          <w:tcPr>
            <w:tcW w:type="dxa" w:w="2200"/>
            <w:tcMar>
              <w:top w:type="dxa" w:w="70"/>
              <w:left w:type="dxa" w:w="110"/>
              <w:bottom w:type="dxa" w:w="70"/>
              <w:right w:type="dxa" w:w="110"/>
            </w:tcMar>
            <w:vAlign w:val="center"/>
          </w:tcPr>
          <w:p>
            <w:pPr>
              <w:spacing w:after="0" w:line="240"/>
            </w:pPr>
            <w:r>
              <w:rPr>
                <w:sz w:val="19"/>
                <w:szCs w:val="19"/>
              </w:rPr>
              <w:t xml:space="preserve">Klucz API</w:t>
            </w:r>
          </w:p>
        </w:tc>
        <w:tc>
          <w:tcPr>
            <w:tcW w:type="dxa" w:w="6826"/>
            <w:tcMar>
              <w:top w:type="dxa" w:w="70"/>
              <w:left w:type="dxa" w:w="110"/>
              <w:bottom w:type="dxa" w:w="70"/>
              <w:right w:type="dxa" w:w="110"/>
            </w:tcMar>
            <w:vAlign w:val="center"/>
          </w:tcPr>
          <w:p>
            <w:pPr>
              <w:spacing w:after="0" w:line="240"/>
            </w:pPr>
            <w:r>
              <w:rPr>
                <w:sz w:val="19"/>
                <w:szCs w:val="19"/>
              </w:rPr>
              <w:t xml:space="preserve">Poświadczenie identyfikujące aplikację klienta. Podstawa limitowania zapytań i rozliczania. W obecnej wersji nieweryfikowany — patrz 5.5</w:t>
            </w:r>
          </w:p>
        </w:tc>
      </w:tr>
      <w:tr>
        <w:tc>
          <w:tcPr>
            <w:tcW w:type="dxa" w:w="2200"/>
            <w:shd w:fill="F5F7F9" w:color="auto" w:val="clear"/>
            <w:tcMar>
              <w:top w:type="dxa" w:w="70"/>
              <w:left w:type="dxa" w:w="110"/>
              <w:bottom w:type="dxa" w:w="70"/>
              <w:right w:type="dxa" w:w="110"/>
            </w:tcMar>
            <w:vAlign w:val="center"/>
          </w:tcPr>
          <w:p>
            <w:pPr>
              <w:spacing w:after="0" w:line="240"/>
            </w:pPr>
            <w:r>
              <w:rPr>
                <w:sz w:val="19"/>
                <w:szCs w:val="19"/>
              </w:rPr>
              <w:t xml:space="preserve">Wielodostępność</w:t>
            </w:r>
          </w:p>
        </w:tc>
        <w:tc>
          <w:tcPr>
            <w:tcW w:type="dxa" w:w="6826"/>
            <w:shd w:fill="F5F7F9" w:color="auto" w:val="clear"/>
            <w:tcMar>
              <w:top w:type="dxa" w:w="70"/>
              <w:left w:type="dxa" w:w="110"/>
              <w:bottom w:type="dxa" w:w="70"/>
              <w:right w:type="dxa" w:w="110"/>
            </w:tcMar>
            <w:vAlign w:val="center"/>
          </w:tcPr>
          <w:p>
            <w:pPr>
              <w:spacing w:after="0" w:line="240"/>
            </w:pPr>
            <w:r>
              <w:rPr>
                <w:sz w:val="19"/>
                <w:szCs w:val="19"/>
              </w:rPr>
              <w:t xml:space="preserve">Obsługa wielu klientów przez jedną instalację, z rozdzieleniem limitów, uprawnień i rozliczeń</w:t>
            </w:r>
          </w:p>
        </w:tc>
      </w:tr>
      <w:tr>
        <w:tc>
          <w:tcPr>
            <w:tcW w:type="dxa" w:w="2200"/>
            <w:tcMar>
              <w:top w:type="dxa" w:w="70"/>
              <w:left w:type="dxa" w:w="110"/>
              <w:bottom w:type="dxa" w:w="70"/>
              <w:right w:type="dxa" w:w="110"/>
            </w:tcMar>
            <w:vAlign w:val="center"/>
          </w:tcPr>
          <w:p>
            <w:pPr>
              <w:spacing w:after="0" w:line="240"/>
            </w:pPr>
            <w:r>
              <w:rPr>
                <w:sz w:val="19"/>
                <w:szCs w:val="19"/>
              </w:rPr>
              <w:t xml:space="preserve">Metryka</w:t>
            </w:r>
          </w:p>
        </w:tc>
        <w:tc>
          <w:tcPr>
            <w:tcW w:type="dxa" w:w="6826"/>
            <w:tcMar>
              <w:top w:type="dxa" w:w="70"/>
              <w:left w:type="dxa" w:w="110"/>
              <w:bottom w:type="dxa" w:w="70"/>
              <w:right w:type="dxa" w:w="110"/>
            </w:tcMar>
            <w:vAlign w:val="center"/>
          </w:tcPr>
          <w:p>
            <w:pPr>
              <w:spacing w:after="0" w:line="240"/>
            </w:pPr>
            <w:r>
              <w:rPr>
                <w:sz w:val="19"/>
                <w:szCs w:val="19"/>
              </w:rPr>
              <w:t xml:space="preserve">Liczba udostępniana przez usługę na potrzeby monitorowania, np. wiek danych lub czas odpowiedzi</w:t>
            </w:r>
          </w:p>
        </w:tc>
      </w:tr>
      <w:tr>
        <w:tc>
          <w:tcPr>
            <w:tcW w:type="dxa" w:w="2200"/>
            <w:shd w:fill="F5F7F9" w:color="auto" w:val="clear"/>
            <w:tcMar>
              <w:top w:type="dxa" w:w="70"/>
              <w:left w:type="dxa" w:w="110"/>
              <w:bottom w:type="dxa" w:w="70"/>
              <w:right w:type="dxa" w:w="110"/>
            </w:tcMar>
            <w:vAlign w:val="center"/>
          </w:tcPr>
          <w:p>
            <w:pPr>
              <w:spacing w:after="0" w:line="240"/>
            </w:pPr>
            <w:r>
              <w:rPr>
                <w:sz w:val="19"/>
                <w:szCs w:val="19"/>
              </w:rPr>
              <w:t xml:space="preserve">Sonda gotowości</w:t>
            </w:r>
          </w:p>
        </w:tc>
        <w:tc>
          <w:tcPr>
            <w:tcW w:type="dxa" w:w="6826"/>
            <w:shd w:fill="F5F7F9" w:color="auto" w:val="clear"/>
            <w:tcMar>
              <w:top w:type="dxa" w:w="70"/>
              <w:left w:type="dxa" w:w="110"/>
              <w:bottom w:type="dxa" w:w="70"/>
              <w:right w:type="dxa" w:w="110"/>
            </w:tcMar>
            <w:vAlign w:val="center"/>
          </w:tcPr>
          <w:p>
            <w:pPr>
              <w:spacing w:after="0" w:line="240"/>
            </w:pPr>
            <w:r>
              <w:rPr>
                <w:sz w:val="19"/>
                <w:szCs w:val="19"/>
              </w:rPr>
              <w:t xml:space="preserve">Zapytanie kontrolne, na podstawie którego środowisko uruchomieniowe decyduje, czy kierować ruch do danej instancji</w:t>
            </w:r>
          </w:p>
        </w:tc>
      </w:tr>
    </w:tbl>
    <w:p>
      <w:pPr>
        <w:spacing w:after="300"/>
      </w:pPr>
    </w:p>
    <w:p>
      <w:pPr>
        <w:pBdr>
          <w:top w:val="single" w:color="D5DBE0" w:sz="4"/>
        </w:pBdr>
        <w:spacing w:after="120" w:before="200"/>
      </w:pPr>
    </w:p>
    <w:p>
      <w:pPr>
        <w:spacing w:after="120" w:line="276"/>
      </w:pPr>
      <w:r>
        <w:rPr>
          <w:i/>
          <w:iCs/>
          <w:color w:val="5A6873"/>
          <w:sz w:val="18"/>
          <w:szCs w:val="18"/>
        </w:rPr>
        <w:t xml:space="preserve">Informacja o źródle danych: dane pochodzą z Państwowego Rejestru Granic i Powierzchni Jednostek Podziałów Terytorialnych Kraju (PRG), udostępnianego nieodpłatnie przez Główny Urząd Geodezji i Kartografii na podstawie art. 40a ust. 2 pkt 1 lit. a ustawy Prawo geodezyjne i kartograficzne. Licencji nie wydaje się (art. 40c ust. 5 tej ustawy).</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0" w:sz="4"/>
      </w:pBdr>
      <w:tabs>
        <w:tab w:val="right" w:pos="9026"/>
      </w:tabs>
      <w:spacing w:before="120"/>
    </w:pPr>
    <w:r>
      <w:rPr>
        <w:color w:val="5A6873"/>
        <w:sz w:val="16"/>
        <w:szCs w:val="16"/>
      </w:rPr>
      <w:t xml:space="preserve">Komponent walidacji danych adresowych  ·  wersja 1.3</w:t>
    </w:r>
    <w:r>
      <w:rPr>
        <w:sz w:val="16"/>
        <w:szCs w:val="16"/>
      </w:rPr>
      <w:t xml:space="preserve">	</w:t>
    </w:r>
    <w:r>
      <w:rPr>
        <w:color w:val="5A6873"/>
        <w:sz w:val="16"/>
        <w:szCs w:val="16"/>
      </w:rPr>
      <w:t xml:space="preserve">Strona </w:t>
      <w:fldChar w:fldCharType="begin"/>
      <w:instrText xml:space="preserve">PAGE</w:instrText>
      <w:fldChar w:fldCharType="separate"/>
      <w:fldChar w:fldCharType="end"/>
      <w:t xml:space="preserve"> z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lvl w:ilvl="1" w15:tentative="1">
      <w:start w:val="1"/>
      <w:numFmt w:val="bullet"/>
      <w:lvlText w:val="◦"/>
      <w:lvlJc w:val="left"/>
      <w:pPr>
        <w:ind w:left="840" w:hanging="240"/>
      </w:pPr>
    </w:lvl>
  </w:abstractNum>
  <w:abstractNum w:abstractNumId="3" w15:restartNumberingAfterBreak="0">
    <w:multiLevelType w:val="hybridMultilevel"/>
    <w:lvl w:ilvl="0" w15:tentative="1">
      <w:start w:val="1"/>
      <w:numFmt w:val="decimal"/>
      <w:lvlText w:val="%1."/>
      <w:lvlJc w:val="left"/>
      <w:pPr>
        <w:ind w:left="42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80" w:before="360"/>
    </w:pPr>
    <w:rPr>
      <w:rFonts w:ascii="Calibri" w:cs="Calibri" w:eastAsia="Calibri" w:hAnsi="Calibri"/>
      <w:b/>
      <w:bCs/>
      <w:color w:val="1F4E5F"/>
      <w:sz w:val="30"/>
      <w:szCs w:val="30"/>
    </w:rPr>
  </w:style>
  <w:style w:type="paragraph" w:styleId="Heading2">
    <w:name w:val="Heading 2"/>
    <w:basedOn w:val="Normal"/>
    <w:next w:val="Normal"/>
    <w:qFormat/>
    <w:pPr>
      <w:spacing w:after="140" w:before="280"/>
    </w:pPr>
    <w:rPr>
      <w:rFonts w:ascii="Calibri" w:cs="Calibri" w:eastAsia="Calibri" w:hAnsi="Calibri"/>
      <w:b/>
      <w:bCs/>
      <w:color w:val="2C3E50"/>
      <w:sz w:val="25"/>
      <w:szCs w:val="25"/>
    </w:rPr>
  </w:style>
  <w:style w:type="paragraph" w:styleId="Heading3">
    <w:name w:val="Heading 3"/>
    <w:basedOn w:val="Normal"/>
    <w:next w:val="Normal"/>
    <w:qFormat/>
    <w:pPr>
      <w:spacing w:after="110" w:before="220"/>
    </w:pPr>
    <w:rPr>
      <w:rFonts w:ascii="Calibri" w:cs="Calibri" w:eastAsia="Calibri" w:hAnsi="Calibri"/>
      <w:b/>
      <w:bCs/>
      <w:color w:val="2C3E50"/>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Komponent walidacji danych adresowych — raport</dc:title>
  <dc:creator>Zespół wdrożeniowy</dc:creator>
  <dc:description>Stan prac, ocena ryzyk, warianty rozwiązania</dc:description>
  <cp:lastModifiedBy>Un-named</cp:lastModifiedBy>
  <cp:revision>1</cp:revision>
  <dcterms:created xsi:type="dcterms:W3CDTF">2026-08-08T19:56:01.118Z</dcterms:created>
  <dcterms:modified xsi:type="dcterms:W3CDTF">2026-08-08T19:56:01.126Z</dcterms:modified>
</cp:coreProperties>
</file>

<file path=docProps/custom.xml><?xml version="1.0" encoding="utf-8"?>
<Properties xmlns="http://schemas.openxmlformats.org/officeDocument/2006/custom-properties" xmlns:vt="http://schemas.openxmlformats.org/officeDocument/2006/docPropsVTypes"/>
</file>