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1.8  ·  10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tcMar>
              <w:top w:type="dxa" w:w="70"/>
              <w:left w:type="dxa" w:w="110"/>
              <w:bottom w:type="dxa" w:w="70"/>
              <w:right w:type="dxa" w:w="110"/>
            </w:tcMar>
            <w:vAlign w:val="center"/>
          </w:tcPr>
          <w:p>
            <w:pPr>
              <w:spacing w:after="0" w:line="240"/>
            </w:pPr>
            <w:r>
              <w:rPr>
                <w:sz w:val="19"/>
                <w:szCs w:val="19"/>
              </w:rPr>
              <w:t xml:space="preserve">1.3</w:t>
            </w:r>
          </w:p>
        </w:tc>
        <w:tc>
          <w:tcPr>
            <w:tcW w:type="dxa" w:w="1400"/>
            <w:tcMar>
              <w:top w:type="dxa" w:w="70"/>
              <w:left w:type="dxa" w:w="110"/>
              <w:bottom w:type="dxa" w:w="70"/>
              <w:right w:type="dxa" w:w="110"/>
            </w:tcMar>
            <w:vAlign w:val="center"/>
          </w:tcPr>
          <w:p>
            <w:pPr>
              <w:spacing w:after="0" w:line="240"/>
            </w:pPr>
            <w:r>
              <w:rPr>
                <w:sz w:val="19"/>
                <w:szCs w:val="19"/>
              </w:rPr>
              <w:t xml:space="preserve">8.08.2026</w:t>
            </w:r>
          </w:p>
        </w:tc>
        <w:tc>
          <w:tcPr>
            <w:tcW w:type="dxa" w:w="6426"/>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r>
        <w:tc>
          <w:tcPr>
            <w:tcW w:type="dxa" w:w="1200"/>
            <w:tcMar>
              <w:top w:type="dxa" w:w="70"/>
              <w:left w:type="dxa" w:w="110"/>
              <w:bottom w:type="dxa" w:w="70"/>
              <w:right w:type="dxa" w:w="110"/>
            </w:tcMar>
            <w:vAlign w:val="center"/>
          </w:tcPr>
          <w:p>
            <w:pPr>
              <w:spacing w:after="0" w:line="240"/>
            </w:pPr>
            <w:r>
              <w:rPr>
                <w:sz w:val="19"/>
                <w:szCs w:val="19"/>
              </w:rPr>
              <w:t xml:space="preserve">1.4</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Uruchomienie na całym kraju: 8 605 682 punkty ze wszystkich 16 województw. Trzy kolejne usterki wykryte dopiero przy pełnej skali, w tym kontrola jakości, która nigdy nie działała. Nowe pomiary czasów odpowiedzi i przetwarzania</w:t>
            </w:r>
          </w:p>
        </w:tc>
      </w:tr>
      <w:tr>
        <w:tc>
          <w:tcPr>
            <w:tcW w:type="dxa" w:w="1200"/>
            <w:tcMar>
              <w:top w:type="dxa" w:w="70"/>
              <w:left w:type="dxa" w:w="110"/>
              <w:bottom w:type="dxa" w:w="70"/>
              <w:right w:type="dxa" w:w="110"/>
            </w:tcMar>
            <w:vAlign w:val="center"/>
          </w:tcPr>
          <w:p>
            <w:pPr>
              <w:spacing w:after="0" w:line="240"/>
            </w:pPr>
            <w:r>
              <w:rPr>
                <w:sz w:val="19"/>
                <w:szCs w:val="19"/>
              </w:rPr>
              <w:t xml:space="preserve">1.5</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Uruchomiony odbiorca metryk i pulpit operacyjny. Podpięcie monitoringu ujawniło w pierwszej godzinie dwa kolejne defekty i wykazało, że próg jednego z alertów odpaliłby się natychmiast po wdrożeniu</w:t>
            </w:r>
          </w:p>
        </w:tc>
      </w:tr>
      <w:tr>
        <w:tc>
          <w:tcPr>
            <w:tcW w:type="dxa" w:w="1200"/>
            <w:tcMar>
              <w:top w:type="dxa" w:w="70"/>
              <w:left w:type="dxa" w:w="110"/>
              <w:bottom w:type="dxa" w:w="70"/>
              <w:right w:type="dxa" w:w="110"/>
            </w:tcMar>
            <w:vAlign w:val="center"/>
          </w:tcPr>
          <w:p>
            <w:pPr>
              <w:spacing w:after="0" w:line="240"/>
            </w:pPr>
            <w:r>
              <w:rPr>
                <w:sz w:val="19"/>
                <w:szCs w:val="19"/>
              </w:rPr>
              <w:t xml:space="preserve">1.6</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Formalny kontrakt interfejsu, zbiór wzorcowy jakości wyszukiwania i cztery naprawy, które z niego wynikły — w tym wyszukiwanie ulic w Warszawie i skrytka pocztowa uznawana za adres zweryfikowany</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1.7</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9–10.08.2026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Archiwum wyniesione poza maszynę roboczą wraz z weryfikacją sum kontrolnych po stronie odbiorcy — zamknięte ryzyko bezpowrotnej utraty danych w strukturze sprzed 1 września 2026, jedyne z terminem nieprzesuwalnym. Powtórny pełny przebieg przetwarzania potwierdził, że publikacja nie odtwarza usuniętych duplikatów. Rozpoczęte równoległe prace nad uwierzytelnianiem klientów. Sprostowane wielkości artefaktu i katalogu ulic oraz pochodzenie liczb czasu odpowiedzi dla ścieżki HTTP</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wydaniach 1.4–1.7</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Archiwum plików źródłowych przestało istnieć w jednym egzemplarzu. Komplet 16 archiwów PRG — wraz z plikami w strukturze sprzed 1 września 2026 — zrzuty bazy i artefakt wyszukiwania znajdują się od 9 sierpnia 2026 na osobnym serwerze, a ich integralność potwierdzono sumami kontrolnymi obliczonymi ponownie po stronie odbiorcy. Było to jedyne ryzyko w projekcie z terminem nieprzesuwalnym.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Rozwiązanie działa na komplecie danych: 8 605 682 punkty adresowe ze wszystkich 16 województw, wobec 1 990 483 z czterech w wydaniu 1.3. Pozycja „uruchomienie na pełnym zbiorze” jest zamknięta.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Uruchomiono odbiorcę metryk i pulpit operacyjny. Awarie przestały być wykrywane wyłącznie przez człowieka — to był jeden z trzech braków blokujących produkcję.</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 formalny kontrakt interfejsu oraz zbiór wzorcowy jakości wyszukiwania — dwa mechanizmy, których brak pozwalał wadom pozostawać niewidocznymi.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Łącznie ujawniono i naprawiono czternaście usterek, z których żadnej nie wykryłyby testy na próbkach. Klasyfikację według warunku wykrycia zawiera rozdział 8.4; jest ona głównym wnioskiem dla harmonogramu wdrożenia.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Czasy odpowiedzi zmierzono na danych rzeczywistych dwiema metodami. Wyniki są znacznie lepsze od podanych w wydaniach 1.2–1.3, a rozbieżność ma źródło metodyczne — rozdział 8.6.</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Wydanie 1.7 prostuje trzy wielkości, które zdezaktualizowały się w trakcie prac: rozmiar artefaktu wyszukiwania i liczbę pozycji w nim (scalenie zduplikowanych ulic zmniejszyło go o połowę), liczbę ulic w katalogu oraz zużycie pamięci przez proces. Osobno opisano, że liczby czasu odpowiedzi dla pełnej ścieżki HTTP nie były odtwarzalne narzędziem, któremu je przypisywano — rozdział 8.6.</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1,7 ms na pełnym kraju, przez interfejs HTTP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4 operacyjne oraz 6 operatorskich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7 reguł alertów, manifest zadania cyklicznego</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Uruchomiony 9.08.2026 — zbieranie metryk, reguły wczytane, jeden ekran stanu usługi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Wszystkie 16 województw opublikowane 9.08.2026: 8 605 682 punkty — patrz 8.3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Powiadomienia i zasady eskalacji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Zbieranie i pulpit działają; brakuje realnego kanału powiadomień i ustalenia, co budzi w nocy</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Klucze API z licencjami, limitami i kwotami — wdrożone 10.08.2026, patrz 5.5</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E8EDF2"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E8EDF2" w:color="auto" w:val="clear"/>
            <w:tcMar>
              <w:top w:type="dxa" w:w="70"/>
              <w:left w:type="dxa" w:w="110"/>
              <w:bottom w:type="dxa" w:w="70"/>
              <w:right w:type="dxa" w:w="110"/>
            </w:tcMar>
            <w:vAlign w:val="center"/>
          </w:tcPr>
          <w:p>
            <w:pPr>
              <w:spacing w:after="0" w:line="240"/>
            </w:pPr>
            <w:r>
              <w:rPr>
                <w:sz w:val="19"/>
                <w:szCs w:val="19"/>
              </w:rPr>
              <w:t xml:space="preserve">Kopia poza maszyną wykonana 9.08.2026 i zweryfikowana sumami kontrolnymi. Brakuje cykliczności, retencji i testu odtworzenia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Rozwiązanie działa na komplecie danych krajowych i zostało na nich zmierzone. Trzy braki dzielą je jednak od wersji, którą można wystawić klientom. Wymieniamy je w streszczeniu, ponieważ każdy wpływa na termin i na decyzje Zamawiającego. Czwarty brak z wydania 1.3 — niepełny zakres danych — został zamknięty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Uwierzytelnianie klientów API — ZAMKNIĘTE</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Zamknięte 10.08.2026. Klucze API z terminem ważności, limitami per klient i kwotami miesięcznymi. Limitowanie idzie po zweryfikowanej tożsamości — patrz 5.5</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wykonane</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są procesem</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Kopia poza maszyną powstała 9.08.2026 i zdjęła ryzyko utraty archiwum, ale jest jednorazowa i wykonana ręcznie. Brakuje harmonogramu, retencji, blokady zapisu na zamrożonym archiwum oraz — co najistotniejsze — choćby jednego przeprowadzonego odtworzenia. Do czasu takiego testu poprawność kopii pozostaje założeniem</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4,5–6,5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Alerty nie mają adresata</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Zbieranie metryk i pulpit operacyjny uruchomiono 9.08.2026, więc awarie są już widoczne. Brakuje realnego kanału powiadomień oraz ustalenia, kto co dostaje i co budzi w nocy</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3–5 dni</w:t>
            </w:r>
          </w:p>
        </w:tc>
      </w:tr>
    </w:tbl>
    <w:p>
      <w:pPr>
        <w:spacing w:after="160"/>
      </w:pPr>
    </w:p>
    <w:p>
      <w:pPr>
        <w:spacing w:after="120" w:line="276"/>
      </w:pPr>
      <w:r>
        <w:rPr>
          <w:b/>
          <w:bCs/>
          <w:sz w:val="21"/>
          <w:szCs w:val="21"/>
        </w:rPr>
        <w:t xml:space="preserve">Kolejność ma znaczenie. </w:t>
      </w:r>
      <w:r>
        <w:rPr>
          <w:sz w:val="21"/>
          <w:szCs w:val="21"/>
        </w:rPr>
        <w:t xml:space="preserve">Trzy braki są od siebie niezależne i można je prowadzić równolegle. Żaden nie wymaga rozstrzygnięcia pozostałych, więc harmonogram zależy wyłącznie od dostępności ludzi i od decyzji Zamawiającego z rozdziału 11. Do 9 sierpnia 2026 najpilniejszy był drugi, ponieważ jako jedyny miał termin nieprzesuwalny — 1 września 2026. Termin ten został zdjęty wraz z wyniesieniem archiwum poza maszynę, więc o kolejności decyduje dziś wyłącznie decyzja Zamawiającego co do komercjalizacji.</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a po 1 września 2026 danych w starej strukturze nie da się pobrać ponownie z żadnego źródła. Do 9 sierpnia 2026 była to jedna kopia na dysku roboczym; tego dnia wyniesiono ją na osobny serwer wraz z weryfikacją sum kontrolnych po stronie odbiorcy oraz potwierdzeniem, że w każdym z 16 archiwów rzeczywiście znajduje się plik w starej strukturze. Ryzyko jest zamknięte także w wymiarze trwałości. Pozostaje uczynić z kopii proces, nie zdarzenie —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Funkcję pełni od 9.08.2026 kopia na osobnym serwerze, przenoszona ręcznie; docelowy magazyn i automatyzacja pozostają do wykonania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w ujęciu produktowym. Wiążącym kontraktem dla zespołów integrujących jest od 9 sierpnia 2026 formalna specyfikacja OpenAPI, dostarczana wraz z serwisem: podaje metody, ścieżki, parametry, kody odpowiedzi i przykłady dla wszystkich dwudziestu jeden tras.</w:t>
      </w:r>
    </w:p>
    <w:p>
      <w:pPr>
        <w:spacing w:after="120" w:line="276"/>
      </w:pPr>
      <w:r>
        <w:rPr>
          <w:sz w:val="21"/>
          <w:szCs w:val="21"/>
        </w:rPr>
        <w:t xml:space="preserve">Kształty odpowiedzi w specyfikacji zdjęto z odpytania działającej usługi na pełnych danych krajowych, a nie z lektury kodu. Zgodności pilnuje test porównujący ją z trasami faktycznie zarejestrowanymi w serwisie — w obie strony, więc ani nowy punkt końcowy nie przejdzie nieudokumentowany, ani specyfikacja nie opisze czegoś, czego nie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8.08.2026: możliwość obejścia limitowania zapytań</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Do 8 sierpnia 2026 kluczem limitowania był nagłówek klucza API, z odwrotem na adres sieciowy klienta. Nagłówka nikt nie weryfikował, więc klient wysyłający przy każdym żądaniu losową wartość otrzymywał świeży licznik i całkowicie omijał limitowanie. Nie był to brak funkcji, lecz działający mechanizm obejścia.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Limitowanie idzie teraz wyłącznie po adresie klienta. Zaufanie do nagłówków warstwy wejściowej jest domyślnie wyłączone i wymaga jawnej konfiguracji — inaczej klient mógłby podać własny adres, czyli własny klucz limitowania, i luka wróciłaby innymi drzwiami. Zachowanie zabezpiecza test regresji.</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Uwaga wdrożeniowa: przy pracy za warstwą wejściową trzeba tę konfigurację ustawić, bo bez niej cały ruch trafia do jednego kubełka i limit obejmuje całą instalację zamiast pojedynczego klienta.</w:t>
      </w:r>
    </w:p>
    <w:p>
      <w:pPr>
        <w:spacing w:after="18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10.08.2026: uwierzytelnianie klientów i klucze z licencjami</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Serwis weryfikuje tożsamość klienta kluczem API przekazywanym w nagłówku. Klucz ma postać rozpoznawalnego prefiksu, części tajnej i sumy kontrolnej; jest pokazywany jeden raz, przy wystawieniu, a usługa przechowuje wyłącznie jego skrót kryptograficzny liczony z dodatkowym sekretem trzymanym poza bazą. Zrzut bazy danych — kopia zapasowa, replika, zrzut diagnostyczny — nie pozwala odtworzyć żadnego klucza.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Kluczem limitowania jest od tej chwili zweryfikowana tożsamość klienta, a nie wartość przysłana w żądaniu. Rozróżnienie jest istotne, bo to właśnie ono odróżnia obecny stan od luki zamkniętej 8 sierpnia: wszystkie klucze jednego klienta dzielą wspólny licznik, więc wystawienie sobie dodatkowego klucza nie podnosi przepustowości.</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Ruch bez ważnego klucza podlega osobnemu, niższemu limitowi liczonemu po adresie sieciowym. Bez tego zgadywanie kluczy byłoby nieograniczone, ponieważ żądanie odrzucone na wejściu nie dociera do właściwego limitera.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Klucz ma termin ważności i daje się unieważnić natychmiast. Unieważnienie dociera do wszystkich instancji usługi w czasie poniżej sekundy, a gwarantowany czas zbieżności wynosi około dziesięciu sekund niezależnie od stanu kanału powiadomień. Rotacja przebiega bez przerwy w dostępie: następca powstaje obok poprzednika, który przez ustalony okres przejściowy nadal działa.</w:t>
      </w:r>
    </w:p>
    <w:p>
      <w:pPr>
        <w:spacing w:after="18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Rozliczanie i podział klientów</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Każdy klient ma własny limit zapytań na minutę oraz opcjonalną kwotę miesięczną. Kwota liczona jest w jednostkach rozliczeniowych, a nie w żądaniach — walidacja wsadowa zużywa tyle jednostek, ile adresów zawiera. Rozróżnienie jest konieczne, bo bez niego klient rozliczany w żądaniach obchodziłby kwotę, pakując tysiąc adresów w jedno zapytanie.</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 minutowy chroni przed przeciążeniem i jest liczony w pamięci pojedynczej instancji; przy wielu replikach łączna przepustowość jest odpowiednio wyższa i tak należy go zapisywać w umowie. Kwota miesięczna, jako podstawa faktury, jest wspólna dla wszystkich instancji i utrwalana w bazie.</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Zarządzanie klientami i kluczami odbywa się przez sześć punktów operatorskich, celowo umieszczonych poza przestrzenią interfejsu klienckiego i zabezpieczonych odrębnym mechanizmem. Klucz kliencki nie otwiera żadnego z nich — inaczej dowolny klient mógłby wystawić sobie klucz bez ograniczeń.</w:t>
      </w:r>
    </w:p>
    <w:p>
      <w:pPr>
        <w:spacing w:after="18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Zachowanie przy awarii bazy danych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Weryfikacja klucza nie odpytuje bazy. Usługa utrzymuje pełną replikę rejestru kluczy w pamięci procesu, odświeżaną kanałem powiadomień i cyklicznym zapytaniem. Dzięki temu niedostępność bazy nie odcina klientów, a podpowiedzi adresowe — które bazy nie potrzebują — działają dalej.</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Cena tego rozwiązania jest ograniczona i mierzalna: przez czas awarii klucz unieważniony kilka minut wcześniej nadal działa. Jest to okno, a nie luka, i domyka je próg wieku repliki — po jego przekroczeniu instancja przestaje zgłaszać gotowość i wypada z ruchu, dzięki czemu awaria staje się widoczna zamiast być po cichu tolerowana.</w:t>
      </w:r>
    </w:p>
    <w:p>
      <w:pPr>
        <w:spacing w:after="180"/>
      </w:pPr>
    </w:p>
    <w:p>
      <w:pPr>
        <w:spacing w:after="120" w:line="276"/>
      </w:pPr>
      <w:r>
        <w:rPr>
          <w:b/>
          <w:bCs/>
          <w:sz w:val="21"/>
          <w:szCs w:val="21"/>
        </w:rPr>
        <w:t xml:space="preserve">Koszt uwierzytelniania. </w:t>
      </w:r>
      <w:r>
        <w:rPr>
          <w:sz w:val="21"/>
          <w:szCs w:val="21"/>
        </w:rPr>
        <w:t xml:space="preserve">Zmierzony narzut na żądanie wynosi 34–36 mikrosekund przy przyjętym budżecie 300 mikrosekund, co potwierdzono dwiema niezależnymi metodami pomiaru. Weryfikacja nie wykonuje żadnego zapytania do bazy danych ani do usług zewnętrznych.</w:t>
      </w:r>
    </w:p>
    <w:p>
      <w:pPr>
        <w:spacing w:after="120" w:line="276"/>
      </w:pPr>
      <w:r>
        <w:rPr>
          <w:b/>
          <w:bCs/>
          <w:sz w:val="21"/>
          <w:szCs w:val="21"/>
        </w:rPr>
        <w:t xml:space="preserve">Co pozostaje do wykonania. </w:t>
      </w:r>
      <w:r>
        <w:rPr>
          <w:sz w:val="21"/>
          <w:szCs w:val="21"/>
        </w:rPr>
        <w:t xml:space="preserve">Wystawianie kluczy odbywa się dziś przez punkty operatorskie i narzędzie wiersza poleceń; panel administracyjny z rolami wymaga wcześniejszego wdrożenia rejestru wydań i dziennika zmian (etapy 4 i 5). Kopia zapasowa sekretu użytego do skrótów kluczy jest pozycją etapu 8C i wymaga uwagi: jego utrata unieważnia wszystkie klucze bez możliwości odtworzenia z kopii bazy danych.</w:t>
      </w:r>
    </w:p>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Prace rozpoczęte 9.08.2026 — fundament gotowy, obsługa żądania nietknięta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 model danych klientów i kluczy w wydzielonym obszarze bazy, celowo bez powiązań w stronę danych adresowych: rutynowe czyszczenie danych testowych kasowałoby przez zależność poświadczenia klientów.</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Ustalono postać klucza — stała długość, rozpoznawalny przedrostek i suma kontrolna pozwalająca odrzucić błędny klucz bez sięgania do bazy. Suma jest liczona bez sekretu, celowo: zewnętrzne usługi wykrywające wycieki poświadczeń w publicznych repozytoriach muszą umieć rozpoznać nasz klucz, nie znając naszego sekretu.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Klucze są przechowywane jako skrót z sekretem trzymanym poza bazą, w postaci pozwalającej na wymianę sekretu bez przerwy w działaniu. Zrzut bazy jest z założenia bezużyteczny do podszycia się pod klienta.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Powstała replika rejestru kluczy w pamięci procesu, dzięki czemu sprawdzenie klucza nie wymaga zapytania do bazy. Ma to trzy konsekwencje: zgadywanie kluczy nie obciąża bazy, awaria bazy nie zatrzymuje weryfikacji, a unieważnienie klucza dociera do instancji dwiema niezależnymi drogami — natychmiastową i gwarantowaną.</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Wykonano też pomiar kosztu, zanim powstał kod, którego koszt ma być mierzony. Wynik jest sam w sobie istotny: wymaganie „nie więcej niż +0,3 ms do 99. percentyla” jest niemierzalne przy krótkich seriach — próg leży poniżej szumu przyrządu. Wiarygodny pomiar wymaga ok. 180 tysięcy żądań na serię, a i wtedy zapas nad progiem waha się kilkukrotnie między przebiegami.</w:t>
      </w:r>
    </w:p>
    <w:p>
      <w:pPr>
        <w:spacing w:after="180"/>
      </w:pPr>
    </w:p>
    <w:p>
      <w:pPr>
        <w:spacing w:after="160"/>
      </w:pPr>
    </w:p>
    <w:p>
      <w:pPr>
        <w:spacing w:after="120" w:line="276"/>
      </w:pPr>
      <w:r>
        <w:rPr>
          <w:b/>
          <w:bCs/>
          <w:sz w:val="21"/>
          <w:szCs w:val="21"/>
        </w:rPr>
        <w:t xml:space="preserve">Przy okazji zamknięto dwie luki spoza zakresu tych prac: </w:t>
      </w:r>
      <w:r>
        <w:rPr>
          <w:sz w:val="21"/>
          <w:szCs w:val="21"/>
        </w:rPr>
        <w:t xml:space="preserve">plik z poświadczeniami nie był wykluczony ani z repozytorium, ani z obrazu kontenera — pojedyncze rutynowe polecenie wystarczyłoby, żeby sekrety trafiły do historii repozytorium, a budowanie obrazu wpiekłoby je w warstwę wysyłaną do rejestru. Osobno okazało się, że narzędzie wgrywające zmiany schematu bazy kończyło się powodzeniem mimo błędów w środku pliku, więc kryterium „migracja przeszła” dawało się spełnić przez pomyłkę.</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Progi przy publikacji z 9 sierpnia 2026. </w:t>
      </w:r>
      <w:r>
        <w:rPr>
          <w:sz w:val="21"/>
          <w:szCs w:val="21"/>
        </w:rPr>
        <w:t xml:space="preserve">Próg minimalnej liczby rekordów zadziałał w wartości domyślnej, przewidzianej dla produkcji — wcześniejsze publikacje częściowe wymagały jego obniżania, ta potrzeba znika wraz z pełnym zakresem. Jednorazowo podniesiono natomiast próg wielkości zmiany: wejście z 1,99 mln na 8,61 mln punktów to wzrost o 332%, wobec 2% przewidzianych dla cyklu tygodniowego. Jest to parametryzacja kontroli, nie jej wyłączenie, i obowiązuje wyłącznie dla przebiegu pierwszego załadunku.</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Kontrola „spadek w pojedynczej gminie” wymagała naprawy, zanim zadziałała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publikacji z 9 sierpnia 2026 kontrola ta wstrzymała podmianę fałszywie, raportując utratę wszystkich punktów w 20 gminach. Przyczyną było liczenie jej przed rozwiązaniem referencji do miejscowości — szczegóły w rozdziale 8.4.</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Znaczenie jest szersze niż jeden przebieg: w dotychczasowej postaci kontrola przechodziła wyłącznie na pustej bazie, czyli nie zabezpieczała żadnej aktualizacji. Po poprawce działa i przepuściła zbiór krajowy bez zastrzeżeń.</w:t>
      </w:r>
    </w:p>
    <w:p>
      <w:pPr>
        <w:spacing w:after="180"/>
      </w:pP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Działa — archiwum poza maszyną od 9.08.2026, sumy zweryfikowane u odbiorcy</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Archiwum przestało być pojedynczą kopią 9 sierpnia 2026 — awaria dysku roboczego nie oznacza już utraty poziomu 4 ani bezpowrotnej utraty zrzutu w strukturze sprzed 1 września 2026.</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Pozostaje natomiast zastrzeżenie innego rodzaju: odtworzenia z tej kopii nie przeprowadzono ani razu. Kopia zweryfikowana sumami kontrolnymi dowodzi, że pliki dotarły bez uszkodzenia — nie dowodzi, że da się z nich odtworzyć działającą bazę. Do czasu takiego testu poziom 4 należy uznawać za prawdopodobny, a nie potwierdzony.</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0,81 ms (silnik)</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4,63 ms (silnik)</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9,38 ms (silnik)</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54,5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378 399</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55 s</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pełnym zbiorze krajowym</w:t>
      </w:r>
    </w:p>
    <w:p>
      <w:pPr>
        <w:spacing w:after="120" w:line="276"/>
      </w:pPr>
      <w:r>
        <w:rPr>
          <w:sz w:val="21"/>
          <w:szCs w:val="21"/>
        </w:rPr>
        <w:t xml:space="preserve">Wyniki wydań 1.0–1.1 pochodziły z próbek i zbiorów syntetycznych, wydania 1.2–1.3 z czterech województw. 9 sierpnia 2026 cała ścieżka przeszła na komplecie danych krajowych — wszystkie 16 województw w jednej publikacji.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Wydanie 1.3 (4 województwa)</w:t>
            </w:r>
          </w:p>
        </w:tc>
      </w:tr>
      <w:tr>
        <w:tc>
          <w:tcPr>
            <w:tcW w:type="dxa" w:w="26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3400"/>
            <w:tcMar>
              <w:top w:type="dxa" w:w="70"/>
              <w:left w:type="dxa" w:w="110"/>
              <w:bottom w:type="dxa" w:w="70"/>
              <w:right w:type="dxa" w:w="110"/>
            </w:tcMar>
            <w:vAlign w:val="center"/>
          </w:tcPr>
          <w:p>
            <w:pPr>
              <w:spacing w:after="0" w:line="240"/>
            </w:pPr>
            <w:r>
              <w:rPr>
                <w:sz w:val="19"/>
                <w:szCs w:val="19"/>
              </w:rPr>
              <w:t xml:space="preserve">8 605 682</w:t>
            </w:r>
          </w:p>
        </w:tc>
        <w:tc>
          <w:tcPr>
            <w:tcW w:type="dxa" w:w="3026"/>
            <w:tcMar>
              <w:top w:type="dxa" w:w="70"/>
              <w:left w:type="dxa" w:w="110"/>
              <w:bottom w:type="dxa" w:w="70"/>
              <w:right w:type="dxa" w:w="110"/>
            </w:tcMar>
            <w:vAlign w:val="center"/>
          </w:tcPr>
          <w:p>
            <w:pPr>
              <w:spacing w:after="0" w:line="240"/>
            </w:pPr>
            <w:r>
              <w:rPr>
                <w:sz w:val="19"/>
                <w:szCs w:val="19"/>
              </w:rPr>
              <w:t xml:space="preserve">1 990 483</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5 532 383 (64,3%)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1 324 563</w:t>
            </w:r>
          </w:p>
        </w:tc>
      </w:tr>
      <w:tr>
        <w:tc>
          <w:tcPr>
            <w:tcW w:type="dxa" w:w="2600"/>
            <w:tcMar>
              <w:top w:type="dxa" w:w="70"/>
              <w:left w:type="dxa" w:w="110"/>
              <w:bottom w:type="dxa" w:w="70"/>
              <w:right w:type="dxa" w:w="110"/>
            </w:tcMar>
            <w:vAlign w:val="center"/>
          </w:tcPr>
          <w:p>
            <w:pPr>
              <w:spacing w:after="0" w:line="240"/>
            </w:pPr>
            <w:r>
              <w:rPr>
                <w:sz w:val="19"/>
                <w:szCs w:val="19"/>
              </w:rPr>
              <w:t xml:space="preserve">Punkty z kodem pocztowym</w:t>
            </w:r>
          </w:p>
        </w:tc>
        <w:tc>
          <w:tcPr>
            <w:tcW w:type="dxa" w:w="3400"/>
            <w:tcMar>
              <w:top w:type="dxa" w:w="70"/>
              <w:left w:type="dxa" w:w="110"/>
              <w:bottom w:type="dxa" w:w="70"/>
              <w:right w:type="dxa" w:w="110"/>
            </w:tcMar>
            <w:vAlign w:val="center"/>
          </w:tcPr>
          <w:p>
            <w:pPr>
              <w:spacing w:after="0" w:line="240"/>
            </w:pPr>
            <w:r>
              <w:rPr>
                <w:sz w:val="19"/>
                <w:szCs w:val="19"/>
              </w:rPr>
              <w:t xml:space="preserve">8 604 962 (99,99%)</w:t>
            </w:r>
          </w:p>
        </w:tc>
        <w:tc>
          <w:tcPr>
            <w:tcW w:type="dxa" w:w="3026"/>
            <w:tcMar>
              <w:top w:type="dxa" w:w="70"/>
              <w:left w:type="dxa" w:w="110"/>
              <w:bottom w:type="dxa" w:w="70"/>
              <w:right w:type="dxa" w:w="110"/>
            </w:tcMar>
            <w:vAlign w:val="center"/>
          </w:tcPr>
          <w:p>
            <w:pPr>
              <w:spacing w:after="0" w:line="240"/>
            </w:pPr>
            <w:r>
              <w:rPr>
                <w:sz w:val="19"/>
                <w:szCs w:val="19"/>
              </w:rPr>
              <w:t xml:space="preserve">—</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101 883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101 865</w:t>
            </w:r>
          </w:p>
        </w:tc>
      </w:tr>
      <w:tr>
        <w:tc>
          <w:tcPr>
            <w:tcW w:type="dxa" w:w="2600"/>
            <w:tcMar>
              <w:top w:type="dxa" w:w="70"/>
              <w:left w:type="dxa" w:w="110"/>
              <w:bottom w:type="dxa" w:w="70"/>
              <w:right w:type="dxa" w:w="110"/>
            </w:tcMar>
            <w:vAlign w:val="center"/>
          </w:tcPr>
          <w:p>
            <w:pPr>
              <w:spacing w:after="0" w:line="240"/>
            </w:pPr>
            <w:r>
              <w:rPr>
                <w:sz w:val="19"/>
                <w:szCs w:val="19"/>
              </w:rPr>
              <w:t xml:space="preserve">Ulice w katalogu</w:t>
            </w:r>
          </w:p>
        </w:tc>
        <w:tc>
          <w:tcPr>
            <w:tcW w:type="dxa" w:w="3400"/>
            <w:tcMar>
              <w:top w:type="dxa" w:w="70"/>
              <w:left w:type="dxa" w:w="110"/>
              <w:bottom w:type="dxa" w:w="70"/>
              <w:right w:type="dxa" w:w="110"/>
            </w:tcMar>
            <w:vAlign w:val="center"/>
          </w:tcPr>
          <w:p>
            <w:pPr>
              <w:spacing w:after="0" w:line="240"/>
            </w:pPr>
            <w:r>
              <w:rPr>
                <w:sz w:val="19"/>
                <w:szCs w:val="19"/>
              </w:rPr>
              <w:t xml:space="preserve">325 595 — po scaleniu duplikatów, przed nim 689 328</w:t>
            </w:r>
          </w:p>
        </w:tc>
        <w:tc>
          <w:tcPr>
            <w:tcW w:type="dxa" w:w="3026"/>
            <w:tcMar>
              <w:top w:type="dxa" w:w="70"/>
              <w:left w:type="dxa" w:w="110"/>
              <w:bottom w:type="dxa" w:w="70"/>
              <w:right w:type="dxa" w:w="110"/>
            </w:tcMar>
            <w:vAlign w:val="center"/>
          </w:tcPr>
          <w:p>
            <w:pPr>
              <w:spacing w:after="0" w:line="240"/>
            </w:pPr>
            <w:r>
              <w:rPr>
                <w:sz w:val="19"/>
                <w:szCs w:val="19"/>
              </w:rPr>
              <w:t xml:space="preserve">385 436</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Artefakt wyszukiwania</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378 399 pozycji, 54,5 MB</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2600"/>
            <w:tcMar>
              <w:top w:type="dxa" w:w="70"/>
              <w:left w:type="dxa" w:w="110"/>
              <w:bottom w:type="dxa" w:w="70"/>
              <w:right w:type="dxa" w:w="110"/>
            </w:tcMar>
            <w:vAlign w:val="center"/>
          </w:tcPr>
          <w:p>
            <w:pPr>
              <w:spacing w:after="0" w:line="240"/>
            </w:pPr>
            <w:r>
              <w:rPr>
                <w:sz w:val="19"/>
                <w:szCs w:val="19"/>
              </w:rPr>
              <w:t xml:space="preserve">Rozmiar bazy danych</w:t>
            </w:r>
          </w:p>
        </w:tc>
        <w:tc>
          <w:tcPr>
            <w:tcW w:type="dxa" w:w="3400"/>
            <w:tcMar>
              <w:top w:type="dxa" w:w="70"/>
              <w:left w:type="dxa" w:w="110"/>
              <w:bottom w:type="dxa" w:w="70"/>
              <w:right w:type="dxa" w:w="110"/>
            </w:tcMar>
            <w:vAlign w:val="center"/>
          </w:tcPr>
          <w:p>
            <w:pPr>
              <w:spacing w:after="0" w:line="240"/>
            </w:pPr>
            <w:r>
              <w:rPr>
                <w:sz w:val="19"/>
                <w:szCs w:val="19"/>
              </w:rPr>
              <w:t xml:space="preserve">12 GB</w:t>
            </w:r>
          </w:p>
        </w:tc>
        <w:tc>
          <w:tcPr>
            <w:tcW w:type="dxa" w:w="3026"/>
            <w:tcMar>
              <w:top w:type="dxa" w:w="70"/>
              <w:left w:type="dxa" w:w="110"/>
              <w:bottom w:type="dxa" w:w="70"/>
              <w:right w:type="dxa" w:w="110"/>
            </w:tcMar>
            <w:vAlign w:val="center"/>
          </w:tcPr>
          <w:p>
            <w:pPr>
              <w:spacing w:after="0" w:line="240"/>
            </w:pPr>
            <w:r>
              <w:rPr>
                <w:sz w:val="19"/>
                <w:szCs w:val="19"/>
              </w:rPr>
              <w:t xml:space="preserve">3 GB</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16 województw z 16 — cały kraj</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 z 16, ok. 23% kraju</w:t>
            </w:r>
          </w:p>
        </w:tc>
      </w:tr>
    </w:tbl>
    <w:p>
      <w:pPr>
        <w:spacing w:after="160"/>
      </w:pPr>
    </w:p>
    <w:p>
      <w:pPr>
        <w:spacing w:after="120" w:line="276"/>
      </w:pPr>
      <w:r>
        <w:rPr>
          <w:b/>
          <w:bCs/>
          <w:sz w:val="21"/>
          <w:szCs w:val="21"/>
        </w:rPr>
        <w:t xml:space="preserve">Zgodność z zapowiedzią rejestru. </w:t>
      </w:r>
      <w:r>
        <w:rPr>
          <w:sz w:val="21"/>
          <w:szCs w:val="21"/>
        </w:rPr>
        <w:t xml:space="preserve">Rejestr PRG podaje 8 560 617 punktów według stanu na 31 marca 2026. Opublikowany zbiór liczy 8 605 682, czyli o 45 tys. więcej — różnica odpowiada przyrostowi za cztery miesiące i potwierdza kompletność zrzutu z 6 sierpnia.</w:t>
      </w:r>
    </w:p>
    <w:p>
      <w:pPr>
        <w:spacing w:after="120" w:line="276"/>
      </w:pPr>
      <w:r>
        <w:rPr>
          <w:b/>
          <w:bCs/>
          <w:sz w:val="21"/>
          <w:szCs w:val="21"/>
        </w:rPr>
        <w:t xml:space="preserve">Wiszące referencje w źródle. </w:t>
      </w:r>
      <w:r>
        <w:rPr>
          <w:sz w:val="21"/>
          <w:szCs w:val="21"/>
        </w:rPr>
        <w:t xml:space="preserve">Z 8 605 908 punktów w obszarze przejściowym 226 (0,003%) miało odwołanie do miejscowości, której nie ma w tym samym pliku wojewódzkim. Skupiają się w czterech województwach, najwięcej w lubelskim. Punkty te nie trafiły do zbioru produktowego. Jest to wada danych źródłowych, nie przetwarzania.</w:t>
      </w: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Publikacja całego kraju przeszła kontrole jakości przy progu minimalnej liczby rekordów ustawionym na wartość domyślną, czyli tę przewidzianą dla produkcji. Wcześniejsze publikacje częściowe wymagały jego obniżania; ta potrzeba znika wraz z pełnym zakresem danych.</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Jednorazowo podniesiono natomiast próg kontroli wielkości zmiany. Przejście z 1,99 mln na 8,61 mln punktów to wzrost o 332%, wobec domyślnych 2% przewidzianych dla cyklu tygodniowego. Przy kolejnym przebiegu próg wraca do wartości domyślnej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Czternaście usterek ujawniło się dopiero na danych rzeczywistych i na działającej usłudze. Wszystkie naprawiono. Podział poniżej jest istotny dla planowania, ponieważ każda grupa wymagała innego warunku, żeby w ogóle stać się widoczna — i każda daje inny wniosek dla harmonogramu wdrożenia.</w:t>
      </w:r>
    </w:p>
    <w:p>
      <w:pPr>
        <w:pStyle w:val="Heading3"/>
        <w:spacing w:after="110" w:before="220"/>
      </w:pPr>
      <w:r>
        <w:t xml:space="preserve">Wykryte przy pierwszym uruchomieniu (4 województwa)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Style w:val="Heading3"/>
        <w:spacing w:after="110" w:before="220"/>
      </w:pPr>
      <w:r>
        <w:t xml:space="preserve">Wykryte przy przejściu na pełny kraj (16 województw)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Kontrola „spadek w gminie” liczona przed rozwiązaniem referencji do miejscowości</w:t>
            </w:r>
          </w:p>
        </w:tc>
        <w:tc>
          <w:tcPr>
            <w:tcW w:type="dxa" w:w="4826"/>
            <w:tcMar>
              <w:top w:type="dxa" w:w="70"/>
              <w:left w:type="dxa" w:w="110"/>
              <w:bottom w:type="dxa" w:w="70"/>
              <w:right w:type="dxa" w:w="110"/>
            </w:tcMar>
            <w:vAlign w:val="center"/>
          </w:tcPr>
          <w:p>
            <w:pPr>
              <w:spacing w:after="0" w:line="240"/>
            </w:pPr>
            <w:r>
              <w:rPr>
                <w:sz w:val="19"/>
                <w:szCs w:val="19"/>
              </w:rPr>
              <w:t xml:space="preserve">Kontrola blokująca nie działała nigdy poza pustą bazą i przy każdej kolejnej publikacji dawała fałszywe wstrzymanie — patrz ramka poniżej</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Pamięć dzielona kontenera bazy ograniczona do domyślnych 64 MB</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Przy 8,6 mln wierszy planer wchodzi w tryb równoległy i przebieg przerywa się komunikatem o braku miejsca, niezwiązanym z dyskiem</w:t>
            </w:r>
          </w:p>
        </w:tc>
      </w:tr>
      <w:tr>
        <w:tc>
          <w:tcPr>
            <w:tcW w:type="dxa" w:w="4200"/>
            <w:tcMar>
              <w:top w:type="dxa" w:w="70"/>
              <w:left w:type="dxa" w:w="110"/>
              <w:bottom w:type="dxa" w:w="70"/>
              <w:right w:type="dxa" w:w="110"/>
            </w:tcMar>
            <w:vAlign w:val="center"/>
          </w:tcPr>
          <w:p>
            <w:pPr>
              <w:spacing w:after="0" w:line="240"/>
            </w:pPr>
            <w:r>
              <w:rPr>
                <w:sz w:val="19"/>
                <w:szCs w:val="19"/>
              </w:rPr>
              <w:t xml:space="preserve">Rozwiązywanie referencji wykonywane poza oknem ładowania masowego</w:t>
            </w:r>
          </w:p>
        </w:tc>
        <w:tc>
          <w:tcPr>
            <w:tcW w:type="dxa" w:w="4826"/>
            <w:tcMar>
              <w:top w:type="dxa" w:w="70"/>
              <w:left w:type="dxa" w:w="110"/>
              <w:bottom w:type="dxa" w:w="70"/>
              <w:right w:type="dxa" w:w="110"/>
            </w:tcMar>
            <w:vAlign w:val="center"/>
          </w:tcPr>
          <w:p>
            <w:pPr>
              <w:spacing w:after="0" w:line="240"/>
            </w:pPr>
            <w:r>
              <w:rPr>
                <w:sz w:val="19"/>
                <w:szCs w:val="19"/>
              </w:rPr>
              <w:t xml:space="preserve">Aktualizacja 8,6 mln wierszy przy trzech nałożonych indeksach: 49 minut zamiast kilku i trzydziestokrotne wzmocnienie zapisu</w:t>
            </w:r>
          </w:p>
        </w:tc>
      </w:tr>
    </w:tbl>
    <w:p>
      <w:pPr>
        <w:spacing w:after="16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Kontrola jakości, która nigdy nie zadziałała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Najpoważniejsza z trzech nowych usterek nie powodowała błędnych danych — powodowała fałszywe poczucie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Kontrola „spadek w pojedynczej gminie” pilnuje wzorca „zrzut bez miasta”, czyli incydentu z Wrocławiem z 2016 roku, i jest jednym z dwóch uzasadnień dla całego zestawu kontroli. Łączy dane przejściowe ze słownikiem miejscowości po identyfikatorze, który jednak wypełniany był dopiero wewnątrz publikacji — czyli już po kontrolach. W chwili liczenia identyfikator był pusty dla wszystkich rekordów.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Przy pierwszej publikacji baza była pusta, więc kontrola nie miała czego porównywać i przechodziła. Przy drugiej — 20 gmin z Warszawą na czele „straciło” komplet punktów, które w rzeczywistości były na miejscu.</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 produkcji oznaczałoby to jedno z dwojga: albo wstrzymanie każdej aktualizacji, albo — po obejściu kontroli przez operatora zmęczonego fałszywymi alarmami — brak ochrony przed rzeczywistym niekompletnym zrzutem.</w:t>
      </w:r>
    </w:p>
    <w:p>
      <w:pPr>
        <w:spacing w:after="180"/>
      </w:pPr>
    </w:p>
    <w:p>
      <w:pPr>
        <w:pStyle w:val="Heading3"/>
        <w:spacing w:after="110" w:before="220"/>
      </w:pPr>
      <w:r>
        <w:t xml:space="preserve">Wykryte w pierwszej godzinie po uruchomieniu monitoringu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Instancja porównywała wersję danych z nazwą pliku wskaźnika — wartości, które nigdy nie mogą być równe</w:t>
            </w:r>
          </w:p>
        </w:tc>
        <w:tc>
          <w:tcPr>
            <w:tcW w:type="dxa" w:w="4826"/>
            <w:tcMar>
              <w:top w:type="dxa" w:w="70"/>
              <w:left w:type="dxa" w:w="110"/>
              <w:bottom w:type="dxa" w:w="70"/>
              <w:right w:type="dxa" w:w="110"/>
            </w:tcMar>
            <w:vAlign w:val="center"/>
          </w:tcPr>
          <w:p>
            <w:pPr>
              <w:spacing w:after="0" w:line="240"/>
            </w:pPr>
            <w:r>
              <w:rPr>
                <w:sz w:val="19"/>
                <w:szCs w:val="19"/>
              </w:rPr>
              <w:t xml:space="preserve">Warunek „nic się nie zmieniło” nie zatrzymywał niczego: każda instancja wczytywała i przetwarzała cały artefakt (109 MB) co 60 sekund, mimo braku nowej wersji</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Funkcja metryk przeliczała liczebności pełnym skanem tabel produkcyjnych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Odpowiedź 4,4 s przy dziesięciosekundowym limicie zbierania — punkt stale na granicy przekroczenia, a każde zbieranie obciążało bazę skanem 8,6 mln wierszy. Po wprowadzeniu pamięci podręcznej: 0,05–0,12 s</w:t>
            </w:r>
          </w:p>
        </w:tc>
      </w:tr>
    </w:tbl>
    <w:p>
      <w:pPr>
        <w:spacing w:after="160"/>
      </w:pPr>
    </w:p>
    <w:p>
      <w:pPr>
        <w:pStyle w:val="Heading3"/>
        <w:spacing w:after="110" w:before="220"/>
      </w:pPr>
      <w:r>
        <w:t xml:space="preserve">Wykryte przez zbiór wzorcowy jakości wyszukiwania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Typ ulicy wtopiony w jej nazwę — dotyczy 20 586 ulic, w tym 97% ulic Warszawy</w:t>
            </w:r>
          </w:p>
        </w:tc>
        <w:tc>
          <w:tcPr>
            <w:tcW w:type="dxa" w:w="4826"/>
            <w:tcMar>
              <w:top w:type="dxa" w:w="70"/>
              <w:left w:type="dxa" w:w="110"/>
              <w:bottom w:type="dxa" w:w="70"/>
              <w:right w:type="dxa" w:w="110"/>
            </w:tcMar>
            <w:vAlign w:val="center"/>
          </w:tcPr>
          <w:p>
            <w:pPr>
              <w:spacing w:after="0" w:line="240"/>
            </w:pPr>
            <w:r>
              <w:rPr>
                <w:sz w:val="19"/>
                <w:szCs w:val="19"/>
              </w:rPr>
              <w:t xml:space="preserve">Zapytanie o samą nazwę nie zwracało Warszawy nawet wśród dwudziestu pięciu pierwszych podpowiedzi. Wyszukiwanie adresów w największym mieście kraju było niesprawne dla naturalnego sposobu wpisywania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Skrytka pocztowa rozpoznawana jako zwykły adres</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skrytki trafiał w pole numeru budynku i adres otrzymywał najwyższy poziom pewności — „zweryfikowany wobec rejestru” dla miejsca, którego w rejestrze nie ma. Przesyłka szła do wysyłki bez przeglądu</w:t>
            </w:r>
          </w:p>
        </w:tc>
      </w:tr>
      <w:tr>
        <w:tc>
          <w:tcPr>
            <w:tcW w:type="dxa" w:w="4200"/>
            <w:tcMar>
              <w:top w:type="dxa" w:w="70"/>
              <w:left w:type="dxa" w:w="110"/>
              <w:bottom w:type="dxa" w:w="70"/>
              <w:right w:type="dxa" w:w="110"/>
            </w:tcMar>
            <w:vAlign w:val="center"/>
          </w:tcPr>
          <w:p>
            <w:pPr>
              <w:spacing w:after="0" w:line="240"/>
            </w:pPr>
            <w:r>
              <w:rPr>
                <w:sz w:val="19"/>
                <w:szCs w:val="19"/>
              </w:rPr>
              <w:t xml:space="preserve">Przecinek jako jedyny separator pól adresu</w:t>
            </w:r>
          </w:p>
        </w:tc>
        <w:tc>
          <w:tcPr>
            <w:tcW w:type="dxa" w:w="4826"/>
            <w:tcMar>
              <w:top w:type="dxa" w:w="70"/>
              <w:left w:type="dxa" w:w="110"/>
              <w:bottom w:type="dxa" w:w="70"/>
              <w:right w:type="dxa" w:w="110"/>
            </w:tcMar>
            <w:vAlign w:val="center"/>
          </w:tcPr>
          <w:p>
            <w:pPr>
              <w:spacing w:after="0" w:line="240"/>
            </w:pPr>
            <w:r>
              <w:rPr>
                <w:sz w:val="19"/>
                <w:szCs w:val="19"/>
              </w:rPr>
              <w:t xml:space="preserve">Zapis bez przecinków — częsty przy danych wklejanych z faktur i przy adresach z rejestru REGON — trafiał w całości do jednego pola i nie dawał się dopasować</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Pięciocyfrowy numer budynku odczytywany jako kod pocztowy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znikał, a w jego miejsce pojawiał się kod będący znanym oznaczeniem braku danych. Dane były po cichu przeinaczane zamiast odrzucone</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Monitorowanie zwróciło się, zanim skończyło się jego wdrażanie</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Obie powyższe usterki istniały od miesięcy i nie objawiały się niczym, co dałoby się zauważyć bez obserwacji: usługa odpowiadała poprawnie, wyniki były prawidłowe, nic się nie przewracało.</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Pierwsza oznaczała, że każda instancja w produkcji wykonywałaby bezużyteczną pracę co minutę, przez cały czas działania — koszt rosnący liniowo z liczbą instancji i wielkością artefaktu.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Druga jest groźniejsza w skutkach pośrednich: punkt metryk na granicy limitu czasu oznacza, że przy pierwszym wzroście obciążenia monitoring zamilkłby dokładnie wtedy, gdy jest najbardziej potrzebny.</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Wnioskiem z wydania 1.3 było, że monitorowanie warto zacząć wcześnie. Wydanie 1.5 to potwierdza wynikiem: dwie realne usterki w pierwszej godzinie, przy nakładzie liczonym w dniach.</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 — najważniejszy w tym opracowaniu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czternastu usterek nie wykryłyby testy na danych próbnych. Każda grupa wymagała innego warunku, żeby w ogóle stać się widoczna, i to właśnie ta klasyfikacja, a nie sama liczba, ma znaczenie dla planowania.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Skala — pięć usterek. Ujawnia je dopiero objętość danych. Wniosek: przebieg na komplecie danych przed produkcją.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Druga publikacja — trzy usterki. Pierwsze uruchomienie zawsze odbywa się na pustej bazie, więc cała klasa błędów porównania „stan poprzedni wobec nowego” jest wtedy niewidoczna. Tak przeszła kontrola jakości, która nie zadziałałaby w produkcji ani razu. Wniosek: co najmniej dwie pełne publikacje pod obserwacją.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Obserwacja działającej usługi — dwie usterki, obie w pierwszej godzinie po uruchomieniu monitorowania. Wniosek: monitorowanie nie jest czynnością porządkową wykonywaną na koniec, lecz narzędziem wykrywania usterek.</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Porównanie z oczekiwaniem — cztery usterki. Usługa odpowiadała poprawnie i szybko, tyle że nie to, co trzeba. Bez zapisanego zbioru poprawnych odpowiedzi nic tego nie wykryje. Wniosek: zbiór wzorcowy jest warunkiem, a nie ozdobą — i musi opisywać odpowiedź poprawną, nie bieżącą, bo inaczej utrwala błędy.</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p>
      <w:pPr>
        <w:spacing w:after="120" w:line="276"/>
      </w:pPr>
      <w:r>
        <w:rPr>
          <w:sz w:val="21"/>
          <w:szCs w:val="21"/>
        </w:rPr>
        <w:t xml:space="preserve">Zmierzony przebieg dla całego kraju,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c>
          <w:tcPr>
            <w:tcW w:type="dxa" w:w="42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tcMar>
              <w:top w:type="dxa" w:w="70"/>
              <w:left w:type="dxa" w:w="110"/>
              <w:bottom w:type="dxa" w:w="70"/>
              <w:right w:type="dxa" w:w="110"/>
            </w:tcMar>
            <w:vAlign w:val="center"/>
          </w:tcPr>
          <w:p>
            <w:pPr>
              <w:spacing w:after="0" w:line="240"/>
            </w:pPr>
            <w:r>
              <w:rPr>
                <w:sz w:val="19"/>
                <w:szCs w:val="19"/>
              </w:rPr>
              <w:t xml:space="preserve">Pobranie z archiwum</w:t>
            </w:r>
          </w:p>
        </w:tc>
        <w:tc>
          <w:tcPr>
            <w:tcW w:type="dxa" w:w="1800"/>
            <w:tcMar>
              <w:top w:type="dxa" w:w="70"/>
              <w:left w:type="dxa" w:w="110"/>
              <w:bottom w:type="dxa" w:w="70"/>
              <w:right w:type="dxa" w:w="110"/>
            </w:tcMar>
            <w:vAlign w:val="center"/>
          </w:tcPr>
          <w:p>
            <w:pPr>
              <w:spacing w:after="0" w:line="240"/>
            </w:pPr>
            <w:r>
              <w:rPr>
                <w:sz w:val="19"/>
                <w:szCs w:val="19"/>
              </w:rPr>
              <w:t xml:space="preserve">—</w:t>
            </w:r>
          </w:p>
        </w:tc>
        <w:tc>
          <w:tcPr>
            <w:tcW w:type="dxa" w:w="4226"/>
            <w:tcMar>
              <w:top w:type="dxa" w:w="70"/>
              <w:left w:type="dxa" w:w="110"/>
              <w:bottom w:type="dxa" w:w="70"/>
              <w:right w:type="dxa" w:w="110"/>
            </w:tcMar>
            <w:vAlign w:val="center"/>
          </w:tcPr>
          <w:p>
            <w:pPr>
              <w:spacing w:after="0" w:line="240"/>
            </w:pPr>
            <w:r>
              <w:rPr>
                <w:sz w:val="19"/>
                <w:szCs w:val="19"/>
              </w:rPr>
              <w:t xml:space="preserve">Pliki na dysku, bez pobierania z sieci</w:t>
            </w:r>
          </w:p>
        </w:tc>
      </w:tr>
      <w:tr>
        <w:tc>
          <w:tcPr>
            <w:tcW w:type="dxa" w:w="3000"/>
            <w:tcMar>
              <w:top w:type="dxa" w:w="70"/>
              <w:left w:type="dxa" w:w="110"/>
              <w:bottom w:type="dxa" w:w="70"/>
              <w:right w:type="dxa" w:w="110"/>
            </w:tcMar>
            <w:vAlign w:val="center"/>
          </w:tcPr>
          <w:p>
            <w:pPr>
              <w:spacing w:after="0" w:line="240"/>
            </w:pPr>
            <w:r>
              <w:rPr>
                <w:sz w:val="19"/>
                <w:szCs w:val="19"/>
              </w:rPr>
              <w:t xml:space="preserve">Ładowanie 16 województw</w:t>
            </w:r>
          </w:p>
        </w:tc>
        <w:tc>
          <w:tcPr>
            <w:tcW w:type="dxa" w:w="1800"/>
            <w:tcMar>
              <w:top w:type="dxa" w:w="70"/>
              <w:left w:type="dxa" w:w="110"/>
              <w:bottom w:type="dxa" w:w="70"/>
              <w:right w:type="dxa" w:w="110"/>
            </w:tcMar>
            <w:vAlign w:val="center"/>
          </w:tcPr>
          <w:p>
            <w:pPr>
              <w:spacing w:after="0" w:line="240"/>
            </w:pPr>
            <w:r>
              <w:rPr>
                <w:sz w:val="19"/>
                <w:szCs w:val="19"/>
              </w:rPr>
              <w:t xml:space="preserve">~17 minut</w:t>
            </w:r>
          </w:p>
        </w:tc>
        <w:tc>
          <w:tcPr>
            <w:tcW w:type="dxa" w:w="4226"/>
            <w:tcMar>
              <w:top w:type="dxa" w:w="70"/>
              <w:left w:type="dxa" w:w="110"/>
              <w:bottom w:type="dxa" w:w="70"/>
              <w:right w:type="dxa" w:w="110"/>
            </w:tcMar>
            <w:vAlign w:val="center"/>
          </w:tcPr>
          <w:p>
            <w:pPr>
              <w:spacing w:after="0" w:line="240"/>
            </w:pPr>
            <w:r>
              <w:rPr>
                <w:sz w:val="19"/>
                <w:szCs w:val="19"/>
              </w:rPr>
              <w:t xml:space="preserve">Cztery procesy równolegle, 8 605 908 punktów</w:t>
            </w:r>
          </w:p>
        </w:tc>
      </w:tr>
      <w:tr>
        <w:tc>
          <w:tcPr>
            <w:tcW w:type="dxa" w:w="3000"/>
            <w:tcMar>
              <w:top w:type="dxa" w:w="70"/>
              <w:left w:type="dxa" w:w="110"/>
              <w:bottom w:type="dxa" w:w="70"/>
              <w:right w:type="dxa" w:w="110"/>
            </w:tcMar>
            <w:vAlign w:val="center"/>
          </w:tcPr>
          <w:p>
            <w:pPr>
              <w:spacing w:after="0" w:line="240"/>
            </w:pPr>
            <w:r>
              <w:rPr>
                <w:sz w:val="19"/>
                <w:szCs w:val="19"/>
              </w:rPr>
              <w:t xml:space="preserve">Rozwiązanie referencji</w:t>
            </w:r>
          </w:p>
        </w:tc>
        <w:tc>
          <w:tcPr>
            <w:tcW w:type="dxa" w:w="1800"/>
            <w:tcMar>
              <w:top w:type="dxa" w:w="70"/>
              <w:left w:type="dxa" w:w="110"/>
              <w:bottom w:type="dxa" w:w="70"/>
              <w:right w:type="dxa" w:w="110"/>
            </w:tcMar>
            <w:vAlign w:val="center"/>
          </w:tcPr>
          <w:p>
            <w:pPr>
              <w:spacing w:after="0" w:line="240"/>
            </w:pPr>
            <w:r>
              <w:rPr>
                <w:sz w:val="19"/>
                <w:szCs w:val="19"/>
              </w:rPr>
              <w:t xml:space="preserve">~49 minut</w:t>
            </w:r>
          </w:p>
        </w:tc>
        <w:tc>
          <w:tcPr>
            <w:tcW w:type="dxa" w:w="4226"/>
            <w:tcMar>
              <w:top w:type="dxa" w:w="70"/>
              <w:left w:type="dxa" w:w="110"/>
              <w:bottom w:type="dxa" w:w="70"/>
              <w:right w:type="dxa" w:w="110"/>
            </w:tcMar>
            <w:vAlign w:val="center"/>
          </w:tcPr>
          <w:p>
            <w:pPr>
              <w:spacing w:after="0" w:line="240"/>
            </w:pPr>
            <w:r>
              <w:rPr>
                <w:sz w:val="19"/>
                <w:szCs w:val="19"/>
              </w:rPr>
              <w:t xml:space="preserve">Do naprawy — patrz uwaga poniżej</w:t>
            </w:r>
          </w:p>
        </w:tc>
      </w:tr>
      <w:tr>
        <w:tc>
          <w:tcPr>
            <w:tcW w:type="dxa" w:w="3000"/>
            <w:tcMar>
              <w:top w:type="dxa" w:w="70"/>
              <w:left w:type="dxa" w:w="110"/>
              <w:bottom w:type="dxa" w:w="70"/>
              <w:right w:type="dxa" w:w="110"/>
            </w:tcMar>
            <w:vAlign w:val="center"/>
          </w:tcPr>
          <w:p>
            <w:pPr>
              <w:spacing w:after="0" w:line="240"/>
            </w:pPr>
            <w:r>
              <w:rPr>
                <w:sz w:val="19"/>
                <w:szCs w:val="19"/>
              </w:rPr>
              <w:t xml:space="preserve">Kontrole jakości</w:t>
            </w:r>
          </w:p>
        </w:tc>
        <w:tc>
          <w:tcPr>
            <w:tcW w:type="dxa" w:w="1800"/>
            <w:tcMar>
              <w:top w:type="dxa" w:w="70"/>
              <w:left w:type="dxa" w:w="110"/>
              <w:bottom w:type="dxa" w:w="70"/>
              <w:right w:type="dxa" w:w="110"/>
            </w:tcMar>
            <w:vAlign w:val="center"/>
          </w:tcPr>
          <w:p>
            <w:pPr>
              <w:spacing w:after="0" w:line="240"/>
            </w:pPr>
            <w:r>
              <w:rPr>
                <w:sz w:val="19"/>
                <w:szCs w:val="19"/>
              </w:rPr>
              <w:t xml:space="preserve">~2 minuty</w:t>
            </w:r>
          </w:p>
        </w:tc>
        <w:tc>
          <w:tcPr>
            <w:tcW w:type="dxa" w:w="4226"/>
            <w:tcMar>
              <w:top w:type="dxa" w:w="70"/>
              <w:left w:type="dxa" w:w="110"/>
              <w:bottom w:type="dxa" w:w="70"/>
              <w:right w:type="dxa" w:w="110"/>
            </w:tcMar>
            <w:vAlign w:val="center"/>
          </w:tcPr>
          <w:p>
            <w:pPr>
              <w:spacing w:after="0" w:line="240"/>
            </w:pPr>
            <w:r>
              <w:rPr>
                <w:sz w:val="19"/>
                <w:szCs w:val="19"/>
              </w:rPr>
              <w:t xml:space="preserve">Pięć kontroli na pełnym zbiorze</w:t>
            </w:r>
          </w:p>
        </w:tc>
      </w:tr>
      <w:tr>
        <w:tc>
          <w:tcPr>
            <w:tcW w:type="dxa" w:w="3000"/>
            <w:tcMar>
              <w:top w:type="dxa" w:w="70"/>
              <w:left w:type="dxa" w:w="110"/>
              <w:bottom w:type="dxa" w:w="70"/>
              <w:right w:type="dxa" w:w="110"/>
            </w:tcMar>
            <w:vAlign w:val="center"/>
          </w:tcPr>
          <w:p>
            <w:pPr>
              <w:spacing w:after="0" w:line="240"/>
            </w:pPr>
            <w:r>
              <w:rPr>
                <w:sz w:val="19"/>
                <w:szCs w:val="19"/>
              </w:rPr>
              <w:t xml:space="preserve">Publikacja transakcyjna</w:t>
            </w:r>
          </w:p>
        </w:tc>
        <w:tc>
          <w:tcPr>
            <w:tcW w:type="dxa" w:w="1800"/>
            <w:tcMar>
              <w:top w:type="dxa" w:w="70"/>
              <w:left w:type="dxa" w:w="110"/>
              <w:bottom w:type="dxa" w:w="70"/>
              <w:right w:type="dxa" w:w="110"/>
            </w:tcMar>
            <w:vAlign w:val="center"/>
          </w:tcPr>
          <w:p>
            <w:pPr>
              <w:spacing w:after="0" w:line="240"/>
            </w:pPr>
            <w:r>
              <w:rPr>
                <w:sz w:val="19"/>
                <w:szCs w:val="19"/>
              </w:rPr>
              <w:t xml:space="preserve">2 godz. 16 minut</w:t>
            </w:r>
          </w:p>
        </w:tc>
        <w:tc>
          <w:tcPr>
            <w:tcW w:type="dxa" w:w="4226"/>
            <w:tcMar>
              <w:top w:type="dxa" w:w="70"/>
              <w:left w:type="dxa" w:w="110"/>
              <w:bottom w:type="dxa" w:w="70"/>
              <w:right w:type="dxa" w:w="110"/>
            </w:tcMar>
            <w:vAlign w:val="center"/>
          </w:tcPr>
          <w:p>
            <w:pPr>
              <w:spacing w:after="0" w:line="240"/>
            </w:pPr>
            <w:r>
              <w:rPr>
                <w:sz w:val="19"/>
                <w:szCs w:val="19"/>
              </w:rPr>
              <w:t xml:space="preserve">Dodane 6 615 199 punktów, wycofane 0</w:t>
            </w:r>
          </w:p>
        </w:tc>
      </w:tr>
      <w:tr>
        <w:tc>
          <w:tcPr>
            <w:tcW w:type="dxa" w:w="3000"/>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1800"/>
            <w:tcMar>
              <w:top w:type="dxa" w:w="70"/>
              <w:left w:type="dxa" w:w="110"/>
              <w:bottom w:type="dxa" w:w="70"/>
              <w:right w:type="dxa" w:w="110"/>
            </w:tcMar>
            <w:vAlign w:val="center"/>
          </w:tcPr>
          <w:p>
            <w:pPr>
              <w:spacing w:after="0" w:line="240"/>
            </w:pPr>
            <w:r>
              <w:rPr>
                <w:sz w:val="19"/>
                <w:szCs w:val="19"/>
              </w:rPr>
              <w:t xml:space="preserve">55 sekund</w:t>
            </w:r>
          </w:p>
        </w:tc>
        <w:tc>
          <w:tcPr>
            <w:tcW w:type="dxa" w:w="4226"/>
            <w:tcMar>
              <w:top w:type="dxa" w:w="70"/>
              <w:left w:type="dxa" w:w="110"/>
              <w:bottom w:type="dxa" w:w="70"/>
              <w:right w:type="dxa" w:w="110"/>
            </w:tcMar>
            <w:vAlign w:val="center"/>
          </w:tcPr>
          <w:p>
            <w:pPr>
              <w:spacing w:after="0" w:line="240"/>
            </w:pPr>
            <w:r>
              <w:rPr>
                <w:sz w:val="19"/>
                <w:szCs w:val="19"/>
              </w:rPr>
              <w:t xml:space="preserve">378 399 pozycji, 54,5 MB</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RAZEM</w:t>
            </w:r>
          </w:p>
        </w:tc>
        <w:tc>
          <w:tcPr>
            <w:tcW w:type="dxa" w:w="1800"/>
            <w:shd w:fill="E8EDF2" w:color="auto" w:val="clear"/>
            <w:tcMar>
              <w:top w:type="dxa" w:w="70"/>
              <w:left w:type="dxa" w:w="110"/>
              <w:bottom w:type="dxa" w:w="70"/>
              <w:right w:type="dxa" w:w="110"/>
            </w:tcMar>
            <w:vAlign w:val="center"/>
          </w:tcPr>
          <w:p>
            <w:pPr>
              <w:spacing w:after="0" w:line="240"/>
            </w:pPr>
            <w:r>
              <w:rPr>
                <w:sz w:val="19"/>
                <w:szCs w:val="19"/>
              </w:rPr>
              <w:t xml:space="preserve">ok. 3 godz. 25 minut</w:t>
            </w:r>
          </w:p>
        </w:tc>
        <w:tc>
          <w:tcPr>
            <w:tcW w:type="dxa" w:w="4226"/>
            <w:shd w:fill="E8EDF2" w:color="auto" w:val="clear"/>
            <w:tcMar>
              <w:top w:type="dxa" w:w="70"/>
              <w:left w:type="dxa" w:w="110"/>
              <w:bottom w:type="dxa" w:w="70"/>
              <w:right w:type="dxa" w:w="110"/>
            </w:tcMar>
            <w:vAlign w:val="center"/>
          </w:tcPr>
          <w:p>
            <w:pPr>
              <w:spacing w:after="0" w:line="240"/>
            </w:pPr>
            <w:r>
              <w:rPr>
                <w:sz w:val="19"/>
                <w:szCs w:val="19"/>
              </w:rPr>
              <w:t xml:space="preserve">Komputer przenośny, 8 rdzeni, przetwarzanie w kontenerach</w:t>
            </w:r>
          </w:p>
        </w:tc>
      </w:tr>
    </w:tbl>
    <w:p>
      <w:pPr>
        <w:spacing w:after="160"/>
      </w:pPr>
    </w:p>
    <w:p>
      <w:pPr>
        <w:spacing w:after="120" w:line="276"/>
      </w:pPr>
      <w:r>
        <w:rPr>
          <w:b/>
          <w:bCs/>
          <w:sz w:val="21"/>
          <w:szCs w:val="21"/>
        </w:rPr>
        <w:t xml:space="preserve">Ładowanie okazało się znacznie szybsze od zakładanego. </w:t>
      </w:r>
      <w:r>
        <w:rPr>
          <w:sz w:val="21"/>
          <w:szCs w:val="21"/>
        </w:rPr>
        <w:t xml:space="preserve">Wydania 1.2–1.3 podawały ~38 minut na jedno województwo i ~4 godziny na kraj przy jednym procesie. Zmierzony przebieg to 17 minut na komplet 16 województw przy czterech procesach. Część różnicy tłumaczy zrównoleglenie, ale nie całą — poprzedni pomiar powstał w trakcie sesji, w której naprawiano jeszcze błędy wydajnościowe, i należy go uznać za nieaktualny.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Gdzie naprawdę uchodzi czas: dwie pełne aktualizacje obszaru przejściowego</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Ładowanie danych zajmuje 17 minut, ale cały przebieg — ponad trzy godziny. Różnicę pochłaniają dwie operacje aktualizujące wszystkie 8,6 mln wierszy naraz, każda przy trzech nałożonych indeksach, czyli po ponad 25 mln operacji na indeksach.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Pierwsza to rozwiązanie referencji do miejscowości (49 minut). Wypada tuż po odtworzeniu indeksów, choć mogłaby wykonać się chwilę wcześniej, gdy indeksów jeszcze nie ma — poprawka jest przygotowana.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Druga to wiązanie punktów z ulicami wewnątrz transakcji publikującej. Tam przenieść jej nie można i wymaga osobnego podejścia.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Skala zjawiska: kontener bazy zaraportował 303 GB zapisów przy zbiorze ważącym 12 GB. Jest to wzmocnienie zapisu rzędu dwudziestopięciokrotnego i to ono, a nie parsowanie, wyznacza dziś czas pełnego cyklu.</w:t>
      </w:r>
    </w:p>
    <w:p>
      <w:pPr>
        <w:spacing w:after="180"/>
      </w:pPr>
    </w:p>
    <w:p>
      <w:pPr>
        <w:spacing w:after="120" w:line="276"/>
      </w:pPr>
      <w:r>
        <w:rPr>
          <w:b/>
          <w:bCs/>
          <w:sz w:val="21"/>
          <w:szCs w:val="21"/>
        </w:rPr>
        <w:t xml:space="preserve">Kosztem zrównoleglenia jest pamięć: </w:t>
      </w:r>
      <w:r>
        <w:rPr>
          <w:sz w:val="21"/>
          <w:szCs w:val="21"/>
        </w:rPr>
        <w:t xml:space="preserve">około 400 MB na proces. Liczbę procesów dobiera się do pamięci dostępnej dla zadania, nie do liczby rdzeni.</w:t>
      </w: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Powtórny przebieg z 10.08.2026: koszt cyklu jest stały, nie zależy od liczby zmian</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Pełne przetwarzanie uruchomiono ponownie na tym samym zestawie danych źródłowych, aby sprawdzić, czy publikacja nie odtwarza usuniętych wcześniej duplikatów katalogu ulic. Nie odtwarza — wynik jest pozytywny i zamyka tę wątpliwość.</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okazji ujawniła się jednak istotna właściwość eksploatacyjna. Przebieg nie wprowadził ani jednej zmiany do danych opublikowanych — a mimo to trwał 3 godziny 57 minut, czyli dłużej niż pierwsza publikacja całego kraju, która wprowadzała 6,6 miliona punktów.</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Oznacza to, że koszt cyklu jest niemal w całości stały: wynika z przeładowania i przeliczenia całego zbioru, a nie z liczby faktycznych zmian. Przy zakładanym cyklu tygodniowym jest to możliwe do przyjęcia, ale wyklucza częstsze odświeżanie bez wcześniejszej optymalizacji.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Rozbicia czasu na etapy nie da się dziś przedstawić dokładniej niż dwie pozycje — odtworzenie indeksów obszaru przejściowego (44,5 min) i budowa artefaktu (50 s). Pozostałe ponad trzy godziny nie są mierzone w rozbiciu, ponieważ rozwiązanie nie raportuje postępu etapów. Jest to osobna pozycja planu i warunek sensownej optymalizacji: bez niej skracanie cyklu byłoby zgadywaniem.</w:t>
      </w:r>
    </w:p>
    <w:p>
      <w:pPr>
        <w:spacing w:after="180"/>
      </w:pPr>
    </w:p>
    <w:p>
      <w:pPr>
        <w:pStyle w:val="Heading2"/>
        <w:spacing w:after="140" w:before="280"/>
      </w:pPr>
      <w:r>
        <w:t xml:space="preserve">8.6. Czasy odpowiedzi na pełnym kraju</w:t>
      </w:r>
    </w:p>
    <w:p>
      <w:pPr>
        <w:spacing w:after="120" w:line="276"/>
      </w:pPr>
      <w:r>
        <w:rPr>
          <w:sz w:val="21"/>
          <w:szCs w:val="21"/>
        </w:rPr>
        <w:t xml:space="preserve">Pomiar powtórzono na komplecie danych krajowych — 378 399 pozycji w indeksie wobec 487 301 w wydaniu 1.3; spadek liczby pozycji przy dwukrotnie większym zbiorze punktów wynika ze scalenia zduplikowanych ulic i usunięcia miejscowości bez adresów. Zastosowano dwie metody, ponieważ dają istotnie różne liczby i każda odpowiada na inne pytanie. Każde zapytanie wykonano wielokrotnie po rozgrzewce, a podane wartości to mediany i percentyle z serii pomiarów.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Zapytanie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Rodzaj</w:t>
            </w:r>
          </w:p>
        </w:tc>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Silnik — mediana</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HTTP — mediana</w:t>
            </w:r>
          </w:p>
        </w:tc>
      </w:tr>
      <w:tr>
        <w:tc>
          <w:tcPr>
            <w:tcW w:type="dxa" w:w="1900"/>
            <w:tcMar>
              <w:top w:type="dxa" w:w="70"/>
              <w:left w:type="dxa" w:w="110"/>
              <w:bottom w:type="dxa" w:w="70"/>
              <w:right w:type="dxa" w:w="110"/>
            </w:tcMar>
            <w:vAlign w:val="center"/>
          </w:tcPr>
          <w:p>
            <w:pPr>
              <w:spacing w:after="0" w:line="240"/>
            </w:pPr>
            <w:r>
              <w:rPr>
                <w:sz w:val="19"/>
                <w:szCs w:val="19"/>
              </w:rPr>
              <w:t xml:space="preserve">grojecka</w:t>
            </w:r>
          </w:p>
        </w:tc>
        <w:tc>
          <w:tcPr>
            <w:tcW w:type="dxa" w:w="2500"/>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tcMar>
              <w:top w:type="dxa" w:w="70"/>
              <w:left w:type="dxa" w:w="110"/>
              <w:bottom w:type="dxa" w:w="70"/>
              <w:right w:type="dxa" w:w="110"/>
            </w:tcMar>
            <w:vAlign w:val="center"/>
          </w:tcPr>
          <w:p>
            <w:pPr>
              <w:spacing w:after="0" w:line="240"/>
            </w:pPr>
            <w:r>
              <w:rPr>
                <w:sz w:val="19"/>
                <w:szCs w:val="19"/>
              </w:rPr>
              <w:t xml:space="preserve">0,27 ms</w:t>
            </w:r>
          </w:p>
        </w:tc>
        <w:tc>
          <w:tcPr>
            <w:tcW w:type="dxa" w:w="2326"/>
            <w:tcMar>
              <w:top w:type="dxa" w:w="70"/>
              <w:left w:type="dxa" w:w="110"/>
              <w:bottom w:type="dxa" w:w="70"/>
              <w:right w:type="dxa" w:w="110"/>
            </w:tcMar>
            <w:vAlign w:val="center"/>
          </w:tcPr>
          <w:p>
            <w:pPr>
              <w:spacing w:after="0" w:line="240"/>
            </w:pPr>
            <w:r>
              <w:rPr>
                <w:sz w:val="19"/>
                <w:szCs w:val="19"/>
              </w:rPr>
              <w:t xml:space="preserve">0,93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pulawska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0,50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0,75 ms</w:t>
            </w:r>
          </w:p>
        </w:tc>
      </w:tr>
      <w:tr>
        <w:tc>
          <w:tcPr>
            <w:tcW w:type="dxa" w:w="1900"/>
            <w:tcMar>
              <w:top w:type="dxa" w:w="70"/>
              <w:left w:type="dxa" w:w="110"/>
              <w:bottom w:type="dxa" w:w="70"/>
              <w:right w:type="dxa" w:w="110"/>
            </w:tcMar>
            <w:vAlign w:val="center"/>
          </w:tcPr>
          <w:p>
            <w:pPr>
              <w:spacing w:after="0" w:line="240"/>
            </w:pPr>
            <w:r>
              <w:rPr>
                <w:sz w:val="19"/>
                <w:szCs w:val="19"/>
              </w:rPr>
              <w:t xml:space="preserve">polna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0,60 ms</w:t>
            </w:r>
          </w:p>
        </w:tc>
        <w:tc>
          <w:tcPr>
            <w:tcW w:type="dxa" w:w="2326"/>
            <w:tcMar>
              <w:top w:type="dxa" w:w="70"/>
              <w:left w:type="dxa" w:w="110"/>
              <w:bottom w:type="dxa" w:w="70"/>
              <w:right w:type="dxa" w:w="110"/>
            </w:tcMar>
            <w:vAlign w:val="center"/>
          </w:tcPr>
          <w:p>
            <w:pPr>
              <w:spacing w:after="0" w:line="240"/>
            </w:pPr>
            <w:r>
              <w:rPr>
                <w:sz w:val="19"/>
                <w:szCs w:val="19"/>
              </w:rPr>
              <w:t xml:space="preserve">1,10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3 maja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częsta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1,30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2,10 ms</w:t>
            </w:r>
          </w:p>
        </w:tc>
      </w:tr>
      <w:tr>
        <w:tc>
          <w:tcPr>
            <w:tcW w:type="dxa" w:w="1900"/>
            <w:tcMar>
              <w:top w:type="dxa" w:w="70"/>
              <w:left w:type="dxa" w:w="110"/>
              <w:bottom w:type="dxa" w:w="70"/>
              <w:right w:type="dxa" w:w="110"/>
            </w:tcMar>
            <w:vAlign w:val="center"/>
          </w:tcPr>
          <w:p>
            <w:pPr>
              <w:spacing w:after="0" w:line="240"/>
            </w:pPr>
            <w:r>
              <w:rPr>
                <w:sz w:val="19"/>
                <w:szCs w:val="19"/>
              </w:rPr>
              <w:t xml:space="preserve">krakowska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0,58 ms</w:t>
            </w:r>
          </w:p>
        </w:tc>
        <w:tc>
          <w:tcPr>
            <w:tcW w:type="dxa" w:w="2326"/>
            <w:tcMar>
              <w:top w:type="dxa" w:w="70"/>
              <w:left w:type="dxa" w:w="110"/>
              <w:bottom w:type="dxa" w:w="70"/>
              <w:right w:type="dxa" w:w="110"/>
            </w:tcMar>
            <w:vAlign w:val="center"/>
          </w:tcPr>
          <w:p>
            <w:pPr>
              <w:spacing w:after="0" w:line="240"/>
            </w:pPr>
            <w:r>
              <w:rPr>
                <w:sz w:val="19"/>
                <w:szCs w:val="19"/>
              </w:rPr>
              <w:t xml:space="preserve">1,41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kosciuszki</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patronacka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0,87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2,55 ms</w:t>
            </w:r>
          </w:p>
        </w:tc>
      </w:tr>
      <w:tr>
        <w:tc>
          <w:tcPr>
            <w:tcW w:type="dxa" w:w="1900"/>
            <w:tcMar>
              <w:top w:type="dxa" w:w="70"/>
              <w:left w:type="dxa" w:w="110"/>
              <w:bottom w:type="dxa" w:w="70"/>
              <w:right w:type="dxa" w:w="110"/>
            </w:tcMar>
            <w:vAlign w:val="center"/>
          </w:tcPr>
          <w:p>
            <w:pPr>
              <w:spacing w:after="0" w:line="240"/>
            </w:pPr>
            <w:r>
              <w:rPr>
                <w:sz w:val="19"/>
                <w:szCs w:val="19"/>
              </w:rPr>
              <w:t xml:space="preserve">mickievicza</w:t>
            </w:r>
          </w:p>
        </w:tc>
        <w:tc>
          <w:tcPr>
            <w:tcW w:type="dxa" w:w="2500"/>
            <w:tcMar>
              <w:top w:type="dxa" w:w="70"/>
              <w:left w:type="dxa" w:w="110"/>
              <w:bottom w:type="dxa" w:w="70"/>
              <w:right w:type="dxa" w:w="110"/>
            </w:tcMar>
            <w:vAlign w:val="center"/>
          </w:tcPr>
          <w:p>
            <w:pPr>
              <w:spacing w:after="0" w:line="240"/>
            </w:pPr>
            <w:r>
              <w:rPr>
                <w:sz w:val="19"/>
                <w:szCs w:val="19"/>
              </w:rPr>
              <w:t xml:space="preserve">zapytanie z literówką</w:t>
            </w:r>
          </w:p>
        </w:tc>
        <w:tc>
          <w:tcPr>
            <w:tcW w:type="dxa" w:w="2300"/>
            <w:tcMar>
              <w:top w:type="dxa" w:w="70"/>
              <w:left w:type="dxa" w:w="110"/>
              <w:bottom w:type="dxa" w:w="70"/>
              <w:right w:type="dxa" w:w="110"/>
            </w:tcMar>
            <w:vAlign w:val="center"/>
          </w:tcPr>
          <w:p>
            <w:pPr>
              <w:spacing w:after="0" w:line="240"/>
            </w:pPr>
            <w:r>
              <w:rPr>
                <w:sz w:val="19"/>
                <w:szCs w:val="19"/>
              </w:rPr>
              <w:t xml:space="preserve">1,55 ms</w:t>
            </w:r>
          </w:p>
        </w:tc>
        <w:tc>
          <w:tcPr>
            <w:tcW w:type="dxa" w:w="2326"/>
            <w:tcMar>
              <w:top w:type="dxa" w:w="70"/>
              <w:left w:type="dxa" w:w="110"/>
              <w:bottom w:type="dxa" w:w="70"/>
              <w:right w:type="dxa" w:w="110"/>
            </w:tcMar>
            <w:vAlign w:val="center"/>
          </w:tcPr>
          <w:p>
            <w:pPr>
              <w:spacing w:after="0" w:line="240"/>
            </w:pPr>
            <w:r>
              <w:rPr>
                <w:sz w:val="19"/>
                <w:szCs w:val="19"/>
              </w:rPr>
              <w:t xml:space="preserve">3,54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nowa wies</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masowo powtarzalna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0,96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1,55 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Metoda pomiaru</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Mediana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95. percentyl</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99. percentyl</w:t>
            </w:r>
          </w:p>
        </w:tc>
      </w:tr>
      <w:tr>
        <w:tc>
          <w:tcPr>
            <w:tcW w:type="dxa" w:w="3600"/>
            <w:tcMar>
              <w:top w:type="dxa" w:w="70"/>
              <w:left w:type="dxa" w:w="110"/>
              <w:bottom w:type="dxa" w:w="70"/>
              <w:right w:type="dxa" w:w="110"/>
            </w:tcMar>
            <w:vAlign w:val="center"/>
          </w:tcPr>
          <w:p>
            <w:pPr>
              <w:spacing w:after="0" w:line="240"/>
            </w:pPr>
            <w:r>
              <w:rPr>
                <w:b/>
                <w:bCs/>
                <w:sz w:val="19"/>
                <w:szCs w:val="19"/>
              </w:rPr>
              <w:t xml:space="preserve">Silnik wyszukiwania bezpośrednio</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0,81 ms</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4,63 ms</w:t>
            </w:r>
          </w:p>
        </w:tc>
        <w:tc>
          <w:tcPr>
            <w:tcW w:type="dxa" w:w="1826"/>
            <w:tcMar>
              <w:top w:type="dxa" w:w="70"/>
              <w:left w:type="dxa" w:w="110"/>
              <w:bottom w:type="dxa" w:w="70"/>
              <w:right w:type="dxa" w:w="110"/>
            </w:tcMar>
            <w:vAlign w:val="center"/>
          </w:tcPr>
          <w:p>
            <w:pPr>
              <w:spacing w:after="0" w:line="240"/>
            </w:pPr>
            <w:r>
              <w:rPr>
                <w:b w:val="false"/>
                <w:bCs w:val="false"/>
                <w:sz w:val="19"/>
                <w:szCs w:val="19"/>
              </w:rPr>
              <w:t xml:space="preserve">9,38 ms</w:t>
            </w:r>
          </w:p>
        </w:tc>
      </w:tr>
      <w:tr>
        <w:tc>
          <w:tcPr>
            <w:tcW w:type="dxa" w:w="3600"/>
            <w:shd w:fill="F5F7F9" w:color="auto" w:val="clear"/>
            <w:tcMar>
              <w:top w:type="dxa" w:w="70"/>
              <w:left w:type="dxa" w:w="110"/>
              <w:bottom w:type="dxa" w:w="70"/>
              <w:right w:type="dxa" w:w="110"/>
            </w:tcMar>
            <w:vAlign w:val="center"/>
          </w:tcPr>
          <w:p>
            <w:pPr>
              <w:spacing w:after="0" w:line="240"/>
            </w:pPr>
            <w:r>
              <w:rPr>
                <w:b/>
                <w:bCs/>
                <w:sz w:val="19"/>
                <w:szCs w:val="19"/>
              </w:rPr>
              <w:t xml:space="preserve">Pełna ścieżka HTTP mikroserwisu</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1,71 ms</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9,41 ms</w:t>
            </w:r>
          </w:p>
        </w:tc>
        <w:tc>
          <w:tcPr>
            <w:tcW w:type="dxa" w:w="1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27,94 ms</w:t>
            </w:r>
          </w:p>
        </w:tc>
      </w:tr>
    </w:tbl>
    <w:p>
      <w:pPr>
        <w:spacing w:after="160"/>
      </w:pPr>
    </w:p>
    <w:p>
      <w:pPr>
        <w:spacing w:after="120" w:line="276"/>
      </w:pPr>
      <w:r>
        <w:rPr>
          <w:b/>
          <w:bCs/>
          <w:sz w:val="21"/>
          <w:szCs w:val="21"/>
        </w:rPr>
        <w:t xml:space="preserve">Która liczba jest właściwa: </w:t>
      </w:r>
      <w:r>
        <w:rPr>
          <w:sz w:val="21"/>
          <w:szCs w:val="21"/>
        </w:rPr>
        <w:t xml:space="preserve">dla oceny produktu — ta z wiersza HTTP, bo tyle czeka aplikacja kliencka. Pomiar samego silnika pokazuje natomiast, że ok. 0,9 ms z każdego zapytania zabiera obsługa żądania i złożenie odpowiedzi, nie wyszukiwanie. Przy dalszym strojeniu to tam, a nie w indeksie, jest dziś więcej do zyskania.</w:t>
      </w: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Sprostowanie do wiersza HTTP — wykryte 9.08.2026 przy pracach nad uwierzytelnianiem</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Wiersz „pełna ścieżka HTTP” był w dokumentacji technicznej i w konfiguracji alertów przypisany narzędziu pomiarowemu, które tej ścieżki nie mierzy: importuje ono silnik wyszukiwania i wywołuje go bezpośrednio, z pominięciem routingu, mechanizmów pośredniczących i składania odpowiedzi. Liczby pochodzą z pomiaru doraźnego, którego nie zachowano w repozytorium, więc nie da się ich odtworzyć.</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Wartości pozostają w raporcie jako orientacyjne — są zgodne z rzędem wielkości pomiarów wykonanych później — ale nie mają statusu pomiaru powtarzalnego. Wiersz „silnik bezpośrednio” jest odtwarzalny i pozostaje w mocy.</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Znaczenie praktyczne dotyczy planowanego uwierzytelniania: jego koszt powstaje dokładnie w tej warstwie, którą tamto narzędzie pomija. Porównanie „przed i po” wykonane nim pokazałoby różnicę zerową przy dowolnym rzeczywistym koszcie, a wymaganie „nie więcej niż +0,3 ms do 99. percentyla” zostałoby uznane za spełnione bez żadnego pomiaru.</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Przyrząd mierzący pełny cykl życia żądania powstał 9.08.2026 wraz z pomiarem własnej czułości — patrz rozdział 10, prace równoległe.</w:t>
      </w:r>
    </w:p>
    <w:p>
      <w:pPr>
        <w:spacing w:after="180"/>
      </w:pP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Dlaczego podane liczby należy traktować jako orientacyjne — pomiar z 10.08.2026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Powtórzenie pomiaru na maszynie deweloperskiej bez obciążenia użytkownika dało sześć kolejnych wyników 99. percentyla: 33, 41, 49, 66, 99 i 129 milisekund. Mediana pozostawała przy tym stabilna, w granicach 1,1–1,3 ms. Rozrzut dotyczy więc wyłącznie przypadków skrajnych — ale to właśnie one wyznaczają progi alarmowe.</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Przyczyna jest znana i mierzalna: na tej samej maszynie działa równolegle osiem kontenerów rozwiązania, w tym pulpit operacyjny (31% procesora), baza danych (23%) i odbiorca metryk (10%). Warstwa uruchomieniowa kontenerów zajmowała w czasie pomiaru ponad pięć rdzeni z ośmiu.</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Dwa z tych kontenerów — pamięć podręczna i magazyn obiektowy — nie są używane przez żadną część kodu, a zużywają zasoby. Zostały zadeklarowane w konfiguracji uruchomieniowej „na zapas”.</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Wniosek dla odbioru prac: wiążący pomiar czasów odpowiedzi wymaga środowiska zbliżonego do docelowego, a nie maszyny deweloperskiej z pełnym zestawem narzędzi pomocniczych. Do tego czasu progi alarmowe należy traktować jako wstępne. Odpowiednia pozycja została dopisana do planu.</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Wyniki są lepsze niż w wydaniu 1.3, mimo dwukrotnie większego zbioru —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1.2–1.3 podawały medianę ok. 4 ms i najgorszy przypadek 42 ms dla nazwy „Nowa Wieś”, na zbiorze mniejszym o połowę. Pomiar na pełnym kraju daje medianę 1,71 ms, a „Nowa Wieś” wypada w środku stawki z wynikiem 1,55 ms.</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Wyjaśnieniem jest metodyka, nie poprawa silnika. Zmierzone tu pierwsze wywołanie po starcie procesu, bez rozgrzewki, daje 82 ms dla pierwszego zapytania i kilkadziesiąt milisekund dla kolejnych — czyli dokładnie ten rząd wielkości, który wydania 1.2–1.3 podawały jako koszt „nazw pospolitych”.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Oznacza to, że wcześniejsze liczby mierzyły w znacznej części rozgrzewkę maszyny wykonującej kod, a nie koszt uszeregowania kandydatów. Teza z wydania 1.3, że o czasie decyduje liczba kandydatów, jest w świetle tego pomiaru co najmniej niepełna: przy dwukrotnie większym zbiorze i tych samych zapytaniach czasy spadły.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Praktyczny wniosek jest inny niż dotychczasowy: budżet czasu odpowiedzi trzeba przewidzieć nie pod nazwy pospolite, lecz pod pierwsze zapytania po starcie instancji. Uzasadnia to rozgrzewanie instancji przed skierowaniem na nią ruchu — pozycja do dopisania do prac nad skalowaniem poziomym.</w:t>
      </w:r>
    </w:p>
    <w:p>
      <w:pPr>
        <w:spacing w:after="180"/>
      </w:pPr>
    </w:p>
    <w:p>
      <w:pPr>
        <w:spacing w:after="120" w:line="276"/>
      </w:pPr>
      <w:r>
        <w:rPr>
          <w:b/>
          <w:bCs/>
          <w:sz w:val="21"/>
          <w:szCs w:val="21"/>
        </w:rPr>
        <w:t xml:space="preserve">Zużycie pamięci: </w:t>
      </w:r>
      <w:r>
        <w:rPr>
          <w:sz w:val="21"/>
          <w:szCs w:val="21"/>
        </w:rPr>
        <w:t xml:space="preserve">proces mikroserwisu z wczytanym artefaktem 54,5 MB zajmuje 55 MB pamięci operacyjnej ponad stan wyjściowy. Wydanie 1.0 szacowało 485 MB przy artefakcie 53 MB, a wydania 1.4–1.6 podawały 239 MB przy artefakcie 109,3 MB — obie liczby są nieaktualne po scaleniu katalogu ulic, które zmniejszyło artefakt o połowę.</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 krajowym</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16 województw, 8 605 682 punkty, artefakt 54,5 MB</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Zamknięcie luki w limitowaniu zapytań</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8.08.2026 — limitowanie po adresie klienta, test regresji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zbieranie metryk, 7 reguł alertów, jeden ekran stanu usługi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Formalny kontrakt interfejsu (OpenAPI)</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15 tras, test zgodności ze stanem kodu</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Zbiór wzorcowy jakości wyszukiwania</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28 przypadków; ujawnił sześć wad, wszystkie naprawione</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Publikacja pełnego kraju i pomiary na komplecie danych — WYKONANE 9.08.2026. Archiwum wyniesione poza maszynę i zweryfikowane — WYKONANE 9.08.2026. Pozostaje jednorazowe odtworzenie z kopii, potwierdzające jej przydatność, oraz kopie zapasowe bazy z harmonogramem</w:t>
            </w:r>
          </w:p>
        </w:tc>
        <w:tc>
          <w:tcPr>
            <w:tcW w:type="dxa" w:w="1600"/>
            <w:tcMar>
              <w:top w:type="dxa" w:w="70"/>
              <w:left w:type="dxa" w:w="110"/>
              <w:bottom w:type="dxa" w:w="70"/>
              <w:right w:type="dxa" w:w="110"/>
            </w:tcMar>
            <w:vAlign w:val="center"/>
          </w:tcPr>
          <w:p>
            <w:pPr>
              <w:spacing w:after="0" w:line="240"/>
            </w:pPr>
            <w:r>
              <w:rPr>
                <w:sz w:val="19"/>
                <w:szCs w:val="19"/>
              </w:rPr>
              <w:t xml:space="preserve">2–3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oraz zbiór wzorcowy jakości — WYKONANE 9.08.2026. Pozostaje retencja i anonimizacja logów zapytań, rejestr czynności przetwarzania,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pulpit operacyjny — WYKONANE 9.08.2026. Pozostaje kanał powiadomień, sonda syntetyczna, centralne logi, cele poziomu usługi 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 (zamrożenie archiwum wykonane 9.08.2026)</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17,5–23,5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dotyczy komercjalizacji. Jego pierwsza część — uwierzytelnianie klientów i klucze z licencjami (8A) — została wykonana 10.08.2026 i zdejmuje ograniczenie „wyłącznie sieć wewnętrzna” (rozdz. 5.5). Pozostałe części, wielodostępność i kopie zapasowe na osobną maszynę, można odłożyć, jeśli komercjalizacja nie jest celem pierwszego wdrożenia.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Prace równoległe — uwierzytelnianie klientów, rozpoczęte 9.08.2026</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uwierzytelniania prowadzony jest na odrębnej gałęzi, z własną bazą danych, równolegle do prac nad danymi. Rozdzielenie jest celowe: obie linie dotykają tego samego serwisu, a łączenie ich w jednym przebiegu utrudniałoby ustalenie, co spowodowało ewentualną zmianę zachowania.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Ukończono podstawę: model danych klientów i kluczy, postać klucza wraz z jego weryfikacją, sposób przechowywania sekretów oraz replikę rejestru kluczy w pamięci procesu. Szczegóły w rozdziale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Nie ruszono jeszcze obsługi żądania — serwis zachowuje się identycznie jak przed rozpoczęciem tych prac i nadal nie weryfikuje tożsamości klienta. Zmiana zachowania nastąpi dopiero po wpięciu mechanizmu w ścieżkę żądania.</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Z prac tych wynikło jedno ustalenie wykraczające poza ich zakres: dotychczasowe liczby czasu odpowiedzi dla pełnej ścieżki HTTP nie były odtwarzalne narzędziem, któremu je przypisywano. Sprostowanie w rozdziale 8.6.</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8.08.2026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dało się obejść losowaniem nagłówka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ROZSTRZYGNIĘTE — 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Komplet 16 województw opublikowany 9.08.2026</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Weryfikowane od 10.08.2026; serwis przechowuje wyłącznie skrót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1.8</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2026-08-10T07:23:54.922Z</dcterms:created>
  <dcterms:modified xsi:type="dcterms:W3CDTF">2026-08-10T07:23:54.935Z</dcterms:modified>
</cp:coreProperties>
</file>

<file path=docProps/custom.xml><?xml version="1.0" encoding="utf-8"?>
<Properties xmlns="http://schemas.openxmlformats.org/officeDocument/2006/custom-properties" xmlns:vt="http://schemas.openxmlformats.org/officeDocument/2006/docPropsVTypes"/>
</file>