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1.2  ·  7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16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Sondaż HTTP, pobieranie wojewódzkie, archiwizacja z sumą kontrolną</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Zmierzona mediana 0,49 ms</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Pliki pełne z eTeryt, bez konta w GUS. 101 865 miejscowości, 308 888 ulic</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Zadanie cykliczne + powiadomienia</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Częściowo</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4 województwa opublikowane: 1 990 483 punkty. Pozostałe 12 pobrane, czeka na przetworzenie</w:t>
            </w:r>
          </w:p>
        </w:tc>
      </w:tr>
    </w:tbl>
    <w:p>
      <w:pPr>
        <w:spacing w:after="160"/>
      </w:pPr>
    </w:p>
    <w:p>
      <w:pPr>
        <w:spacing w:after="120" w:line="276"/>
      </w:pPr>
      <w:r>
        <w:rPr>
          <w:sz w:val="21"/>
          <w:szCs w:val="21"/>
        </w:rPr>
        <w:t xml:space="preserve">Szacowany nakład do wersji produkcyjnej: 5–7 tygodni pracy jednej osoby. Nie zawiera prac po stronie interfejsu użytkownika, które są przedmiotem odrębnego opracowania.</w:t>
      </w:r>
    </w:p>
    <w:p>
      <w:pPr>
        <w:pStyle w:val="Heading2"/>
        <w:spacing w:after="140" w:before="280"/>
      </w:pPr>
      <w:r>
        <w:t xml:space="preserve">1.2. Ryzyko wymagające decyzji w ciągu najbliższych tygodni</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Termin: 1 września 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Zalecenie: pobrać i zarchiwizować pełny zrzut w starej strukturze przed tą datą. Jest to jedyna możliwość zachowania statusu budynku jako danych historycznych.</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Parser obsługujący nową strukturę jest już zbudowany, więc samo przejście nie stanowi zagrożenia. Zagrożeniem jest wyłącznie bezpowrotna utrata atrybutów.</w:t>
      </w:r>
    </w:p>
    <w:p>
      <w:pPr>
        <w:spacing w:after="180"/>
      </w:pPr>
    </w:p>
    <w:p>
      <w:pPr>
        <w:pStyle w:val="Heading2"/>
        <w:spacing w:after="140" w:before="280"/>
      </w:pPr>
      <w:r>
        <w:t xml:space="preserve">1.3.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 dwa rzędy wielkości lepsza niż rozwiązania oparte na zapytaniach do bazy danych.</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Jedynym realnie niezależnym źródłem krajowym jest iMPA — system, w którym ok. 1400 gmin prowadzi ewidencję adresową, czyli źródło zasilające PRG. Prowadzi go podmiot komercyjny, więc ryzyko ma inny charakter niż ryzyko po stronie administracji.</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Wysoki — utrata trzech atrybutów; parser gotowy, wymagana archiwizacja</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6.3.</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Nagłówki HTTP, a w razie ich braku — harmonogram tygodniowy i porównanie sumy kontrolnej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na dobę,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zmiany wskaźnika wersji — kilkanaście sekund, bez migracji danych.</w:t>
      </w:r>
    </w:p>
    <w:p>
      <w:pPr>
        <w:pStyle w:val="ListParagraph"/>
        <w:numPr>
          <w:ilvl w:val="0"/>
          <w:numId w:val="2"/>
        </w:numPr>
        <w:spacing w:after="80" w:line="276"/>
      </w:pPr>
      <w:r>
        <w:rPr>
          <w:sz w:val="21"/>
          <w:szCs w:val="21"/>
        </w:rPr>
        <w:t xml:space="preserve">Skalowanie poziome jest trywialne — brak stanu współdzielonego między instancjami.</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Style w:val="Heading2"/>
        <w:spacing w:after="140" w:before="280"/>
      </w:pPr>
      <w:r>
        <w:t xml:space="preserve">5.3. Warstwa danych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45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1900"/>
            <w:tcMar>
              <w:top w:type="dxa" w:w="70"/>
              <w:left w:type="dxa" w:w="110"/>
              <w:bottom w:type="dxa" w:w="70"/>
              <w:right w:type="dxa" w:w="110"/>
            </w:tcMar>
            <w:vAlign w:val="center"/>
          </w:tcPr>
          <w:p>
            <w:pPr>
              <w:spacing w:after="0" w:line="240"/>
            </w:pPr>
            <w:r>
              <w:rPr>
                <w:sz w:val="19"/>
                <w:szCs w:val="19"/>
              </w:rPr>
              <w:t xml:space="preserve">PostgreSQL + PostGIS</w:t>
            </w:r>
          </w:p>
        </w:tc>
        <w:tc>
          <w:tcPr>
            <w:tcW w:type="dxa" w:w="2600"/>
            <w:tcMar>
              <w:top w:type="dxa" w:w="70"/>
              <w:left w:type="dxa" w:w="110"/>
              <w:bottom w:type="dxa" w:w="70"/>
              <w:right w:type="dxa" w:w="110"/>
            </w:tcMar>
            <w:vAlign w:val="center"/>
          </w:tcPr>
          <w:p>
            <w:pPr>
              <w:spacing w:after="0" w:line="240"/>
            </w:pPr>
            <w:r>
              <w:rPr>
                <w:sz w:val="19"/>
                <w:szCs w:val="19"/>
              </w:rPr>
              <w:t xml:space="preserve">Źródło prawdy, numery budynków, geokodowanie</w:t>
            </w:r>
          </w:p>
        </w:tc>
        <w:tc>
          <w:tcPr>
            <w:tcW w:type="dxa" w:w="4526"/>
            <w:tcMar>
              <w:top w:type="dxa" w:w="70"/>
              <w:left w:type="dxa" w:w="110"/>
              <w:bottom w:type="dxa" w:w="70"/>
              <w:right w:type="dxa" w:w="110"/>
            </w:tcMar>
            <w:vAlign w:val="center"/>
          </w:tcPr>
          <w:p>
            <w:pPr>
              <w:spacing w:after="0" w:line="240"/>
            </w:pPr>
            <w:r>
              <w:rPr>
                <w:sz w:val="19"/>
                <w:szCs w:val="19"/>
              </w:rPr>
              <w:t xml:space="preserve">Dane adresowe są ściśle relacyjne i przestrzenne</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Dwa rzędy wielkości szybciej niż zapytania do bazy</w:t>
            </w:r>
          </w:p>
        </w:tc>
      </w:tr>
      <w:tr>
        <w:tc>
          <w:tcPr>
            <w:tcW w:type="dxa" w:w="1900"/>
            <w:tcMar>
              <w:top w:type="dxa" w:w="70"/>
              <w:left w:type="dxa" w:w="110"/>
              <w:bottom w:type="dxa" w:w="70"/>
              <w:right w:type="dxa" w:w="110"/>
            </w:tcMar>
            <w:vAlign w:val="center"/>
          </w:tcPr>
          <w:p>
            <w:pPr>
              <w:spacing w:after="0" w:line="240"/>
            </w:pPr>
            <w:r>
              <w:rPr>
                <w:sz w:val="19"/>
                <w:szCs w:val="19"/>
              </w:rPr>
              <w:t xml:space="preserve">Redis</w:t>
            </w:r>
          </w:p>
        </w:tc>
        <w:tc>
          <w:tcPr>
            <w:tcW w:type="dxa" w:w="2600"/>
            <w:tcMar>
              <w:top w:type="dxa" w:w="70"/>
              <w:left w:type="dxa" w:w="110"/>
              <w:bottom w:type="dxa" w:w="70"/>
              <w:right w:type="dxa" w:w="110"/>
            </w:tcMar>
            <w:vAlign w:val="center"/>
          </w:tcPr>
          <w:p>
            <w:pPr>
              <w:spacing w:after="0" w:line="240"/>
            </w:pPr>
            <w:r>
              <w:rPr>
                <w:sz w:val="19"/>
                <w:szCs w:val="19"/>
              </w:rPr>
              <w:t xml:space="preserve">Limitowanie zapytań, pamięć podręczna, powiadamianie o nowej wersji</w:t>
            </w:r>
          </w:p>
        </w:tc>
        <w:tc>
          <w:tcPr>
            <w:tcW w:type="dxa" w:w="4526"/>
            <w:tcMar>
              <w:top w:type="dxa" w:w="70"/>
              <w:left w:type="dxa" w:w="110"/>
              <w:bottom w:type="dxa" w:w="70"/>
              <w:right w:type="dxa" w:w="110"/>
            </w:tcMar>
            <w:vAlign w:val="center"/>
          </w:tcPr>
          <w:p>
            <w:pPr>
              <w:spacing w:after="0" w:line="240"/>
            </w:pPr>
            <w:r>
              <w:rPr>
                <w:sz w:val="19"/>
                <w:szCs w:val="19"/>
              </w:rPr>
              <w:t xml:space="preserve">Nie uczestniczy w wyszukiwaniu</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Zabezpieczenie na wypadek niedostępności źródła</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stanowi kontrakt dla zespołów budujących aplikacje konsumenckie.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w:t>
            </w:r>
          </w:p>
        </w:tc>
        <w:tc>
          <w:tcPr>
            <w:tcW w:type="dxa" w:w="4100"/>
            <w:tcMar>
              <w:top w:type="dxa" w:w="70"/>
              <w:left w:type="dxa" w:w="110"/>
              <w:bottom w:type="dxa" w:w="70"/>
              <w:right w:type="dxa" w:w="110"/>
            </w:tcMar>
            <w:vAlign w:val="center"/>
          </w:tcPr>
          <w:p>
            <w:pPr>
              <w:spacing w:after="0" w:line="240"/>
            </w:pPr>
            <w:r>
              <w:rPr>
                <w:sz w:val="19"/>
                <w:szCs w:val="19"/>
              </w:rPr>
              <w:t xml:space="preserve">Przetworzenie zbioru adresów, np. z pliku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bl>
    <w:p>
      <w:pPr>
        <w:spacing w:after="160"/>
      </w:pPr>
    </w:p>
    <w:p>
      <w:pPr>
        <w:spacing w:after="120" w:line="276"/>
      </w:pPr>
      <w:r>
        <w:rPr>
          <w:b/>
          <w:bCs/>
          <w:sz w:val="21"/>
          <w:szCs w:val="21"/>
        </w:rPr>
        <w:t xml:space="preserve">Uwaga dla analityka: </w:t>
      </w:r>
      <w:r>
        <w:rPr>
          <w:sz w:val="21"/>
          <w:szCs w:val="21"/>
        </w:rPr>
        <w:t xml:space="preserve">funkcja metadanych zwraca wiek najnowszego zrzutu oraz ostrzeżenie, gdy przekracza on 30 dni. Jest to mechanizm wykrywania sytuacji, w której źródło przestało być aktualizowane — dokładnie takiej jak incydent z czerwca 2024 roku. Zaleca się objęcie tej funkcji monitorowaniem.</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800"/>
        <w:gridCol w:w="1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9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8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826"/>
            <w:tcMar>
              <w:top w:type="dxa" w:w="70"/>
              <w:left w:type="dxa" w:w="110"/>
              <w:bottom w:type="dxa" w:w="70"/>
              <w:right w:type="dxa" w:w="110"/>
            </w:tcMar>
            <w:vAlign w:val="center"/>
          </w:tcPr>
          <w:p>
            <w:pPr>
              <w:spacing w:after="0" w:line="240"/>
            </w:pPr>
            <w:r>
              <w:rPr>
                <w:sz w:val="19"/>
                <w:szCs w:val="19"/>
              </w:rPr>
              <w:t xml:space="preserve">ok. 3 tys.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8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9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8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w:t>
            </w:r>
          </w:p>
        </w:tc>
        <w:tc>
          <w:tcPr>
            <w:tcW w:type="dxa" w:w="1826"/>
            <w:tcMar>
              <w:top w:type="dxa" w:w="70"/>
              <w:left w:type="dxa" w:w="110"/>
              <w:bottom w:type="dxa" w:w="70"/>
              <w:right w:type="dxa" w:w="110"/>
            </w:tcMar>
            <w:vAlign w:val="center"/>
          </w:tcPr>
          <w:p>
            <w:pPr>
              <w:spacing w:after="0" w:line="240"/>
            </w:pPr>
            <w:r>
              <w:rPr>
                <w:sz w:val="19"/>
                <w:szCs w:val="19"/>
              </w:rPr>
              <w:t xml:space="preserve">ok. 303 tys.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8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3226"/>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r>
      <w:tr>
        <w:tc>
          <w:tcPr>
            <w:tcW w:type="dxa" w:w="22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36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3226"/>
            <w:tcMar>
              <w:top w:type="dxa" w:w="70"/>
              <w:left w:type="dxa" w:w="110"/>
              <w:bottom w:type="dxa" w:w="70"/>
              <w:right w:type="dxa" w:w="110"/>
            </w:tcMar>
            <w:vAlign w:val="center"/>
          </w:tcPr>
          <w:p>
            <w:pPr>
              <w:spacing w:after="0" w:line="240"/>
            </w:pPr>
            <w:r>
              <w:rPr>
                <w:sz w:val="19"/>
                <w:szCs w:val="19"/>
              </w:rPr>
              <w:t xml:space="preserve">Wysyłka bez dodatkowej weryfikacji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3226"/>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r>
      <w:tr>
        <w:tc>
          <w:tcPr>
            <w:tcW w:type="dxa" w:w="2200"/>
            <w:tcMar>
              <w:top w:type="dxa" w:w="70"/>
              <w:left w:type="dxa" w:w="110"/>
              <w:bottom w:type="dxa" w:w="70"/>
              <w:right w:type="dxa" w:w="110"/>
            </w:tcMar>
            <w:vAlign w:val="center"/>
          </w:tcPr>
          <w:p>
            <w:pPr>
              <w:spacing w:after="0" w:line="240"/>
            </w:pPr>
            <w:r>
              <w:rPr>
                <w:sz w:val="19"/>
                <w:szCs w:val="19"/>
              </w:rPr>
              <w:t xml:space="preserve">Poza rejestrem</w:t>
            </w:r>
          </w:p>
        </w:tc>
        <w:tc>
          <w:tcPr>
            <w:tcW w:type="dxa" w:w="36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3226"/>
            <w:tcMar>
              <w:top w:type="dxa" w:w="70"/>
              <w:left w:type="dxa" w:w="110"/>
              <w:bottom w:type="dxa" w:w="70"/>
              <w:right w:type="dxa" w:w="110"/>
            </w:tcMar>
            <w:vAlign w:val="center"/>
          </w:tcPr>
          <w:p>
            <w:pPr>
              <w:spacing w:after="0" w:line="240"/>
            </w:pPr>
            <w:r>
              <w:rPr>
                <w:sz w:val="19"/>
                <w:szCs w:val="19"/>
              </w:rPr>
              <w:t xml:space="preserve">Nowe budownictwo — dopuścić</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3226"/>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r>
      <w:tr>
        <w:tc>
          <w:tcPr>
            <w:tcW w:type="dxa" w:w="2200"/>
            <w:tcMar>
              <w:top w:type="dxa" w:w="70"/>
              <w:left w:type="dxa" w:w="110"/>
              <w:bottom w:type="dxa" w:w="70"/>
              <w:right w:type="dxa" w:w="110"/>
            </w:tcMar>
            <w:vAlign w:val="center"/>
          </w:tcPr>
          <w:p>
            <w:pPr>
              <w:spacing w:after="0" w:line="240"/>
            </w:pPr>
            <w:r>
              <w:rPr>
                <w:sz w:val="19"/>
                <w:szCs w:val="19"/>
              </w:rPr>
              <w:t xml:space="preserve">Niezweryfikowany</w:t>
            </w:r>
          </w:p>
        </w:tc>
        <w:tc>
          <w:tcPr>
            <w:tcW w:type="dxa" w:w="36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3226"/>
            <w:tcMar>
              <w:top w:type="dxa" w:w="70"/>
              <w:left w:type="dxa" w:w="110"/>
              <w:bottom w:type="dxa" w:w="70"/>
              <w:right w:type="dxa" w:w="110"/>
            </w:tcMar>
            <w:vAlign w:val="center"/>
          </w:tcPr>
          <w:p>
            <w:pPr>
              <w:spacing w:after="0" w:line="240"/>
            </w:pPr>
            <w:r>
              <w:rPr>
                <w:sz w:val="19"/>
                <w:szCs w:val="19"/>
              </w:rPr>
              <w:t xml:space="preserve">Kolejka do przeglądu</w:t>
            </w:r>
          </w:p>
        </w:tc>
      </w:tr>
    </w:tbl>
    <w:p>
      <w:pPr>
        <w:spacing w:after="16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Sondaż nagłówków HTTP — sprawdzenie, czy plik źródłowy uległ zmianie, bez pobierania pełnych danych.</w:t>
      </w:r>
    </w:p>
    <w:p>
      <w:pPr>
        <w:pStyle w:val="ListParagraph"/>
        <w:numPr>
          <w:ilvl w:val="0"/>
          <w:numId w:val="3"/>
        </w:numPr>
        <w:spacing w:after="80" w:line="276"/>
      </w:pPr>
      <w:r>
        <w:rPr>
          <w:sz w:val="21"/>
          <w:szCs w:val="21"/>
        </w:rPr>
        <w:t xml:space="preserve">Pobranie plików w podziale na województwa, z wyliczeniem sumy kontrolnej.</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powiadomienie instancji mikroserwisu.</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r>
      <w:tr>
        <w:tc>
          <w:tcPr>
            <w:tcW w:type="dxa" w:w="1200"/>
            <w:tcMar>
              <w:top w:type="dxa" w:w="70"/>
              <w:left w:type="dxa" w:w="110"/>
              <w:bottom w:type="dxa" w:w="70"/>
              <w:right w:type="dxa" w:w="110"/>
            </w:tcMar>
            <w:vAlign w:val="center"/>
          </w:tcPr>
          <w:p>
            <w:pPr>
              <w:spacing w:after="0" w:line="240"/>
            </w:pPr>
            <w:r>
              <w:rPr>
                <w:sz w:val="19"/>
                <w:szCs w:val="19"/>
              </w:rPr>
              <w:t xml:space="preserve">1</w:t>
            </w:r>
          </w:p>
        </w:tc>
        <w:tc>
          <w:tcPr>
            <w:tcW w:type="dxa" w:w="3400"/>
            <w:tcMar>
              <w:top w:type="dxa" w:w="70"/>
              <w:left w:type="dxa" w:w="110"/>
              <w:bottom w:type="dxa" w:w="70"/>
              <w:right w:type="dxa" w:w="110"/>
            </w:tcMar>
            <w:vAlign w:val="center"/>
          </w:tcPr>
          <w:p>
            <w:pPr>
              <w:spacing w:after="0" w:line="240"/>
            </w:pPr>
            <w:r>
              <w:rPr>
                <w:sz w:val="19"/>
                <w:szCs w:val="19"/>
              </w:rPr>
              <w:t xml:space="preserve">PRG (GUGiK)</w:t>
            </w:r>
          </w:p>
        </w:tc>
        <w:tc>
          <w:tcPr>
            <w:tcW w:type="dxa" w:w="4426"/>
            <w:tcMar>
              <w:top w:type="dxa" w:w="70"/>
              <w:left w:type="dxa" w:w="110"/>
              <w:bottom w:type="dxa" w:w="70"/>
              <w:right w:type="dxa" w:w="110"/>
            </w:tcMar>
            <w:vAlign w:val="center"/>
          </w:tcPr>
          <w:p>
            <w:pPr>
              <w:spacing w:after="0" w:line="240"/>
            </w:pPr>
            <w:r>
              <w:rPr>
                <w:sz w:val="19"/>
                <w:szCs w:val="19"/>
              </w:rPr>
              <w:t xml:space="preserve">Domyślny</w:t>
            </w:r>
          </w:p>
        </w:tc>
      </w:tr>
      <w:tr>
        <w:tc>
          <w:tcPr>
            <w:tcW w:type="dxa" w:w="1200"/>
            <w:shd w:fill="F5F7F9"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r>
      <w:tr>
        <w:tc>
          <w:tcPr>
            <w:tcW w:type="dxa" w:w="1200"/>
            <w:tcMar>
              <w:top w:type="dxa" w:w="70"/>
              <w:left w:type="dxa" w:w="110"/>
              <w:bottom w:type="dxa" w:w="70"/>
              <w:right w:type="dxa" w:w="110"/>
            </w:tcMar>
            <w:vAlign w:val="center"/>
          </w:tcPr>
          <w:p>
            <w:pPr>
              <w:spacing w:after="0" w:line="240"/>
            </w:pPr>
            <w:r>
              <w:rPr>
                <w:sz w:val="19"/>
                <w:szCs w:val="19"/>
              </w:rPr>
              <w:t xml:space="preserve">3</w:t>
            </w:r>
          </w:p>
        </w:tc>
        <w:tc>
          <w:tcPr>
            <w:tcW w:type="dxa" w:w="3400"/>
            <w:tcMar>
              <w:top w:type="dxa" w:w="70"/>
              <w:left w:type="dxa" w:w="110"/>
              <w:bottom w:type="dxa" w:w="70"/>
              <w:right w:type="dxa" w:w="110"/>
            </w:tcMar>
            <w:vAlign w:val="center"/>
          </w:tcPr>
          <w:p>
            <w:pPr>
              <w:spacing w:after="0" w:line="240"/>
            </w:pPr>
            <w:r>
              <w:rPr>
                <w:sz w:val="19"/>
                <w:szCs w:val="19"/>
              </w:rPr>
              <w:t xml:space="preserve">Otwarte dane miast</w:t>
            </w:r>
          </w:p>
        </w:tc>
        <w:tc>
          <w:tcPr>
            <w:tcW w:type="dxa" w:w="4426"/>
            <w:tcMar>
              <w:top w:type="dxa" w:w="70"/>
              <w:left w:type="dxa" w:w="110"/>
              <w:bottom w:type="dxa" w:w="70"/>
              <w:right w:type="dxa" w:w="110"/>
            </w:tcMar>
            <w:vAlign w:val="center"/>
          </w:tcPr>
          <w:p>
            <w:pPr>
              <w:spacing w:after="0" w:line="240"/>
            </w:pPr>
            <w:r>
              <w:rPr>
                <w:sz w:val="19"/>
                <w:szCs w:val="19"/>
              </w:rPr>
              <w:t xml:space="preserve">Uzupełnienie luk w dużych ośrodkach</w:t>
            </w:r>
          </w:p>
        </w:tc>
      </w:tr>
      <w:tr>
        <w:tc>
          <w:tcPr>
            <w:tcW w:type="dxa" w:w="1200"/>
            <w:shd w:fill="F5F7F9"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r>
    </w:tbl>
    <w:p>
      <w:pPr>
        <w:spacing w:after="160"/>
      </w:pPr>
    </w:p>
    <w:p>
      <w:pPr>
        <w:spacing w:after="120" w:line="276"/>
      </w:pPr>
      <w:r>
        <w:rPr>
          <w:sz w:val="21"/>
          <w:szCs w:val="21"/>
        </w:rPr>
        <w:t xml:space="preserve">Poziom czwarty ma istotne znaczenie dla ciągłości działania. Własne wersjonowane archiwum — około 900 MB na zrzut, przy zrzutach miesięcznych ok. 22 GB rocznie — oznacza, że trwała niedostępność rejestru PRG powoduje degradację usługi do stanu „dane nie starsze niż ostatni zrzut”, a nie jej wyłączenie.</w:t>
      </w: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16.13 z PostGIS 3,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w:t>
      </w:r>
    </w:p>
    <w:p>
      <w:pPr>
        <w:spacing w:after="120" w:line="276"/>
      </w:pPr>
      <w:r>
        <w:rPr>
          <w:sz w:val="21"/>
          <w:szCs w:val="21"/>
        </w:rPr>
        <w:t xml:space="preserve">Pomiary wykonano na zbiorze syntetycznym odwzorowującym rozkład danych rzeczywistych: 103 tys. miejscowości i 270 tys. ulic, łącznie 373 tys. pozycji, z uwzględnieniem polskich znaków, duplikatów nazw i nazw patronackich.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4526"/>
            <w:shd w:fill="E8EDF2" w:color="auto" w:val="clear"/>
            <w:tcMar>
              <w:top w:type="dxa" w:w="70"/>
              <w:left w:type="dxa" w:w="110"/>
              <w:bottom w:type="dxa" w:w="70"/>
              <w:right w:type="dxa" w:w="110"/>
            </w:tcMar>
            <w:vAlign w:val="center"/>
          </w:tcPr>
          <w:p>
            <w:pPr>
              <w:spacing w:after="0" w:line="240"/>
            </w:pPr>
            <w:r>
              <w:rPr>
                <w:b/>
                <w:bCs/>
                <w:sz w:val="19"/>
                <w:szCs w:val="19"/>
              </w:rPr>
              <w:t xml:space="preserve">Wartość zmierzona</w:t>
            </w:r>
          </w:p>
        </w:tc>
      </w:tr>
      <w:tr>
        <w:tc>
          <w:tcPr>
            <w:tcW w:type="dxa" w:w="45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4526"/>
            <w:tcMar>
              <w:top w:type="dxa" w:w="70"/>
              <w:left w:type="dxa" w:w="110"/>
              <w:bottom w:type="dxa" w:w="70"/>
              <w:right w:type="dxa" w:w="110"/>
            </w:tcMar>
            <w:vAlign w:val="center"/>
          </w:tcPr>
          <w:p>
            <w:pPr>
              <w:spacing w:after="0" w:line="240"/>
            </w:pPr>
            <w:r>
              <w:rPr>
                <w:sz w:val="19"/>
                <w:szCs w:val="19"/>
              </w:rPr>
              <w:t xml:space="preserve">0,49 ms</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1,11 ms</w:t>
            </w:r>
          </w:p>
        </w:tc>
      </w:tr>
      <w:tr>
        <w:tc>
          <w:tcPr>
            <w:tcW w:type="dxa" w:w="4500"/>
            <w:tcMar>
              <w:top w:type="dxa" w:w="70"/>
              <w:left w:type="dxa" w:w="110"/>
              <w:bottom w:type="dxa" w:w="70"/>
              <w:right w:type="dxa" w:w="110"/>
            </w:tcMar>
            <w:vAlign w:val="center"/>
          </w:tcPr>
          <w:p>
            <w:pPr>
              <w:spacing w:after="0" w:line="240"/>
            </w:pPr>
            <w:r>
              <w:rPr>
                <w:sz w:val="19"/>
                <w:szCs w:val="19"/>
              </w:rPr>
              <w:t xml:space="preserve">99. percentyl</w:t>
            </w:r>
          </w:p>
        </w:tc>
        <w:tc>
          <w:tcPr>
            <w:tcW w:type="dxa" w:w="4526"/>
            <w:tcMar>
              <w:top w:type="dxa" w:w="70"/>
              <w:left w:type="dxa" w:w="110"/>
              <w:bottom w:type="dxa" w:w="70"/>
              <w:right w:type="dxa" w:w="110"/>
            </w:tcMar>
            <w:vAlign w:val="center"/>
          </w:tcPr>
          <w:p>
            <w:pPr>
              <w:spacing w:after="0" w:line="240"/>
            </w:pPr>
            <w:r>
              <w:rPr>
                <w:sz w:val="19"/>
                <w:szCs w:val="19"/>
              </w:rPr>
              <w:t xml:space="preserve">1,84 ms</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53 MB</w:t>
            </w:r>
          </w:p>
        </w:tc>
      </w:tr>
      <w:tr>
        <w:tc>
          <w:tcPr>
            <w:tcW w:type="dxa" w:w="4500"/>
            <w:tcMar>
              <w:top w:type="dxa" w:w="70"/>
              <w:left w:type="dxa" w:w="110"/>
              <w:bottom w:type="dxa" w:w="70"/>
              <w:right w:type="dxa" w:w="110"/>
            </w:tcMar>
            <w:vAlign w:val="center"/>
          </w:tcPr>
          <w:p>
            <w:pPr>
              <w:spacing w:after="0" w:line="240"/>
            </w:pPr>
            <w:r>
              <w:rPr>
                <w:sz w:val="19"/>
                <w:szCs w:val="19"/>
              </w:rPr>
              <w:t xml:space="preserve">Zużycie pamięci przez instancję</w:t>
            </w:r>
          </w:p>
        </w:tc>
        <w:tc>
          <w:tcPr>
            <w:tcW w:type="dxa" w:w="4526"/>
            <w:tcMar>
              <w:top w:type="dxa" w:w="70"/>
              <w:left w:type="dxa" w:w="110"/>
              <w:bottom w:type="dxa" w:w="70"/>
              <w:right w:type="dxa" w:w="110"/>
            </w:tcMar>
            <w:vAlign w:val="center"/>
          </w:tcPr>
          <w:p>
            <w:pPr>
              <w:spacing w:after="0" w:line="240"/>
            </w:pPr>
            <w:r>
              <w:rPr>
                <w:sz w:val="19"/>
                <w:szCs w:val="19"/>
              </w:rPr>
              <w:t xml:space="preserve">ok. 485 MB</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12 s</w:t>
            </w:r>
          </w:p>
        </w:tc>
      </w:tr>
      <w:tr>
        <w:tc>
          <w:tcPr>
            <w:tcW w:type="dxa" w:w="45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4526"/>
            <w:tcMar>
              <w:top w:type="dxa" w:w="70"/>
              <w:left w:type="dxa" w:w="110"/>
              <w:bottom w:type="dxa" w:w="70"/>
              <w:right w:type="dxa" w:w="110"/>
            </w:tcMar>
            <w:vAlign w:val="center"/>
          </w:tcPr>
          <w:p>
            <w:pPr>
              <w:spacing w:after="0" w:line="240"/>
            </w:pPr>
            <w:r>
              <w:rPr>
                <w:sz w:val="19"/>
                <w:szCs w:val="19"/>
              </w:rPr>
              <w:t xml:space="preserve">Zapytanie „mickievicza” zwraca „Mickiewicza”</w:t>
            </w:r>
          </w:p>
        </w:tc>
      </w:tr>
    </w:tbl>
    <w:p>
      <w:pPr>
        <w:spacing w:after="160"/>
      </w:pPr>
    </w:p>
    <w:p>
      <w:pPr>
        <w:spacing w:after="120" w:line="276"/>
      </w:pPr>
      <w:r>
        <w:rPr>
          <w:b/>
          <w:bCs/>
          <w:sz w:val="21"/>
          <w:szCs w:val="21"/>
        </w:rPr>
        <w:t xml:space="preserve">Wniosek metodyczny: </w:t>
      </w:r>
      <w:r>
        <w:rPr>
          <w:sz w:val="21"/>
          <w:szCs w:val="21"/>
        </w:rPr>
        <w:t xml:space="preserve">czynnikiem decydującym o wydajności jest liczba pozycji w indeksie, nie wybrana technologia. Ten sam mechanizm zastosowany do zbioru mniejszego 23-krotnie daje czas odpowiedzi niższy około 300-krotnie. Z tego powodu indeksowane są miejscowości i ulice, a numery budynków pobierane są z bazy dopiero po wyborze ulicy, gdy jest ich od kilkudziesięciu do kilkuset.</w:t>
      </w:r>
    </w:p>
    <w:p>
      <w:pPr>
        <w:pStyle w:val="Heading2"/>
        <w:spacing w:after="140" w:before="280"/>
      </w:pPr>
      <w:r>
        <w:t xml:space="preserve">8.3. Uruchomienie na danych rzeczywistych — 6 sierpnia 2026</w:t>
      </w:r>
    </w:p>
    <w:p>
      <w:pPr>
        <w:spacing w:after="120" w:line="276"/>
      </w:pPr>
      <w:r>
        <w:rPr>
          <w:sz w:val="21"/>
          <w:szCs w:val="21"/>
        </w:rPr>
        <w:t xml:space="preserve">Dotychczasowe wyniki pochodziły z próbek i zbiorów syntetycznych. 6 sierpnia 2026 cała ścieżka została uruchomiona na rzeczywistych danych rejestru PRG i rejestru TERYT. Poniżej wyniki oraz usterki, które ujawniło dopiero zetknięcie z pełnym zbiorem.</w:t>
      </w:r>
    </w:p>
    <w:p>
      <w:pPr>
        <w:spacing w:after="120" w:line="276"/>
      </w:pPr>
      <w:r>
        <w:rPr>
          <w:sz w:val="21"/>
          <w:szCs w:val="21"/>
        </w:rPr>
        <w:t xml:space="preserve">Zabezpieczenie zrzutu. Pobrano komplet 16 województw, 1,8 GB, oznaczony wersją 2026-08-06, z sumą kontrolną każdego pliku. Realizuje to decyzję o archiwizacji przed 1 września 2026. Istotne: sierpniowa paczka zawiera równolegle plik w strukturze dotychczasowej i w nowej, więc zabezpieczone zostały obie — łącznie z atrybutami, które po tej dacie znikną.</w:t>
      </w:r>
    </w:p>
    <w:p>
      <w:pPr>
        <w:spacing w:after="120" w:line="276"/>
      </w:pPr>
      <w:r>
        <w:rPr>
          <w:sz w:val="21"/>
          <w:szCs w:val="21"/>
        </w:rPr>
        <w:t xml:space="preserve">Słowniki TERYT — bez konta w GUS. Usługa sieciowa GUS nie odpowiadała na żadne zapytanie SOAP (przerwanie po 30 i po 60 sekundach, przy poprawnie działającym pobraniu opisu usługi w 2,2 s). Okazało się to jednak nieistotne: te same katalogi są udostępniane jako pliki do pobrania bez rejestracji i bez konta. Załadowano 4360 jednostek podziału terytorialnego, 101 865 miejscowości i 308 888 ulic. Pozycja „Import słowników TERYT” z planu prac jest zamknięta, a zależność od rejestracji w GUS — nieaktualna.</w:t>
      </w:r>
    </w:p>
    <w:p>
      <w:pPr>
        <w:spacing w:after="120" w:line="276"/>
      </w:pPr>
      <w:r>
        <w:rPr>
          <w:sz w:val="21"/>
          <w:szCs w:val="21"/>
        </w:rPr>
        <w:t xml:space="preserve">Nowa struktura danych działa. Parser rozpoznał rzeczywisty plik w strukturze obowiązującej od 1 września 2026 (przestrzeń nazw https://geoportal.gov.pl/schemas/prgad/1.0) i nie odrzucił ani jednego rekordu. To najważniejszy wynik dla oceny ryzyka związanego z wrześniową zmianą formatu: przejście nie wymaga przebudowy, potwierdza się to na danych, a nie tylko na deklaracji.</w:t>
      </w:r>
    </w:p>
    <w:p>
      <w:pPr>
        <w:spacing w:after="120" w:line="276"/>
      </w:pPr>
      <w:r>
        <w:rPr>
          <w:sz w:val="21"/>
          <w:szCs w:val="21"/>
        </w:rPr>
        <w:t xml:space="preserve">Załadowane dane. Mazowieckie: 1 266 579 punktów adresowych. Po dołożeniu trzech kolejnych województw w bazie znalazło się 1 990 498 punktów, a zbudowany artefakt wyszukiwania objął 410 753 pozycje i zajął 55,3 MB — zgodnie z wcześniejszym szacunkiem 53 MB.</w:t>
      </w:r>
    </w:p>
    <w:p>
      <w:pPr>
        <w:spacing w:after="120" w:line="276"/>
      </w:pPr>
      <w:r>
        <w:rPr>
          <w:sz w:val="21"/>
          <w:szCs w:val="21"/>
        </w:rPr>
        <w:t xml:space="preserve">Kontrole jakości zadziałały zgodnie z projektem. Przy próbie publikacji jednego województwa kontrola minimalnej liczby rekordów wstrzymała podmianę, bo 1,27 mln punktów to znacznie poniżej progu 7,5 mln ustawionego dla całego kraju. Jest to zachowanie prawidłowe — dokładnie ten mechanizm chroni przed opublikowaniem niekompletnego zrzutu.</w:t>
      </w:r>
    </w:p>
    <w:p>
      <w:pPr>
        <w:pStyle w:val="Heading2"/>
        <w:spacing w:after="140" w:before="280"/>
      </w:pPr>
      <w:r>
        <w:t xml:space="preserve">8.4. Usterki wykryte na pełnym zbiorze</w:t>
      </w:r>
    </w:p>
    <w:p>
      <w:pPr>
        <w:spacing w:after="120" w:line="276"/>
      </w:pPr>
      <w:r>
        <w:rPr>
          <w:sz w:val="21"/>
          <w:szCs w:val="21"/>
        </w:rPr>
        <w:t xml:space="preserve">Trzy problemy ujawniły się dopiero na danych rzeczywistych. Wszystkie zostały naprawione, ale warto je odnotować, bo pokazują, czego nie wykrywają testy na próbkach.</w:t>
      </w:r>
    </w:p>
    <w:p>
      <w:pPr>
        <w:spacing w:after="120" w:line="276"/>
      </w:pPr>
      <w:r>
        <w:rPr>
          <w:sz w:val="21"/>
          <w:szCs w:val="21"/>
        </w:rPr>
        <w:t xml:space="preserve">Uszkadzanie polskich znaków. Parser dekodował każdą porcję strumienia osobno, więc znak wielobajtowy wypadający na granicy porcji rozpadał się na dwa i zamieniał w znak zastępczy. W jednym województwie dało to jedną uszkodzoną nazwę ulicy — przy całym kraju byłoby ich kilkanaście, bez żadnego ostrzeżenia. Błąd tej klasy nie ujawnia się na małych plikach testowych.</w:t>
      </w:r>
    </w:p>
    <w:p>
      <w:pPr>
        <w:spacing w:after="120" w:line="276"/>
      </w:pPr>
      <w:r>
        <w:rPr>
          <w:sz w:val="21"/>
          <w:szCs w:val="21"/>
        </w:rPr>
        <w:t xml:space="preserve">Błędne wiązanie punktów z miejscowościami w nowej strukturze. W strukturze dotychczasowej punkt wskazywał miejscowość wprost jej identyfikatorem SIMC. W nowej wskazuje ją odwołaniem do obiektu, a identyfikator SIMC jest dopiero w tym obiekcie. Procedura wiążąca wyłuskiwała z takiego odwołania wszystkie cyfry — razem z cyframi daty wersji — i budowała z nich trzydziestoznakowy ciąg, który wygrywał z poprawnym identyfikatorem. Publikacja przerywała się błędem zapisu. Gdyby kolumna była szersza, do bazy trafiłyby ciche śmieci zamiast identyfikatorów miejscowości. To jest ta „korekta odwzorowania pól”, którą plan prac przewidywał dla nowej struktury.</w:t>
      </w:r>
    </w:p>
    <w:p>
      <w:pPr>
        <w:spacing w:after="120" w:line="276"/>
      </w:pPr>
      <w:r>
        <w:rPr>
          <w:sz w:val="21"/>
          <w:szCs w:val="21"/>
        </w:rPr>
        <w:t xml:space="preserve">Czas importu słowników TERYT. Pierwotnie rekordy wstawiane były pojedynczo, co przy 400 tys. pozycji trwało ponad 20 minut i zakończyło się zerwaniem połączenia oraz wycofaniem całej transakcji. Po przejściu na ładowanie masowe import trwa około 8 minut i kończy się powodzeniem.</w:t>
      </w:r>
    </w:p>
    <w:p>
      <w:pPr>
        <w:pStyle w:val="Heading2"/>
        <w:spacing w:after="140" w:before="280"/>
      </w:pPr>
      <w:r>
        <w:t xml:space="preserve">8.5. Wydajność przetwarzania na pełnym zbiorze</w:t>
      </w:r>
    </w:p>
    <w:p>
      <w:pPr>
        <w:spacing w:after="120" w:line="276"/>
      </w:pPr>
      <w:r>
        <w:rPr>
          <w:sz w:val="21"/>
          <w:szCs w:val="21"/>
        </w:rPr>
        <w:t xml:space="preserve">Pomiary wykonano na komputerze przenośnym (8 rdzeni, przetwarzanie w kontenerach, archiwum na dysku hosta). Na serwerze wyniki będą lepsze, ale proporcje pozostaną.</w:t>
      </w:r>
    </w:p>
    <w:p>
      <w:pPr>
        <w:spacing w:after="120" w:line="276"/>
      </w:pPr>
      <w:r>
        <w:rPr>
          <w:sz w:val="21"/>
          <w:szCs w:val="21"/>
        </w:rPr>
        <w:t xml:space="preserve">Parsowanie punktów adresowych osiąga 902 rekordy na sekundę; miejscowości i ulice są dwukrotnie wolniejsze, bo mają więcej pól na rekord. Załadowanie mazowieckiego zajęło około 38 minut, co dla całego kraju daje około 4 godzin — istotnie więcej niż wcześniej zakładane 40 minut. Ta rozbieżność została usunięta: ponieważ pliki wojewódzkie są od siebie niezależne, przetwarzanie rozdzielono na równoległe procesy. Cztery naraz dają łącznie 3266 rekordów na sekundę wobec 902 w jednym procesie, czyli 3,6-krotne przyspieszenie, co sprowadza pełny przebieg do około 1–1,5 godziny. Kosztem jest pamięć: około 400 MB na proces.</w:t>
      </w:r>
    </w:p>
    <w:p>
      <w:pPr>
        <w:spacing w:after="120" w:line="276"/>
      </w:pPr>
      <w:r>
        <w:rPr>
          <w:sz w:val="21"/>
          <w:szCs w:val="21"/>
        </w:rPr>
        <w:t xml:space="preserve">Wniosek dla harmonogramu: przy aktualizacji dobowej pełny przebieg mieści się w oknie nocnym z dużym zapasem. Wartość zrównoleglenia dobiera się do pamięci dostępnej dla zadania, a nie do liczby rdzeni.</w:t>
      </w:r>
    </w:p>
    <w:p>
      <w:pPr>
        <w:pStyle w:val="Heading2"/>
        <w:spacing w:after="140" w:before="280"/>
      </w:pPr>
      <w:r>
        <w:t xml:space="preserve">8.6. Publikacja na danych rzeczywistych — wynik</w:t>
      </w:r>
    </w:p>
    <w:p>
      <w:pPr>
        <w:spacing w:after="120" w:line="276"/>
      </w:pPr>
      <w:r>
        <w:rPr>
          <w:sz w:val="21"/>
          <w:szCs w:val="21"/>
        </w:rPr>
        <w:t xml:space="preserve">Cała ścieżka została doprowadzona do końca: dane czterech województw przeszły kontrole jakości, zostały opublikowane transakcyjnie, artefakt wyszukiwania zbudowano z prawdziwych danych, a mikroserwis odpowiada na zapytania.</w:t>
      </w:r>
    </w:p>
    <w:p>
      <w:pPr>
        <w:spacing w:after="120" w:line="276"/>
      </w:pPr>
      <w:r>
        <w:rPr>
          <w:sz w:val="21"/>
          <w:szCs w:val="21"/>
        </w:rPr>
        <w:t xml:space="preserve">Opublikowano 1 990 483 punkty adresowe. Ulicę udało się przypisać 1 324 563 punktom — to dokładnie tyle, ile miało w źródle odwołanie do ulicy, czyli wiązanie zadziałało bez ani jednej straty. Pozostałe punkty to adresy wiejskie, gdzie numer odnosi się wprost do miejscowości. Katalog ulic urósł do 385 436 pozycji: 308 888 pochodzi z TERYT, resztę wniósł rejestr PRG. Artefakt wyszukiwania objął 487 301 pozycji i zajął 66,4 MB.</w:t>
      </w:r>
    </w:p>
    <w:p>
      <w:pPr>
        <w:spacing w:after="120" w:line="276"/>
      </w:pPr>
      <w:r>
        <w:rPr>
          <w:sz w:val="21"/>
          <w:szCs w:val="21"/>
        </w:rPr>
        <w:t xml:space="preserve">Publikacja czterech województw trwała 72 minuty. Dla całego kraju będzie to proporcjonalnie więcej, ale nie liniowo — znaczna część tego czasu to jednorazowe zapełnienie pustych tabel i indeksów.</w:t>
      </w:r>
    </w:p>
    <w:p>
      <w:pPr>
        <w:pStyle w:val="Heading2"/>
        <w:spacing w:after="140" w:before="280"/>
      </w:pPr>
      <w:r>
        <w:t xml:space="preserve">8.7. Usterki wykryte podczas publikacji</w:t>
      </w:r>
    </w:p>
    <w:p>
      <w:pPr>
        <w:spacing w:after="120" w:line="276"/>
      </w:pPr>
      <w:r>
        <w:rPr>
          <w:sz w:val="21"/>
          <w:szCs w:val="21"/>
        </w:rPr>
        <w:t xml:space="preserve">Poza trzema opisanymi wcześniej, publikacja ujawniła dwie kolejne. Obie były niewidoczne dopóki nie zadziałała poprawka poprzedniej — to typowe dla warstwowych usterek w przetwarzaniu danych i najmocniejszy argument za tym, żeby przed produkcją przepuścić przez potok pełny zbiór, a nie próbkę.</w:t>
      </w:r>
    </w:p>
    <w:p>
      <w:pPr>
        <w:spacing w:after="120" w:line="276"/>
      </w:pPr>
      <w:r>
        <w:rPr>
          <w:sz w:val="21"/>
          <w:szCs w:val="21"/>
        </w:rPr>
        <w:t xml:space="preserve">Zdublowane pozycje w słownikach. Źródło opisuje część ulic i miejscowości więcej niż raz. Zapis do bazy przerywał się wtedy błędem, bo ten sam klucz trafiał dwukrotnie w jednej operacji — jeden zdublowany rekord wstrzymywał publikację całego kraju. W jednym zrzucie było 329 takich grup ulic. Rozstrzyganie duplikatów jest teraz jawne i powtarzalne: dla miejscowości wygrywa wariant z geometrią, dla ulic wariant z identyfikatorem z katalogu ULIC. Powtarzalność jest tu istotna, bo na niej opiera się możliwość automatycznego porównywania kolejnych wersji artefaktu wyszukiwania.</w:t>
      </w:r>
    </w:p>
    <w:p>
      <w:pPr>
        <w:spacing w:after="120" w:line="276"/>
      </w:pPr>
      <w:r>
        <w:rPr>
          <w:sz w:val="21"/>
          <w:szCs w:val="21"/>
        </w:rPr>
        <w:t xml:space="preserve">Zapytanie wiążące punkty z ulicami nie miało szans się zakończyć. Warunek łączył przez „lub” porównanie po kolumnie z porównaniem po wyniku funkcji, przez co baza nie mogła użyć indeksu i dla każdego punktu przeglądała wszystkie ulice: 1 324 563 punkty razy 76 886 ulic, ponad sto miliardów porównań. Przebieg został przerwany po ośmiu godzinach bez wyniku. Po rozdzieleniu warunku na dwa zapytania ten sam krok wykonuje się w minutach. Warto odnotować, że na danych testowych liczących kilkanaście rekordów taki błąd jest całkowicie niewidoczny.</w:t>
      </w:r>
    </w:p>
    <w:p>
      <w:pPr>
        <w:pStyle w:val="Heading2"/>
        <w:spacing w:after="140" w:before="280"/>
      </w:pPr>
      <w:r>
        <w:t xml:space="preserve">8.8. Sprostowanie: czasy odpowiedzi na danych rzeczywistych</w:t>
      </w:r>
    </w:p>
    <w:p>
      <w:pPr>
        <w:spacing w:after="120" w:line="276"/>
      </w:pPr>
      <w:r>
        <w:rPr>
          <w:sz w:val="21"/>
          <w:szCs w:val="21"/>
        </w:rPr>
        <w:t xml:space="preserve">Podane wcześniej 0,49 ms mediany pochodziło ze zbioru syntetycznego. Na danych rzeczywistych mediana wynosi około 4 ms, a najwolniejsze zapytania sięgają 42 ms. Różnica nie bierze się z wielkości zbioru, lecz z jego rozkładu: w prawdziwych danych „Nowa Wieś” to setki miejscowości, a nazwy patronackie w rodzaju „Kościuszki” występują w tysiącach miejscowości. Koszt wynika z liczby kandydatów do uszeregowania, a nie z rozmiaru indeksu.</w:t>
      </w:r>
    </w:p>
    <w:p>
      <w:pPr>
        <w:spacing w:after="120" w:line="276"/>
      </w:pPr>
      <w:r>
        <w:rPr>
          <w:sz w:val="21"/>
          <w:szCs w:val="21"/>
        </w:rPr>
        <w:t xml:space="preserve">Dla zastosowania produktowego jest to nadal wynik bardzo dobry — podpowiedzi pozostają natychmiastowe w odbiorze użytkownika, a najgorszy zmierzony przypadek mieści się w typowym budżecie czasu odpowiedzi z dużym zapasem. Wniosek dla planowania: zapytania jednoznaczne kosztują poniżej milisekundy, a budżet trzeba przewidzieć pod nazwy pospolite i zapytania z literówką.</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3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Wysoki (5–7 tygodni)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3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3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0,5 ms</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0,5 ms / opóźnienie sieci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Cztery poziomy zabezpieczeń</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Brak wpływu</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19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Zależności</w:t>
            </w:r>
          </w:p>
        </w:tc>
      </w:tr>
      <w:tr>
        <w:tc>
          <w:tcPr>
            <w:tcW w:type="dxa" w:w="2400"/>
            <w:tcMar>
              <w:top w:type="dxa" w:w="70"/>
              <w:left w:type="dxa" w:w="110"/>
              <w:bottom w:type="dxa" w:w="70"/>
              <w:right w:type="dxa" w:w="110"/>
            </w:tcMar>
            <w:vAlign w:val="center"/>
          </w:tcPr>
          <w:p>
            <w:pPr>
              <w:spacing w:after="0" w:line="240"/>
            </w:pPr>
            <w:r>
              <w:rPr>
                <w:sz w:val="19"/>
                <w:szCs w:val="19"/>
              </w:rPr>
              <w:t xml:space="preserve">Archiwizacja danych</w:t>
            </w:r>
          </w:p>
        </w:tc>
        <w:tc>
          <w:tcPr>
            <w:tcW w:type="dxa" w:w="3200"/>
            <w:tcMar>
              <w:top w:type="dxa" w:w="70"/>
              <w:left w:type="dxa" w:w="110"/>
              <w:bottom w:type="dxa" w:w="70"/>
              <w:right w:type="dxa" w:w="110"/>
            </w:tcMar>
            <w:vAlign w:val="center"/>
          </w:tcPr>
          <w:p>
            <w:pPr>
              <w:spacing w:after="0" w:line="240"/>
            </w:pPr>
            <w:r>
              <w:rPr>
                <w:sz w:val="19"/>
                <w:szCs w:val="19"/>
              </w:rPr>
              <w:t xml:space="preserve">Pobranie i zabezpieczenie zrzutu w dotychczasowej strukturze</w:t>
            </w:r>
          </w:p>
        </w:tc>
        <w:tc>
          <w:tcPr>
            <w:tcW w:type="dxa" w:w="1500"/>
            <w:tcMar>
              <w:top w:type="dxa" w:w="70"/>
              <w:left w:type="dxa" w:w="110"/>
              <w:bottom w:type="dxa" w:w="70"/>
              <w:right w:type="dxa" w:w="110"/>
            </w:tcMar>
            <w:vAlign w:val="center"/>
          </w:tcPr>
          <w:p>
            <w:pPr>
              <w:spacing w:after="0" w:line="240"/>
            </w:pPr>
            <w:r>
              <w:rPr>
                <w:sz w:val="19"/>
                <w:szCs w:val="19"/>
              </w:rPr>
              <w:t xml:space="preserve">1 dzień</w:t>
            </w:r>
          </w:p>
        </w:tc>
        <w:tc>
          <w:tcPr>
            <w:tcW w:type="dxa" w:w="1926"/>
            <w:tcMar>
              <w:top w:type="dxa" w:w="70"/>
              <w:left w:type="dxa" w:w="110"/>
              <w:bottom w:type="dxa" w:w="70"/>
              <w:right w:type="dxa" w:w="110"/>
            </w:tcMar>
            <w:vAlign w:val="center"/>
          </w:tcPr>
          <w:p>
            <w:pPr>
              <w:spacing w:after="0" w:line="240"/>
            </w:pPr>
            <w:r>
              <w:rPr>
                <w:sz w:val="19"/>
                <w:szCs w:val="19"/>
              </w:rPr>
              <w:t xml:space="preserve">Termin: przed 1.09.2026</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Weryfikacja nowej struktury</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Uruchomienie rozpoznania na rzeczywistym pliku, korekta odwzorowania pól</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2–3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Dostępność pliku</w:t>
            </w:r>
          </w:p>
        </w:tc>
      </w:tr>
      <w:tr>
        <w:tc>
          <w:tcPr>
            <w:tcW w:type="dxa" w:w="2400"/>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3200"/>
            <w:tcMar>
              <w:top w:type="dxa" w:w="70"/>
              <w:left w:type="dxa" w:w="110"/>
              <w:bottom w:type="dxa" w:w="70"/>
              <w:right w:type="dxa" w:w="110"/>
            </w:tcMar>
            <w:vAlign w:val="center"/>
          </w:tcPr>
          <w:p>
            <w:pPr>
              <w:spacing w:after="0" w:line="240"/>
            </w:pPr>
            <w:r>
              <w:rPr>
                <w:sz w:val="19"/>
                <w:szCs w:val="19"/>
              </w:rPr>
              <w:t xml:space="preserve">Integracja z usługą sieciową GUS, obsługa plików różnicowych</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Rejestracja w GUS</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Import 8,5 mln punktów, strojenie, weryfikacja czasów</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5–8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Poprzednie etapy</w:t>
            </w:r>
          </w:p>
        </w:tc>
      </w:tr>
      <w:tr>
        <w:tc>
          <w:tcPr>
            <w:tcW w:type="dxa" w:w="2400"/>
            <w:tcMar>
              <w:top w:type="dxa" w:w="70"/>
              <w:left w:type="dxa" w:w="110"/>
              <w:bottom w:type="dxa" w:w="70"/>
              <w:right w:type="dxa" w:w="110"/>
            </w:tcMar>
            <w:vAlign w:val="center"/>
          </w:tcPr>
          <w:p>
            <w:pPr>
              <w:spacing w:after="0" w:line="240"/>
            </w:pPr>
            <w:r>
              <w:rPr>
                <w:sz w:val="19"/>
                <w:szCs w:val="19"/>
              </w:rPr>
              <w:t xml:space="preserve">Automatyzacja i monitorowanie</w:t>
            </w:r>
          </w:p>
        </w:tc>
        <w:tc>
          <w:tcPr>
            <w:tcW w:type="dxa" w:w="3200"/>
            <w:tcMar>
              <w:top w:type="dxa" w:w="70"/>
              <w:left w:type="dxa" w:w="110"/>
              <w:bottom w:type="dxa" w:w="70"/>
              <w:right w:type="dxa" w:w="110"/>
            </w:tcMar>
            <w:vAlign w:val="center"/>
          </w:tcPr>
          <w:p>
            <w:pPr>
              <w:spacing w:after="0" w:line="240"/>
            </w:pPr>
            <w:r>
              <w:rPr>
                <w:sz w:val="19"/>
                <w:szCs w:val="19"/>
              </w:rPr>
              <w:t xml:space="preserve">Zadanie cykliczne, powiadomienia, dziennik zdarzeń</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Drugie źródło danych</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Integracja iMPA, uzgadnianie rozbieżności</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5–8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Wyjaśnienie licencji</w:t>
            </w:r>
          </w:p>
        </w:tc>
      </w:tr>
      <w:tr>
        <w:tc>
          <w:tcPr>
            <w:tcW w:type="dxa" w:w="2400"/>
            <w:tcMar>
              <w:top w:type="dxa" w:w="70"/>
              <w:left w:type="dxa" w:w="110"/>
              <w:bottom w:type="dxa" w:w="70"/>
              <w:right w:type="dxa" w:w="110"/>
            </w:tcMar>
            <w:vAlign w:val="center"/>
          </w:tcPr>
          <w:p>
            <w:pPr>
              <w:spacing w:after="0" w:line="240"/>
            </w:pPr>
            <w:r>
              <w:rPr>
                <w:sz w:val="19"/>
                <w:szCs w:val="19"/>
              </w:rPr>
              <w:t xml:space="preserve">Walidacja wsadowa</w:t>
            </w:r>
          </w:p>
        </w:tc>
        <w:tc>
          <w:tcPr>
            <w:tcW w:type="dxa" w:w="3200"/>
            <w:tcMar>
              <w:top w:type="dxa" w:w="70"/>
              <w:left w:type="dxa" w:w="110"/>
              <w:bottom w:type="dxa" w:w="70"/>
              <w:right w:type="dxa" w:w="110"/>
            </w:tcMar>
            <w:vAlign w:val="center"/>
          </w:tcPr>
          <w:p>
            <w:pPr>
              <w:spacing w:after="0" w:line="240"/>
            </w:pPr>
            <w:r>
              <w:rPr>
                <w:sz w:val="19"/>
                <w:szCs w:val="19"/>
              </w:rPr>
              <w:t xml:space="preserve">Przetwarzanie plików z adresami, kolejka zadań</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Utwardzenie i dokumentacja</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Testy, zabezpieczenia, dokumentacja powdrożeniowa</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Poprzednie etapy</w:t>
            </w:r>
          </w:p>
        </w:tc>
      </w:tr>
    </w:tbl>
    <w:p>
      <w:pPr>
        <w:spacing w:after="160"/>
      </w:pPr>
    </w:p>
    <w:p>
      <w:pPr>
        <w:spacing w:after="120" w:line="276"/>
      </w:pPr>
      <w:r>
        <w:rPr>
          <w:sz w:val="21"/>
          <w:szCs w:val="21"/>
        </w:rPr>
        <w:t xml:space="preserve">Łączny szacowany nakład: 5–7 tygodni pracy jednej osoby, przy założeniu braku istotnych niespodzianek po stronie struktury danych źródłowych.</w:t>
      </w:r>
    </w:p>
    <w:p>
      <w:pPr>
        <w:pStyle w:val="Heading2"/>
        <w:spacing w:after="140" w:before="280"/>
      </w:pPr>
      <w:r>
        <w:t xml:space="preserve">10.1. Zagadnienia do zweryfikowania w trakcie wdrożenia</w:t>
      </w:r>
    </w:p>
    <w:p>
      <w:pPr>
        <w:spacing w:after="120" w:line="276"/>
      </w:pPr>
      <w:r>
        <w:rPr>
          <w:sz w:val="21"/>
          <w:szCs w:val="21"/>
        </w:rPr>
        <w:t xml:space="preserve">Poniższe kwestie nie były możliwe do rozstrzygnięcia na etapie analizy i wymagają potwierdzenia empirycznego. Żadna z nich nie zagraża przyjętej architekturze, ale każda może wpłynąć na szczegóły realizacji.</w:t>
      </w:r>
    </w:p>
    <w:p>
      <w:pPr>
        <w:pStyle w:val="ListParagraph"/>
        <w:numPr>
          <w:ilvl w:val="0"/>
          <w:numId w:val="2"/>
        </w:numPr>
        <w:spacing w:after="80" w:line="276"/>
      </w:pPr>
      <w:r>
        <w:rPr>
          <w:sz w:val="21"/>
          <w:szCs w:val="21"/>
        </w:rPr>
        <w:t xml:space="preserve">ROZSTRZYGNIĘTE 6.08.2026: 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sz w:val="21"/>
          <w:szCs w:val="21"/>
        </w:rPr>
        <w:t xml:space="preserve">Dokładne nazwy plików w nowej strukturze po 1 września. Kod dopasowuje pliki według wzorca, nie stałej nazwy, więc zmiana nie powinna być odczuwalna.</w:t>
      </w:r>
    </w:p>
    <w:p>
      <w:pPr>
        <w:pStyle w:val="ListParagraph"/>
        <w:numPr>
          <w:ilvl w:val="0"/>
          <w:numId w:val="2"/>
        </w:numPr>
        <w:spacing w:after="80" w:line="276"/>
      </w:pPr>
      <w:r>
        <w:rPr>
          <w:sz w:val="21"/>
          <w:szCs w:val="21"/>
        </w:rPr>
        <w:t xml:space="preserve">ROZSTRZYGNIĘTE 6.08.2026: nowa struktura zachowuje wersjonowanie obiektów (wersjaId oraz początekWersjiObiektu), więc wykrywanie zmian może opierać się na wersjach, a nie wyłącznie na sumach kontrolnych.</w:t>
      </w:r>
    </w:p>
    <w:p>
      <w:pPr>
        <w:pStyle w:val="ListParagraph"/>
        <w:numPr>
          <w:ilvl w:val="0"/>
          <w:numId w:val="2"/>
        </w:numPr>
        <w:spacing w:after="80" w:line="276"/>
      </w:pPr>
      <w:r>
        <w:rPr>
          <w:sz w:val="21"/>
          <w:szCs w:val="21"/>
        </w:rPr>
        <w:t xml:space="preserve">Warunki licencyjne źródła iMPA — wymagane wystąpienie pisemne do podmiotu prowadzącego.</w:t>
      </w:r>
    </w:p>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400"/>
        <w:gridCol w:w="27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7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4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Do 31.08.2026</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i numeru lokalu</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w:t>
            </w:r>
          </w:p>
        </w:tc>
      </w:tr>
      <w:tr>
        <w:tc>
          <w:tcPr>
            <w:tcW w:type="dxa" w:w="24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4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Cały kraj</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Przed etapem importu</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Ograniczenie do wybranych województw skraca czas o ok. tydzień</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1.0</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2026-08-06T08:12:28.818Z</dcterms:created>
  <dcterms:modified xsi:type="dcterms:W3CDTF">2026-08-06T08:12:28.818Z</dcterms:modified>
</cp:coreProperties>
</file>

<file path=docProps/custom.xml><?xml version="1.0" encoding="utf-8"?>
<Properties xmlns="http://schemas.openxmlformats.org/officeDocument/2006/custom-properties" xmlns:vt="http://schemas.openxmlformats.org/officeDocument/2006/docPropsVTypes"/>
</file>