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0"/>
      </w:pPr>
    </w:p>
    <w:p>
      <w:pPr>
        <w:spacing w:after="100" w:line="276"/>
        <w:jc w:val="center"/>
      </w:pPr>
      <w:r>
        <w:rPr>
          <w:b/>
          <w:bCs/>
          <w:color w:val="1F4E5F"/>
          <w:sz w:val="44"/>
          <w:szCs w:val="44"/>
        </w:rPr>
        <w:t xml:space="preserve">Komponent walidacji danych adresowych</w:t>
      </w:r>
    </w:p>
    <w:p>
      <w:pPr>
        <w:spacing w:after="700" w:line="276"/>
        <w:jc w:val="center"/>
      </w:pPr>
      <w:r>
        <w:rPr>
          <w:color w:val="5A6873"/>
          <w:sz w:val="32"/>
          <w:szCs w:val="32"/>
        </w:rPr>
        <w:t xml:space="preserve">Baza danych i mikroserwis</w:t>
      </w:r>
    </w:p>
    <w:p>
      <w:pPr>
        <w:spacing w:after="120" w:line="276"/>
        <w:jc w:val="center"/>
      </w:pPr>
      <w:r>
        <w:rPr>
          <w:sz w:val="26"/>
          <w:szCs w:val="26"/>
        </w:rPr>
        <w:t xml:space="preserve">Raport z analizy i realizacji</w:t>
      </w:r>
    </w:p>
    <w:p>
      <w:pPr>
        <w:spacing w:after="1400" w:line="276"/>
        <w:jc w:val="center"/>
      </w:pPr>
      <w:r>
        <w:rPr>
          <w:color w:val="5A6873"/>
          <w:sz w:val="22"/>
          <w:szCs w:val="22"/>
        </w:rPr>
        <w:t xml:space="preserve">Stan prac, ocena ryzyk, warianty rozwiązania</w:t>
      </w:r>
    </w:p>
    <w:p>
      <w:pPr>
        <w:spacing w:after="80" w:line="276"/>
        <w:jc w:val="center"/>
      </w:pPr>
      <w:r>
        <w:rPr>
          <w:sz w:val="21"/>
          <w:szCs w:val="21"/>
        </w:rPr>
        <w:t xml:space="preserve">Odbiorcy: Klient, Analityk biznesowy, Zespół wdrożeniowy</w:t>
      </w:r>
    </w:p>
    <w:p>
      <w:pPr>
        <w:spacing w:after="120" w:line="276"/>
        <w:jc w:val="center"/>
      </w:pPr>
      <w:r>
        <w:rPr>
          <w:color w:val="5A6873"/>
          <w:sz w:val="21"/>
          <w:szCs w:val="21"/>
        </w:rPr>
        <w:t xml:space="preserve">Wersja 1.7  ·  9 sierpnia 2026</w:t>
      </w:r>
    </w:p>
    <w:p>
      <w:r>
        <w:br w:type="page"/>
      </w:r>
    </w:p>
    <w:p>
      <w:pPr>
        <w:pStyle w:val="Heading1"/>
        <w:spacing w:after="180" w:before="360"/>
      </w:pPr>
      <w:r>
        <w:t xml:space="preserve">Spis treści</w:t>
      </w:r>
    </w:p>
    <w:p>
      <w:pPr>
        <w:tabs>
          <w:tab w:val="left" w:pos="700"/>
        </w:tabs>
        <w:spacing w:after="110" w:line="276"/>
        <w:ind w:left="240"/>
      </w:pPr>
      <w:r>
        <w:rPr>
          <w:sz w:val="22"/>
          <w:szCs w:val="22"/>
        </w:rPr>
        <w:t xml:space="preserve">1.	Streszczenie zarządcze</w:t>
      </w:r>
    </w:p>
    <w:p>
      <w:pPr>
        <w:tabs>
          <w:tab w:val="left" w:pos="700"/>
        </w:tabs>
        <w:spacing w:after="110" w:line="276"/>
        <w:ind w:left="240"/>
      </w:pPr>
      <w:r>
        <w:rPr>
          <w:sz w:val="22"/>
          <w:szCs w:val="22"/>
        </w:rPr>
        <w:t xml:space="preserve">2.	Kontekst biznesowy</w:t>
      </w:r>
    </w:p>
    <w:p>
      <w:pPr>
        <w:tabs>
          <w:tab w:val="left" w:pos="700"/>
        </w:tabs>
        <w:spacing w:after="110" w:line="276"/>
        <w:ind w:left="240"/>
      </w:pPr>
      <w:r>
        <w:rPr>
          <w:sz w:val="22"/>
          <w:szCs w:val="22"/>
        </w:rPr>
        <w:t xml:space="preserve">3.	Źródła danych adresowych w Polsce</w:t>
      </w:r>
    </w:p>
    <w:p>
      <w:pPr>
        <w:tabs>
          <w:tab w:val="left" w:pos="700"/>
        </w:tabs>
        <w:spacing w:after="110" w:line="276"/>
        <w:ind w:left="240"/>
      </w:pPr>
      <w:r>
        <w:rPr>
          <w:sz w:val="22"/>
          <w:szCs w:val="22"/>
        </w:rPr>
        <w:t xml:space="preserve">4.	Ryzyka i kalendarz zmian</w:t>
      </w:r>
    </w:p>
    <w:p>
      <w:pPr>
        <w:tabs>
          <w:tab w:val="left" w:pos="700"/>
        </w:tabs>
        <w:spacing w:after="110" w:line="276"/>
        <w:ind w:left="240"/>
      </w:pPr>
      <w:r>
        <w:rPr>
          <w:sz w:val="22"/>
          <w:szCs w:val="22"/>
        </w:rPr>
        <w:t xml:space="preserve">5.	Architektura rozwiązania</w:t>
      </w:r>
    </w:p>
    <w:p>
      <w:pPr>
        <w:tabs>
          <w:tab w:val="left" w:pos="700"/>
        </w:tabs>
        <w:spacing w:after="110" w:line="276"/>
        <w:ind w:left="240"/>
      </w:pPr>
      <w:r>
        <w:rPr>
          <w:sz w:val="22"/>
          <w:szCs w:val="22"/>
        </w:rPr>
        <w:t xml:space="preserve">6.	Model danych i reguły — dla analityka</w:t>
      </w:r>
    </w:p>
    <w:p>
      <w:pPr>
        <w:tabs>
          <w:tab w:val="left" w:pos="700"/>
        </w:tabs>
        <w:spacing w:after="110" w:line="276"/>
        <w:ind w:left="240"/>
      </w:pPr>
      <w:r>
        <w:rPr>
          <w:sz w:val="22"/>
          <w:szCs w:val="22"/>
        </w:rPr>
        <w:t xml:space="preserve">7.	Proces aktualizacji danych</w:t>
      </w:r>
    </w:p>
    <w:p>
      <w:pPr>
        <w:tabs>
          <w:tab w:val="left" w:pos="700"/>
        </w:tabs>
        <w:spacing w:after="110" w:line="276"/>
        <w:ind w:left="240"/>
      </w:pPr>
      <w:r>
        <w:rPr>
          <w:sz w:val="22"/>
          <w:szCs w:val="22"/>
        </w:rPr>
        <w:t xml:space="preserve">8.	Wyniki weryfikacji</w:t>
      </w:r>
    </w:p>
    <w:p>
      <w:pPr>
        <w:tabs>
          <w:tab w:val="left" w:pos="700"/>
        </w:tabs>
        <w:spacing w:after="110" w:line="276"/>
        <w:ind w:left="240"/>
      </w:pPr>
      <w:r>
        <w:rPr>
          <w:sz w:val="22"/>
          <w:szCs w:val="22"/>
        </w:rPr>
        <w:t xml:space="preserve">9.	Warianty rozwiązania</w:t>
      </w:r>
    </w:p>
    <w:p>
      <w:pPr>
        <w:tabs>
          <w:tab w:val="left" w:pos="700"/>
        </w:tabs>
        <w:spacing w:after="110" w:line="276"/>
        <w:ind w:left="240"/>
      </w:pPr>
      <w:r>
        <w:rPr>
          <w:sz w:val="22"/>
          <w:szCs w:val="22"/>
        </w:rPr>
        <w:t xml:space="preserve">10.	Plan dalszych prac</w:t>
      </w:r>
    </w:p>
    <w:p>
      <w:pPr>
        <w:tabs>
          <w:tab w:val="left" w:pos="700"/>
        </w:tabs>
        <w:spacing w:after="110" w:line="276"/>
        <w:ind w:left="240"/>
      </w:pPr>
      <w:r>
        <w:rPr>
          <w:sz w:val="22"/>
          <w:szCs w:val="22"/>
        </w:rPr>
        <w:t xml:space="preserve">11.	Decyzje wymagane od Zamawiającego</w:t>
      </w:r>
    </w:p>
    <w:p>
      <w:pPr>
        <w:tabs>
          <w:tab w:val="left" w:pos="700"/>
        </w:tabs>
        <w:spacing w:after="110" w:line="276"/>
        <w:ind w:left="240"/>
      </w:pPr>
      <w:r>
        <w:rPr>
          <w:sz w:val="22"/>
          <w:szCs w:val="22"/>
        </w:rPr>
        <w:t xml:space="preserve">12.	Słownik pojęć</w:t>
      </w:r>
    </w:p>
    <w:p>
      <w:pPr>
        <w:pStyle w:val="Heading1"/>
        <w:spacing w:after="180" w:before="360"/>
      </w:pPr>
      <w:r>
        <w:t xml:space="preserve">Historia dokumentu</w:t>
      </w:r>
    </w:p>
    <w:p>
      <w:pPr>
        <w:spacing w:after="120" w:line="276"/>
      </w:pPr>
      <w:r>
        <w:rPr>
          <w:sz w:val="21"/>
          <w:szCs w:val="21"/>
        </w:rPr>
        <w:t xml:space="preserve">Niniejsze opracowanie jest kolejnym wydaniem raportu z 5 sierpnia 2026. Struktura i wnioski pozostają, zmienia się podstawa dowodowa: wyniki z próbek zostały zastąpione pomiarami na rzeczywistych danych rejestru, a deklaracje o zakresie zbudowanego rozwiązania — zestawione z zawartością repozytorium.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6426"/>
      </w:tblGrid>
      <w:tr>
        <w:trPr>
          <w:tblHeader/>
        </w:trPr>
        <w:tc>
          <w:tcPr>
            <w:tcW w:type="dxa" w:w="1200"/>
            <w:shd w:fill="E8EDF2" w:color="auto" w:val="clear"/>
            <w:tcMar>
              <w:top w:type="dxa" w:w="70"/>
              <w:left w:type="dxa" w:w="110"/>
              <w:bottom w:type="dxa" w:w="70"/>
              <w:right w:type="dxa" w:w="110"/>
            </w:tcMar>
            <w:vAlign w:val="center"/>
          </w:tcPr>
          <w:p>
            <w:pPr>
              <w:spacing w:after="0" w:line="240"/>
            </w:pPr>
            <w:r>
              <w:rPr>
                <w:b/>
                <w:bCs/>
                <w:sz w:val="19"/>
                <w:szCs w:val="19"/>
              </w:rPr>
              <w:t xml:space="preserve">Wydanie</w:t>
            </w:r>
          </w:p>
        </w:tc>
        <w:tc>
          <w:tcPr>
            <w:tcW w:type="dxa" w:w="14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6426"/>
            <w:shd w:fill="E8EDF2" w:color="auto" w:val="clear"/>
            <w:tcMar>
              <w:top w:type="dxa" w:w="70"/>
              <w:left w:type="dxa" w:w="110"/>
              <w:bottom w:type="dxa" w:w="70"/>
              <w:right w:type="dxa" w:w="110"/>
            </w:tcMar>
            <w:vAlign w:val="center"/>
          </w:tcPr>
          <w:p>
            <w:pPr>
              <w:spacing w:after="0" w:line="240"/>
            </w:pPr>
            <w:r>
              <w:rPr>
                <w:b/>
                <w:bCs/>
                <w:sz w:val="19"/>
                <w:szCs w:val="19"/>
              </w:rPr>
              <w:t xml:space="preserve">Co przyniosło</w:t>
            </w:r>
          </w:p>
        </w:tc>
      </w:tr>
      <w:tr>
        <w:tc>
          <w:tcPr>
            <w:tcW w:type="dxa" w:w="1200"/>
            <w:tcMar>
              <w:top w:type="dxa" w:w="70"/>
              <w:left w:type="dxa" w:w="110"/>
              <w:bottom w:type="dxa" w:w="70"/>
              <w:right w:type="dxa" w:w="110"/>
            </w:tcMar>
            <w:vAlign w:val="center"/>
          </w:tcPr>
          <w:p>
            <w:pPr>
              <w:spacing w:after="0" w:line="240"/>
            </w:pPr>
            <w:r>
              <w:rPr>
                <w:sz w:val="19"/>
                <w:szCs w:val="19"/>
              </w:rPr>
              <w:t xml:space="preserve">1.0</w:t>
            </w:r>
          </w:p>
        </w:tc>
        <w:tc>
          <w:tcPr>
            <w:tcW w:type="dxa" w:w="1400"/>
            <w:tcMar>
              <w:top w:type="dxa" w:w="70"/>
              <w:left w:type="dxa" w:w="110"/>
              <w:bottom w:type="dxa" w:w="70"/>
              <w:right w:type="dxa" w:w="110"/>
            </w:tcMar>
            <w:vAlign w:val="center"/>
          </w:tcPr>
          <w:p>
            <w:pPr>
              <w:spacing w:after="0" w:line="240"/>
            </w:pPr>
            <w:r>
              <w:rPr>
                <w:sz w:val="19"/>
                <w:szCs w:val="19"/>
              </w:rPr>
              <w:t xml:space="preserve">5.08.2026</w:t>
            </w:r>
          </w:p>
        </w:tc>
        <w:tc>
          <w:tcPr>
            <w:tcW w:type="dxa" w:w="6426"/>
            <w:tcMar>
              <w:top w:type="dxa" w:w="70"/>
              <w:left w:type="dxa" w:w="110"/>
              <w:bottom w:type="dxa" w:w="70"/>
              <w:right w:type="dxa" w:w="110"/>
            </w:tcMar>
            <w:vAlign w:val="center"/>
          </w:tcPr>
          <w:p>
            <w:pPr>
              <w:spacing w:after="0" w:line="240"/>
            </w:pPr>
            <w:r>
              <w:rPr>
                <w:sz w:val="19"/>
                <w:szCs w:val="19"/>
              </w:rPr>
              <w:t xml:space="preserve">Analiza źródeł, architektura, warianty rozwiązania, kalendarz ryzyk. Wyniki z fixture’ów i zbiorów syntetycznych</w:t>
            </w:r>
          </w:p>
        </w:tc>
      </w:tr>
      <w:tr>
        <w:tc>
          <w:tcPr>
            <w:tcW w:type="dxa" w:w="1200"/>
            <w:tcMar>
              <w:top w:type="dxa" w:w="70"/>
              <w:left w:type="dxa" w:w="110"/>
              <w:bottom w:type="dxa" w:w="70"/>
              <w:right w:type="dxa" w:w="110"/>
            </w:tcMar>
            <w:vAlign w:val="center"/>
          </w:tcPr>
          <w:p>
            <w:pPr>
              <w:spacing w:after="0" w:line="240"/>
            </w:pPr>
            <w:r>
              <w:rPr>
                <w:sz w:val="19"/>
                <w:szCs w:val="19"/>
              </w:rPr>
              <w:t xml:space="preserve">1.1</w:t>
            </w:r>
          </w:p>
        </w:tc>
        <w:tc>
          <w:tcPr>
            <w:tcW w:type="dxa" w:w="1400"/>
            <w:tcMar>
              <w:top w:type="dxa" w:w="70"/>
              <w:left w:type="dxa" w:w="110"/>
              <w:bottom w:type="dxa" w:w="70"/>
              <w:right w:type="dxa" w:w="110"/>
            </w:tcMar>
            <w:vAlign w:val="center"/>
          </w:tcPr>
          <w:p>
            <w:pPr>
              <w:spacing w:after="0" w:line="240"/>
            </w:pPr>
            <w:r>
              <w:rPr>
                <w:sz w:val="19"/>
                <w:szCs w:val="19"/>
              </w:rPr>
              <w:t xml:space="preserve">6.08.2026</w:t>
            </w:r>
          </w:p>
        </w:tc>
        <w:tc>
          <w:tcPr>
            <w:tcW w:type="dxa" w:w="6426"/>
            <w:tcMar>
              <w:top w:type="dxa" w:w="70"/>
              <w:left w:type="dxa" w:w="110"/>
              <w:bottom w:type="dxa" w:w="70"/>
              <w:right w:type="dxa" w:w="110"/>
            </w:tcMar>
            <w:vAlign w:val="center"/>
          </w:tcPr>
          <w:p>
            <w:pPr>
              <w:spacing w:after="0" w:line="240"/>
            </w:pPr>
            <w:r>
              <w:rPr>
                <w:sz w:val="19"/>
                <w:szCs w:val="19"/>
              </w:rPr>
              <w:t xml:space="preserve">Komplet archiwum PRG (16 województw), słowniki TERYT pobrane bez konta w GUS, potwierdzenie nowej struktury danych na rzeczywistym pliku. Rozstrzygnięte dwa z czterech pytań otwartych</w:t>
            </w:r>
          </w:p>
        </w:tc>
      </w:tr>
      <w:tr>
        <w:tc>
          <w:tcPr>
            <w:tcW w:type="dxa" w:w="1200"/>
            <w:tcMar>
              <w:top w:type="dxa" w:w="70"/>
              <w:left w:type="dxa" w:w="110"/>
              <w:bottom w:type="dxa" w:w="70"/>
              <w:right w:type="dxa" w:w="110"/>
            </w:tcMar>
            <w:vAlign w:val="center"/>
          </w:tcPr>
          <w:p>
            <w:pPr>
              <w:spacing w:after="0" w:line="240"/>
            </w:pPr>
            <w:r>
              <w:rPr>
                <w:sz w:val="19"/>
                <w:szCs w:val="19"/>
              </w:rPr>
              <w:t xml:space="preserve">1.2</w:t>
            </w:r>
          </w:p>
        </w:tc>
        <w:tc>
          <w:tcPr>
            <w:tcW w:type="dxa" w:w="1400"/>
            <w:tcMar>
              <w:top w:type="dxa" w:w="70"/>
              <w:left w:type="dxa" w:w="110"/>
              <w:bottom w:type="dxa" w:w="70"/>
              <w:right w:type="dxa" w:w="110"/>
            </w:tcMar>
            <w:vAlign w:val="center"/>
          </w:tcPr>
          <w:p>
            <w:pPr>
              <w:spacing w:after="0" w:line="240"/>
            </w:pPr>
            <w:r>
              <w:rPr>
                <w:sz w:val="19"/>
                <w:szCs w:val="19"/>
              </w:rPr>
              <w:t xml:space="preserve">7.08.2026</w:t>
            </w:r>
          </w:p>
        </w:tc>
        <w:tc>
          <w:tcPr>
            <w:tcW w:type="dxa" w:w="6426"/>
            <w:tcMar>
              <w:top w:type="dxa" w:w="70"/>
              <w:left w:type="dxa" w:w="110"/>
              <w:bottom w:type="dxa" w:w="70"/>
              <w:right w:type="dxa" w:w="110"/>
            </w:tcMar>
            <w:vAlign w:val="center"/>
          </w:tcPr>
          <w:p>
            <w:pPr>
              <w:spacing w:after="0" w:line="240"/>
            </w:pPr>
            <w:r>
              <w:rPr>
                <w:sz w:val="19"/>
                <w:szCs w:val="19"/>
              </w:rPr>
              <w:t xml:space="preserve">Publikacja 1 990 483 punktów, pięć usterek wykrytych na danych rzeczywistych, sprostowanie czasu pełnego przebiegu i czasów odpowiedzi</w:t>
            </w:r>
          </w:p>
        </w:tc>
      </w:tr>
      <w:tr>
        <w:tc>
          <w:tcPr>
            <w:tcW w:type="dxa" w:w="1200"/>
            <w:tcMar>
              <w:top w:type="dxa" w:w="70"/>
              <w:left w:type="dxa" w:w="110"/>
              <w:bottom w:type="dxa" w:w="70"/>
              <w:right w:type="dxa" w:w="110"/>
            </w:tcMar>
            <w:vAlign w:val="center"/>
          </w:tcPr>
          <w:p>
            <w:pPr>
              <w:spacing w:after="0" w:line="240"/>
            </w:pPr>
            <w:r>
              <w:rPr>
                <w:sz w:val="19"/>
                <w:szCs w:val="19"/>
              </w:rPr>
              <w:t xml:space="preserve">1.3</w:t>
            </w:r>
          </w:p>
        </w:tc>
        <w:tc>
          <w:tcPr>
            <w:tcW w:type="dxa" w:w="1400"/>
            <w:tcMar>
              <w:top w:type="dxa" w:w="70"/>
              <w:left w:type="dxa" w:w="110"/>
              <w:bottom w:type="dxa" w:w="70"/>
              <w:right w:type="dxa" w:w="110"/>
            </w:tcMar>
            <w:vAlign w:val="center"/>
          </w:tcPr>
          <w:p>
            <w:pPr>
              <w:spacing w:after="0" w:line="240"/>
            </w:pPr>
            <w:r>
              <w:rPr>
                <w:sz w:val="19"/>
                <w:szCs w:val="19"/>
              </w:rPr>
              <w:t xml:space="preserve">8.08.2026</w:t>
            </w:r>
          </w:p>
        </w:tc>
        <w:tc>
          <w:tcPr>
            <w:tcW w:type="dxa" w:w="6426"/>
            <w:tcMar>
              <w:top w:type="dxa" w:w="70"/>
              <w:left w:type="dxa" w:w="110"/>
              <w:bottom w:type="dxa" w:w="70"/>
              <w:right w:type="dxa" w:w="110"/>
            </w:tcMar>
            <w:vAlign w:val="center"/>
          </w:tcPr>
          <w:p>
            <w:pPr>
              <w:spacing w:after="0" w:line="240"/>
            </w:pPr>
            <w:r>
              <w:rPr>
                <w:sz w:val="19"/>
                <w:szCs w:val="19"/>
              </w:rPr>
              <w:t xml:space="preserve">Uzgodnienie raportu ze stanem repozytorium. Ujawnione braki blokujące produkcję, przepisany plan prac na 11–15 tygodni, usunięte deklaracje o elementach, których nie zbudowano</w:t>
            </w:r>
          </w:p>
        </w:tc>
      </w:tr>
      <w:tr>
        <w:tc>
          <w:tcPr>
            <w:tcW w:type="dxa" w:w="1200"/>
            <w:tcMar>
              <w:top w:type="dxa" w:w="70"/>
              <w:left w:type="dxa" w:w="110"/>
              <w:bottom w:type="dxa" w:w="70"/>
              <w:right w:type="dxa" w:w="110"/>
            </w:tcMar>
            <w:vAlign w:val="center"/>
          </w:tcPr>
          <w:p>
            <w:pPr>
              <w:spacing w:after="0" w:line="240"/>
            </w:pPr>
            <w:r>
              <w:rPr>
                <w:sz w:val="19"/>
                <w:szCs w:val="19"/>
              </w:rPr>
              <w:t xml:space="preserve">1.4</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Uruchomienie na całym kraju: 8 605 682 punkty ze wszystkich 16 województw. Trzy kolejne usterki wykryte dopiero przy pełnej skali, w tym kontrola jakości, która nigdy nie działała. Nowe pomiary czasów odpowiedzi i przetwarzania</w:t>
            </w:r>
          </w:p>
        </w:tc>
      </w:tr>
      <w:tr>
        <w:tc>
          <w:tcPr>
            <w:tcW w:type="dxa" w:w="1200"/>
            <w:tcMar>
              <w:top w:type="dxa" w:w="70"/>
              <w:left w:type="dxa" w:w="110"/>
              <w:bottom w:type="dxa" w:w="70"/>
              <w:right w:type="dxa" w:w="110"/>
            </w:tcMar>
            <w:vAlign w:val="center"/>
          </w:tcPr>
          <w:p>
            <w:pPr>
              <w:spacing w:after="0" w:line="240"/>
            </w:pPr>
            <w:r>
              <w:rPr>
                <w:sz w:val="19"/>
                <w:szCs w:val="19"/>
              </w:rPr>
              <w:t xml:space="preserve">1.5</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Uruchomiony odbiorca metryk i pulpit operacyjny. Podpięcie monitoringu ujawniło w pierwszej godzinie dwa kolejne defekty i wykazało, że próg jednego z alertów odpaliłby się natychmiast po wdrożeniu</w:t>
            </w:r>
          </w:p>
        </w:tc>
      </w:tr>
      <w:tr>
        <w:tc>
          <w:tcPr>
            <w:tcW w:type="dxa" w:w="1200"/>
            <w:tcMar>
              <w:top w:type="dxa" w:w="70"/>
              <w:left w:type="dxa" w:w="110"/>
              <w:bottom w:type="dxa" w:w="70"/>
              <w:right w:type="dxa" w:w="110"/>
            </w:tcMar>
            <w:vAlign w:val="center"/>
          </w:tcPr>
          <w:p>
            <w:pPr>
              <w:spacing w:after="0" w:line="240"/>
            </w:pPr>
            <w:r>
              <w:rPr>
                <w:sz w:val="19"/>
                <w:szCs w:val="19"/>
              </w:rPr>
              <w:t xml:space="preserve">1.6</w:t>
            </w:r>
          </w:p>
        </w:tc>
        <w:tc>
          <w:tcPr>
            <w:tcW w:type="dxa" w:w="1400"/>
            <w:tcMar>
              <w:top w:type="dxa" w:w="70"/>
              <w:left w:type="dxa" w:w="110"/>
              <w:bottom w:type="dxa" w:w="70"/>
              <w:right w:type="dxa" w:w="110"/>
            </w:tcMar>
            <w:vAlign w:val="center"/>
          </w:tcPr>
          <w:p>
            <w:pPr>
              <w:spacing w:after="0" w:line="240"/>
            </w:pPr>
            <w:r>
              <w:rPr>
                <w:sz w:val="19"/>
                <w:szCs w:val="19"/>
              </w:rPr>
              <w:t xml:space="preserve">9.08.2026</w:t>
            </w:r>
          </w:p>
        </w:tc>
        <w:tc>
          <w:tcPr>
            <w:tcW w:type="dxa" w:w="6426"/>
            <w:tcMar>
              <w:top w:type="dxa" w:w="70"/>
              <w:left w:type="dxa" w:w="110"/>
              <w:bottom w:type="dxa" w:w="70"/>
              <w:right w:type="dxa" w:w="110"/>
            </w:tcMar>
            <w:vAlign w:val="center"/>
          </w:tcPr>
          <w:p>
            <w:pPr>
              <w:spacing w:after="0" w:line="240"/>
            </w:pPr>
            <w:r>
              <w:rPr>
                <w:sz w:val="19"/>
                <w:szCs w:val="19"/>
              </w:rPr>
              <w:t xml:space="preserve">Formalny kontrakt interfejsu, zbiór wzorcowy jakości wyszukiwania i cztery naprawy, które z niego wynikły — w tym wyszukiwanie ulic w Warszawie i skrytka pocztowa uznawana za adres zweryfikowany</w:t>
            </w:r>
          </w:p>
        </w:tc>
      </w:tr>
      <w:tr>
        <w:tc>
          <w:tcPr>
            <w:tcW w:type="dxa" w:w="1200"/>
            <w:shd w:fill="EDF5EE" w:color="auto" w:val="clear"/>
            <w:tcMar>
              <w:top w:type="dxa" w:w="70"/>
              <w:left w:type="dxa" w:w="110"/>
              <w:bottom w:type="dxa" w:w="70"/>
              <w:right w:type="dxa" w:w="110"/>
            </w:tcMar>
            <w:vAlign w:val="center"/>
          </w:tcPr>
          <w:p>
            <w:pPr>
              <w:spacing w:after="0" w:line="240"/>
            </w:pPr>
            <w:r>
              <w:rPr>
                <w:sz w:val="19"/>
                <w:szCs w:val="19"/>
              </w:rPr>
              <w:t xml:space="preserve">1.7</w:t>
            </w:r>
          </w:p>
        </w:tc>
        <w:tc>
          <w:tcPr>
            <w:tcW w:type="dxa" w:w="1400"/>
            <w:shd w:fill="EDF5EE" w:color="auto" w:val="clear"/>
            <w:tcMar>
              <w:top w:type="dxa" w:w="70"/>
              <w:left w:type="dxa" w:w="110"/>
              <w:bottom w:type="dxa" w:w="70"/>
              <w:right w:type="dxa" w:w="110"/>
            </w:tcMar>
            <w:vAlign w:val="center"/>
          </w:tcPr>
          <w:p>
            <w:pPr>
              <w:spacing w:after="0" w:line="240"/>
            </w:pPr>
            <w:r>
              <w:rPr>
                <w:sz w:val="19"/>
                <w:szCs w:val="19"/>
              </w:rPr>
              <w:t xml:space="preserve">9–10.08.2026</w:t>
            </w:r>
          </w:p>
        </w:tc>
        <w:tc>
          <w:tcPr>
            <w:tcW w:type="dxa" w:w="6426"/>
            <w:shd w:fill="EDF5EE" w:color="auto" w:val="clear"/>
            <w:tcMar>
              <w:top w:type="dxa" w:w="70"/>
              <w:left w:type="dxa" w:w="110"/>
              <w:bottom w:type="dxa" w:w="70"/>
              <w:right w:type="dxa" w:w="110"/>
            </w:tcMar>
            <w:vAlign w:val="center"/>
          </w:tcPr>
          <w:p>
            <w:pPr>
              <w:spacing w:after="0" w:line="240"/>
            </w:pPr>
            <w:r>
              <w:rPr>
                <w:sz w:val="19"/>
                <w:szCs w:val="19"/>
              </w:rPr>
              <w:t xml:space="preserve">Archiwum wyniesione poza maszynę roboczą wraz z weryfikacją sum kontrolnych po stronie odbiorcy — zamknięte ryzyko bezpowrotnej utraty danych w strukturze sprzed 1 września 2026, jedyne z terminem nieprzesuwalnym. Powtórny pełny przebieg przetwarzania potwierdził, że publikacja nie odtwarza usuniętych duplikatów. Rozpoczęte równoległe prace nad uwierzytelnianiem klientów. Sprostowane wielkości artefaktu i katalogu ulic oraz pochodzenie liczb czasu odpowiedzi dla ścieżki HTTP</w:t>
            </w:r>
          </w:p>
        </w:tc>
      </w:tr>
    </w:tbl>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zmieniło się w wydaniach 1.4–1.7</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Archiwum plików źródłowych przestało istnieć w jednym egzemplarzu. Komplet 16 archiwów PRG — wraz z plikami w strukturze sprzed 1 września 2026 — zrzuty bazy i artefakt wyszukiwania znajdują się od 9 sierpnia 2026 na osobnym serwerze, a ich integralność potwierdzono sumami kontrolnymi obliczonymi ponownie po stronie odbiorcy. Było to jedyne ryzyko w projekcie z terminem nieprzesuwalnym.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Rozwiązanie działa na komplecie danych: 8 605 682 punkty adresowe ze wszystkich 16 województw, wobec 1 990 483 z czterech w wydaniu 1.3. Pozycja „uruchomienie na pełnym zbiorze” jest zamknięta.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Uruchomiono odbiorcę metryk i pulpit operacyjny. Awarie przestały być wykrywane wyłącznie przez człowieka — to był jeden z trzech braków blokujących produkcję.</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Powstał formalny kontrakt interfejsu oraz zbiór wzorcowy jakości wyszukiwania — dwa mechanizmy, których brak pozwalał wadom pozostawać niewidocznymi.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Łącznie ujawniono i naprawiono czternaście usterek, z których żadnej nie wykryłyby testy na próbkach. Klasyfikację według warunku wykrycia zawiera rozdział 8.4; jest ona głównym wnioskiem dla harmonogramu wdrożenia.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Czasy odpowiedzi zmierzono na danych rzeczywistych dwiema metodami. Wyniki są znacznie lepsze od podanych w wydaniach 1.2–1.3, a rozbieżność ma źródło metodyczne — rozdział 8.6.</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Wydanie 1.7 prostuje trzy wielkości, które zdezaktualizowały się w trakcie prac: rozmiar artefaktu wyszukiwania i liczbę pozycji w nim (scalenie zduplikowanych ulic zmniejszyło go o połowę), liczbę ulic w katalogu oraz zużycie pamięci przez proces. Osobno opisano, że liczby czasu odpowiedzi dla pełnej ścieżki HTTP nie były odtwarzalne narzędziem, któremu je przypisywano — rozdział 8.6.</w:t>
      </w:r>
    </w:p>
    <w:p>
      <w:pPr>
        <w:spacing w:after="180"/>
      </w:pPr>
    </w:p>
    <w:p>
      <w:pPr>
        <w:spacing w:after="120" w:line="276"/>
      </w:pPr>
      <w:r>
        <w:rPr>
          <w:sz w:val="21"/>
          <w:szCs w:val="21"/>
        </w:rPr>
        <w:t xml:space="preserve">Dwa wcześniejsze szacunki okazały się zbyt optymistyczne i zostały skorygowane w górę pod wpływem pomiarów: mediana czasu odpowiedzi z 0,49 ms do ok. 4 ms oraz czas pełnego przebiegu dla kraju z zakładanych 40 minut do ok. 4 godzin, czyli 1–1,5 godziny po zrównolegleniu. Zmiany merytoryczne względem wydania 1.0 zebrano w rozdziałach 8.3–8.6.</w:t>
      </w:r>
    </w:p>
    <w:p>
      <w:r>
        <w:br w:type="page"/>
      </w:r>
    </w:p>
    <w:p>
      <w:pPr>
        <w:pStyle w:val="Heading1"/>
        <w:spacing w:after="180" w:before="360"/>
      </w:pPr>
      <w:r>
        <w:t xml:space="preserve">1. Streszczenie zarządcze</w:t>
      </w:r>
    </w:p>
    <w:p>
      <w:pPr>
        <w:spacing w:after="120" w:line="276"/>
      </w:pPr>
      <w:r>
        <w:rPr>
          <w:sz w:val="21"/>
          <w:szCs w:val="21"/>
        </w:rPr>
        <w:t xml:space="preserve">Celem prac jest zbudowanie własnej bazy adresowej dla Polski oraz mikroserwisu, który udostępnia ją aplikacjom w postaci podpowiedzi adresowych i walidacji. Rozwiązanie ma zastąpić sytuację, w której adres wpisywany przez użytkownika nie jest w żaden sposób weryfikowany wobec rejestru państwowego.</w:t>
      </w:r>
    </w:p>
    <w:p>
      <w:pPr>
        <w:pStyle w:val="Heading2"/>
        <w:spacing w:after="140" w:before="280"/>
      </w:pPr>
      <w:r>
        <w:t xml:space="preserve">1.1. Stan prac</w:t>
      </w:r>
    </w:p>
    <w:p>
      <w:pPr>
        <w:spacing w:after="120" w:line="276"/>
      </w:pPr>
      <w:r>
        <w:rPr>
          <w:sz w:val="21"/>
          <w:szCs w:val="21"/>
        </w:rPr>
        <w:t xml:space="preserve">Zbudowano i przetestowano end-to-end kompletny rdzeń rozwiązania: pobieranie danych z rejestru państwowego, przetwarzanie, bazę danych, mechanizm publikacji z kontrolami jakości oraz mikroserwis HTTP. Całość zweryfikowano na działającej instancji PostgreSQL 17 z rozszerzeniem PostGIS.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43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Obszar</w:t>
            </w:r>
          </w:p>
        </w:tc>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Status</w:t>
            </w:r>
          </w:p>
        </w:tc>
        <w:tc>
          <w:tcPr>
            <w:tcW w:type="dxa" w:w="43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Pobieranie danych z rejestru PRG</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Pobieranie wojewódzkie, archiwizacja z sumą kontrolną. Tani sondaż nagłówków HTTP okazał się niemożliwy — patrz 4.3</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Parser danych źródłowych (GML)</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Obsługuje starą i nową strukturę; tryb rozpoznawania nieznanych plików</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Baza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Schemat, indeksy, publikacja transakcyjna</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Kontrole jakości danych</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5 kontroli, każda odpowiada realnemu incydentowi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Silnik wyszukiwania</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Mediana 1,7 ms na pełnym kraju, przez interfejs HTTP — patrz 8.6</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11 punktów końcowych /v1 oraz 4 operacyjne — patrz 5.4</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Reguły walidacji adresu</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Format, zgodność z rejestrem, poziomy pewności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Pliki pełne z eTeryt, bez konta w GUS</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Metryki i reguły alertów</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17 metryk pod /metrics, 7 reguł alertów, manifest zadania cyklicznego</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Odbiorca metryk i pulpit operacyjny</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Uruchomiony 9.08.2026 — zbieranie metryk, reguły wczytane, jeden ekran stanu usługi</w:t>
            </w:r>
          </w:p>
        </w:tc>
      </w:tr>
      <w:tr>
        <w:tc>
          <w:tcPr>
            <w:tcW w:type="dxa" w:w="3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w:t>
            </w:r>
          </w:p>
        </w:tc>
        <w:tc>
          <w:tcPr>
            <w:tcW w:type="dxa" w:w="1700"/>
            <w:shd w:fill="EDF5EE" w:color="auto" w:val="clear"/>
            <w:tcMar>
              <w:top w:type="dxa" w:w="70"/>
              <w:left w:type="dxa" w:w="110"/>
              <w:bottom w:type="dxa" w:w="70"/>
              <w:right w:type="dxa" w:w="110"/>
            </w:tcMar>
            <w:vAlign w:val="center"/>
          </w:tcPr>
          <w:p>
            <w:pPr>
              <w:spacing w:after="0" w:line="240"/>
            </w:pPr>
            <w:r>
              <w:rPr>
                <w:sz w:val="19"/>
                <w:szCs w:val="19"/>
              </w:rPr>
              <w:t xml:space="preserve">Gotowe</w:t>
            </w:r>
          </w:p>
        </w:tc>
        <w:tc>
          <w:tcPr>
            <w:tcW w:type="dxa" w:w="4326"/>
            <w:shd w:fill="EDF5EE" w:color="auto" w:val="clear"/>
            <w:tcMar>
              <w:top w:type="dxa" w:w="70"/>
              <w:left w:type="dxa" w:w="110"/>
              <w:bottom w:type="dxa" w:w="70"/>
              <w:right w:type="dxa" w:w="110"/>
            </w:tcMar>
            <w:vAlign w:val="center"/>
          </w:tcPr>
          <w:p>
            <w:pPr>
              <w:spacing w:after="0" w:line="240"/>
            </w:pPr>
            <w:r>
              <w:rPr>
                <w:sz w:val="19"/>
                <w:szCs w:val="19"/>
              </w:rPr>
              <w:t xml:space="preserve">Wszystkie 16 województw opublikowane 9.08.2026: 8 605 682 punkty — patrz 8.3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Powiadomienia i zasady eskalacji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Zbieranie i pulpit działają; brakuje realnego kanału powiadomień i ustalenia, co budzi w nocy</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Uwierzytelnianie klientów API</w:t>
            </w:r>
          </w:p>
        </w:tc>
        <w:tc>
          <w:tcPr>
            <w:tcW w:type="dxa" w:w="1700"/>
            <w:shd w:fill="E8EDF2" w:color="auto" w:val="clear"/>
            <w:tcMar>
              <w:top w:type="dxa" w:w="70"/>
              <w:left w:type="dxa" w:w="110"/>
              <w:bottom w:type="dxa" w:w="70"/>
              <w:right w:type="dxa" w:w="110"/>
            </w:tcMar>
            <w:vAlign w:val="center"/>
          </w:tcPr>
          <w:p>
            <w:pPr>
              <w:spacing w:after="0" w:line="240"/>
            </w:pPr>
            <w:r>
              <w:rPr>
                <w:sz w:val="19"/>
                <w:szCs w:val="19"/>
              </w:rPr>
              <w:t xml:space="preserve">Częściowo</w:t>
            </w:r>
          </w:p>
        </w:tc>
        <w:tc>
          <w:tcPr>
            <w:tcW w:type="dxa" w:w="4326"/>
            <w:shd w:fill="E8EDF2" w:color="auto" w:val="clear"/>
            <w:tcMar>
              <w:top w:type="dxa" w:w="70"/>
              <w:left w:type="dxa" w:w="110"/>
              <w:bottom w:type="dxa" w:w="70"/>
              <w:right w:type="dxa" w:w="110"/>
            </w:tcMar>
            <w:vAlign w:val="center"/>
          </w:tcPr>
          <w:p>
            <w:pPr>
              <w:spacing w:after="0" w:line="240"/>
            </w:pPr>
            <w:r>
              <w:rPr>
                <w:sz w:val="19"/>
                <w:szCs w:val="19"/>
              </w:rPr>
              <w:t xml:space="preserve">Prace rozpoczęte 9.08.2026 na osobnej gałęzi: model danych, format klucza i pomiar kosztu. Serwis nadal nie weryfikuje tożsamości — patrz 5.5</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Kopie zapasowe poza maszyną</w:t>
            </w:r>
          </w:p>
        </w:tc>
        <w:tc>
          <w:tcPr>
            <w:tcW w:type="dxa" w:w="1700"/>
            <w:shd w:fill="E8EDF2" w:color="auto" w:val="clear"/>
            <w:tcMar>
              <w:top w:type="dxa" w:w="70"/>
              <w:left w:type="dxa" w:w="110"/>
              <w:bottom w:type="dxa" w:w="70"/>
              <w:right w:type="dxa" w:w="110"/>
            </w:tcMar>
            <w:vAlign w:val="center"/>
          </w:tcPr>
          <w:p>
            <w:pPr>
              <w:spacing w:after="0" w:line="240"/>
            </w:pPr>
            <w:r>
              <w:rPr>
                <w:sz w:val="19"/>
                <w:szCs w:val="19"/>
              </w:rPr>
              <w:t xml:space="preserve">Częściowo</w:t>
            </w:r>
          </w:p>
        </w:tc>
        <w:tc>
          <w:tcPr>
            <w:tcW w:type="dxa" w:w="4326"/>
            <w:shd w:fill="E8EDF2" w:color="auto" w:val="clear"/>
            <w:tcMar>
              <w:top w:type="dxa" w:w="70"/>
              <w:left w:type="dxa" w:w="110"/>
              <w:bottom w:type="dxa" w:w="70"/>
              <w:right w:type="dxa" w:w="110"/>
            </w:tcMar>
            <w:vAlign w:val="center"/>
          </w:tcPr>
          <w:p>
            <w:pPr>
              <w:spacing w:after="0" w:line="240"/>
            </w:pPr>
            <w:r>
              <w:rPr>
                <w:sz w:val="19"/>
                <w:szCs w:val="19"/>
              </w:rPr>
              <w:t xml:space="preserve">Kopia poza maszyną wykonana 9.08.2026 i zweryfikowana sumami kontrolnymi. Brakuje cykliczności, retencji i testu odtworzenia — patrz 7.3</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Automatyzacja cyklu aktualizacji</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Uruchomienie zadania cyklicznego, wznawianie przerwanych przebiegów</w:t>
            </w:r>
          </w:p>
        </w:tc>
      </w:tr>
      <w:tr>
        <w:tc>
          <w:tcPr>
            <w:tcW w:type="dxa" w:w="3000"/>
            <w:shd w:fill="FDF1E7" w:color="auto" w:val="clear"/>
            <w:tcMar>
              <w:top w:type="dxa" w:w="70"/>
              <w:left w:type="dxa" w:w="110"/>
              <w:bottom w:type="dxa" w:w="70"/>
              <w:right w:type="dxa" w:w="110"/>
            </w:tcMar>
            <w:vAlign w:val="center"/>
          </w:tcPr>
          <w:p>
            <w:pPr>
              <w:spacing w:after="0" w:line="240"/>
            </w:pPr>
            <w:r>
              <w:rPr>
                <w:sz w:val="19"/>
                <w:szCs w:val="19"/>
              </w:rPr>
              <w:t xml:space="preserve">Drugie źródło danych (iMPA)</w:t>
            </w:r>
          </w:p>
        </w:tc>
        <w:tc>
          <w:tcPr>
            <w:tcW w:type="dxa" w:w="1700"/>
            <w:shd w:fill="FDF1E7" w:color="auto" w:val="clear"/>
            <w:tcMar>
              <w:top w:type="dxa" w:w="70"/>
              <w:left w:type="dxa" w:w="110"/>
              <w:bottom w:type="dxa" w:w="70"/>
              <w:right w:type="dxa" w:w="110"/>
            </w:tcMar>
            <w:vAlign w:val="center"/>
          </w:tcPr>
          <w:p>
            <w:pPr>
              <w:spacing w:after="0" w:line="240"/>
            </w:pPr>
            <w:r>
              <w:rPr>
                <w:sz w:val="19"/>
                <w:szCs w:val="19"/>
              </w:rPr>
              <w:t xml:space="preserve">Do zrobienia</w:t>
            </w:r>
          </w:p>
        </w:tc>
        <w:tc>
          <w:tcPr>
            <w:tcW w:type="dxa" w:w="4326"/>
            <w:shd w:fill="FDF1E7" w:color="auto" w:val="clear"/>
            <w:tcMar>
              <w:top w:type="dxa" w:w="70"/>
              <w:left w:type="dxa" w:w="110"/>
              <w:bottom w:type="dxa" w:w="70"/>
              <w:right w:type="dxa" w:w="110"/>
            </w:tcMar>
            <w:vAlign w:val="center"/>
          </w:tcPr>
          <w:p>
            <w:pPr>
              <w:spacing w:after="0" w:line="240"/>
            </w:pPr>
            <w:r>
              <w:rPr>
                <w:sz w:val="19"/>
                <w:szCs w:val="19"/>
              </w:rPr>
              <w:t xml:space="preserve">Zabezpieczenie na wypadek awarii źródła podstawowego</w:t>
            </w:r>
          </w:p>
        </w:tc>
      </w:tr>
    </w:tbl>
    <w:p>
      <w:pPr>
        <w:spacing w:after="160"/>
      </w:pPr>
    </w:p>
    <w:p>
      <w:pPr>
        <w:spacing w:after="120" w:line="276"/>
      </w:pPr>
      <w:r>
        <w:rPr>
          <w:sz w:val="21"/>
          <w:szCs w:val="21"/>
        </w:rPr>
        <w:t xml:space="preserve">Szacowany nakład do wersji produkcyjnej: 11–15 tygodni pracy jednej osoby (55–73 dni roboczych) na sam back-end. Rozbicie na etapy znajduje się w rozdziale 10. Nakład nie zawiera panelu administracyjnego ani prac po stronie interfejsu użytkownika, które są przedmiotem odrębnych opracowań.</w:t>
      </w:r>
    </w:p>
    <w:p>
      <w:pPr>
        <w:pStyle w:val="Heading2"/>
        <w:spacing w:after="140" w:before="280"/>
      </w:pPr>
      <w:r>
        <w:t xml:space="preserve">1.2. Braki blokujące wdrożenie produkcyjne</w:t>
      </w:r>
    </w:p>
    <w:p>
      <w:pPr>
        <w:spacing w:after="120" w:line="276"/>
      </w:pPr>
      <w:r>
        <w:rPr>
          <w:sz w:val="21"/>
          <w:szCs w:val="21"/>
        </w:rPr>
        <w:t xml:space="preserve">Rozwiązanie działa na komplecie danych krajowych i zostało na nich zmierzone. Trzy braki dzielą je jednak od wersji, którą można wystawić klientom. Wymieniamy je w streszczeniu, ponieważ każdy wpływa na termin i na decyzje Zamawiającego. Czwarty brak z wydania 1.3 — niepełny zakres danych — został zamknięty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Brak</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Na czym polega</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Serwis nie uwierzytelnia klientów</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Serwis nie weryfikuje tożsamości klienta, więc nie da się rozdzielić limitów ani rozliczeń per klient. Do czasu naprawy nie powinien opuszczać sieci wewnętrznej. Możliwość obejścia limitowania zamknięto 8.08.2026. Prace nad docelowym rozwiązaniem trwają od 9.08.2026 — fundament gotowy, obsługa żądania jeszcze nietknięta — patrz 5.5</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9–11 dni, z czego ok. 3 wykonane</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Kopie zapasowe nie są procesem</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Kopia poza maszyną powstała 9.08.2026 i zdjęła ryzyko utraty archiwum, ale jest jednorazowa i wykonana ręcznie. Brakuje harmonogramu, retencji, blokady zapisu na zamrożonym archiwum oraz — co najistotniejsze — choćby jednego przeprowadzonego odtworzenia. Do czasu takiego testu poprawność kopii pozostaje założeniem</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4,5–6,5 dni</w:t>
            </w:r>
          </w:p>
        </w:tc>
      </w:tr>
      <w:tr>
        <w:tc>
          <w:tcPr>
            <w:tcW w:type="dxa" w:w="2500"/>
            <w:shd w:fill="FDF1E7" w:color="auto" w:val="clear"/>
            <w:tcMar>
              <w:top w:type="dxa" w:w="70"/>
              <w:left w:type="dxa" w:w="110"/>
              <w:bottom w:type="dxa" w:w="70"/>
              <w:right w:type="dxa" w:w="110"/>
            </w:tcMar>
            <w:vAlign w:val="center"/>
          </w:tcPr>
          <w:p>
            <w:pPr>
              <w:spacing w:after="0" w:line="240"/>
            </w:pPr>
            <w:r>
              <w:rPr>
                <w:sz w:val="19"/>
                <w:szCs w:val="19"/>
              </w:rPr>
              <w:t xml:space="preserve">Alerty nie mają adresata</w:t>
            </w:r>
          </w:p>
        </w:tc>
        <w:tc>
          <w:tcPr>
            <w:tcW w:type="dxa" w:w="4926"/>
            <w:shd w:fill="FDF1E7" w:color="auto" w:val="clear"/>
            <w:tcMar>
              <w:top w:type="dxa" w:w="70"/>
              <w:left w:type="dxa" w:w="110"/>
              <w:bottom w:type="dxa" w:w="70"/>
              <w:right w:type="dxa" w:w="110"/>
            </w:tcMar>
            <w:vAlign w:val="center"/>
          </w:tcPr>
          <w:p>
            <w:pPr>
              <w:spacing w:after="0" w:line="240"/>
            </w:pPr>
            <w:r>
              <w:rPr>
                <w:sz w:val="19"/>
                <w:szCs w:val="19"/>
              </w:rPr>
              <w:t xml:space="preserve">Zbieranie metryk i pulpit operacyjny uruchomiono 9.08.2026, więc awarie są już widoczne. Brakuje realnego kanału powiadomień oraz ustalenia, kto co dostaje i co budzi w nocy</w:t>
            </w:r>
          </w:p>
        </w:tc>
        <w:tc>
          <w:tcPr>
            <w:tcW w:type="dxa" w:w="1600"/>
            <w:shd w:fill="FDF1E7" w:color="auto" w:val="clear"/>
            <w:tcMar>
              <w:top w:type="dxa" w:w="70"/>
              <w:left w:type="dxa" w:w="110"/>
              <w:bottom w:type="dxa" w:w="70"/>
              <w:right w:type="dxa" w:w="110"/>
            </w:tcMar>
            <w:vAlign w:val="center"/>
          </w:tcPr>
          <w:p>
            <w:pPr>
              <w:spacing w:after="0" w:line="240"/>
            </w:pPr>
            <w:r>
              <w:rPr>
                <w:sz w:val="19"/>
                <w:szCs w:val="19"/>
              </w:rPr>
              <w:t xml:space="preserve">3–5 dni</w:t>
            </w:r>
          </w:p>
        </w:tc>
      </w:tr>
    </w:tbl>
    <w:p>
      <w:pPr>
        <w:spacing w:after="160"/>
      </w:pPr>
    </w:p>
    <w:p>
      <w:pPr>
        <w:spacing w:after="120" w:line="276"/>
      </w:pPr>
      <w:r>
        <w:rPr>
          <w:b/>
          <w:bCs/>
          <w:sz w:val="21"/>
          <w:szCs w:val="21"/>
        </w:rPr>
        <w:t xml:space="preserve">Kolejność ma znaczenie. </w:t>
      </w:r>
      <w:r>
        <w:rPr>
          <w:sz w:val="21"/>
          <w:szCs w:val="21"/>
        </w:rPr>
        <w:t xml:space="preserve">Trzy braki są od siebie niezależne i można je prowadzić równolegle. Żaden nie wymaga rozstrzygnięcia pozostałych, więc harmonogram zależy wyłącznie od dostępności ludzi i od decyzji Zamawiającego z rozdziału 11. Do 9 sierpnia 2026 najpilniejszy był drugi, ponieważ jako jedyny miał termin nieprzesuwalny — 1 września 2026. Termin ten został zdjęty wraz z wyniesieniem archiwum poza maszynę, więc o kolejności decyduje dziś wyłącznie decyzja Zamawiającego co do komercjalizacji.</w:t>
      </w:r>
    </w:p>
    <w:p>
      <w:pPr>
        <w:pStyle w:val="Heading2"/>
        <w:spacing w:after="140" w:before="280"/>
      </w:pPr>
      <w:r>
        <w:t xml:space="preserve">1.3. Wrześniowa zmiana formatu danych — ryzyko zamknięte</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Termin: 1 września 2026 — zabezpieczenie wykonane 6.08.2026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Główny Urząd Geodezji i Kartografii przestaje wtedy publikować dane adresowe w dotychczasowej strukturze. Format SHP przeszedł na nową strukturę już 1 lipca 2026.</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Nowa struktura nie zawiera trzech informacji, które dziś wykorzystujemy: statusu budynku (istniejący / w budowie / planowany), numeru lokalu oraz przynależności administracyjnej.</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Zalecenie z wydania 1.0 zostało zrealizowane: pełny zrzut w dotychczasowej strukturze — komplet 16 województw, 1,8 GB, z sumą kontrolną każdego pliku — zarchiwizowano 6 sierpnia 2026.</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Parser przeszedł przez rzeczywisty plik w nowej strukturze bez odrzucenia jednego rekordu. Ryzyko bezpowrotnej utraty atrybutów jest zamknięte; pozostaje wyłącznie brak tych trzech atrybutów w danych bieżących po 1 września.</w:t>
      </w:r>
    </w:p>
    <w:p>
      <w:pPr>
        <w:spacing w:after="180"/>
      </w:pPr>
    </w:p>
    <w:p>
      <w:pPr>
        <w:spacing w:after="120" w:line="276"/>
      </w:pPr>
      <w:r>
        <w:rPr>
          <w:b/>
          <w:bCs/>
          <w:sz w:val="21"/>
          <w:szCs w:val="21"/>
        </w:rPr>
        <w:t xml:space="preserve">Uwaga do trwałości zabezpieczenia: </w:t>
      </w:r>
      <w:r>
        <w:rPr>
          <w:sz w:val="21"/>
          <w:szCs w:val="21"/>
        </w:rPr>
        <w:t xml:space="preserve">archiwum spełnia swoją rolę tylko dopóki istnieje, a po 1 września 2026 danych w starej strukturze nie da się pobrać ponownie z żadnego źródła. Do 9 sierpnia 2026 była to jedna kopia na dysku roboczym; tego dnia wyniesiono ją na osobny serwer wraz z weryfikacją sum kontrolnych po stronie odbiorcy oraz potwierdzeniem, że w każdym z 16 archiwów rzeczywiście znajduje się plik w starej strukturze. Ryzyko jest zamknięte także w wymiarze trwałości. Pozostaje uczynić z kopii proces, nie zdarzenie — rozdz. 7.3 i 10.</w:t>
      </w:r>
    </w:p>
    <w:p>
      <w:pPr>
        <w:pStyle w:val="Heading2"/>
        <w:spacing w:after="140" w:before="280"/>
      </w:pPr>
      <w:r>
        <w:t xml:space="preserve">1.4. Rekomendacja</w:t>
      </w:r>
    </w:p>
    <w:p>
      <w:pPr>
        <w:spacing w:after="120" w:line="276"/>
      </w:pPr>
      <w:r>
        <w:rPr>
          <w:sz w:val="21"/>
          <w:szCs w:val="21"/>
        </w:rPr>
        <w:t xml:space="preserve">Rekomendujemy kontynuację w obecnym modelu: własna baza zbudowana na państwowym rejestrze PRG, uzupełniona o niezależne źródło zapasowe, serwowana przez bezstanowy mikroserwis. Uzasadnienie:</w:t>
      </w:r>
    </w:p>
    <w:p>
      <w:pPr>
        <w:pStyle w:val="ListParagraph"/>
        <w:numPr>
          <w:ilvl w:val="0"/>
          <w:numId w:val="2"/>
        </w:numPr>
        <w:spacing w:after="80" w:line="276"/>
      </w:pPr>
      <w:r>
        <w:rPr>
          <w:sz w:val="21"/>
          <w:szCs w:val="21"/>
        </w:rPr>
        <w:t xml:space="preserve">Dane rejestru PRG i TERYT są bezpłatne, bez licencji, z prawem do komercyjnego wykorzystania i redystrybucji. Jedynym obowiązkiem jest podanie źródła.</w:t>
      </w:r>
    </w:p>
    <w:p>
      <w:pPr>
        <w:pStyle w:val="ListParagraph"/>
        <w:numPr>
          <w:ilvl w:val="0"/>
          <w:numId w:val="2"/>
        </w:numPr>
        <w:spacing w:after="80" w:line="276"/>
      </w:pPr>
      <w:r>
        <w:rPr>
          <w:sz w:val="21"/>
          <w:szCs w:val="21"/>
        </w:rPr>
        <w:t xml:space="preserve">Brak uzależnienia od zewnętrznego dostawcy w ścieżce krytycznej — żaden podmiot nie może podnieść ceny ani wycofać usługi.</w:t>
      </w:r>
    </w:p>
    <w:p>
      <w:pPr>
        <w:pStyle w:val="ListParagraph"/>
        <w:numPr>
          <w:ilvl w:val="0"/>
          <w:numId w:val="2"/>
        </w:numPr>
        <w:spacing w:after="80" w:line="276"/>
      </w:pPr>
      <w:r>
        <w:rPr>
          <w:sz w:val="21"/>
          <w:szCs w:val="21"/>
        </w:rPr>
        <w:t xml:space="preserve">Adresy klientów nie opuszczają infrastruktury Zamawiającego, co upraszcza zgodność z RODO.</w:t>
      </w:r>
    </w:p>
    <w:p>
      <w:pPr>
        <w:pStyle w:val="ListParagraph"/>
        <w:numPr>
          <w:ilvl w:val="0"/>
          <w:numId w:val="2"/>
        </w:numPr>
        <w:spacing w:after="80" w:line="276"/>
      </w:pPr>
      <w:r>
        <w:rPr>
          <w:sz w:val="21"/>
          <w:szCs w:val="21"/>
        </w:rPr>
        <w:t xml:space="preserve">Zmierzona wydajność jest ok. 30-krotnie lepsza niż zapytanie do bazy z indeksem tekstowym i ponad tysiąckrotnie lepsza niż sortowanie po podobieństwie tekstowym.</w:t>
      </w:r>
    </w:p>
    <w:p>
      <w:r>
        <w:br w:type="page"/>
      </w:r>
    </w:p>
    <w:p>
      <w:pPr>
        <w:pStyle w:val="Heading1"/>
        <w:spacing w:after="180" w:before="360"/>
      </w:pPr>
      <w:r>
        <w:t xml:space="preserve">2. Kontekst biznesowy</w:t>
      </w:r>
    </w:p>
    <w:p>
      <w:pPr>
        <w:pStyle w:val="Heading2"/>
        <w:spacing w:after="140" w:before="280"/>
      </w:pPr>
      <w:r>
        <w:t xml:space="preserve">2.1. Problem</w:t>
      </w:r>
    </w:p>
    <w:p>
      <w:pPr>
        <w:spacing w:after="120" w:line="276"/>
      </w:pPr>
      <w:r>
        <w:rPr>
          <w:sz w:val="21"/>
          <w:szCs w:val="21"/>
        </w:rPr>
        <w:t xml:space="preserve">Adres wpisany ręcznie przez użytkownika jest jednym z najczęstszych źródeł błędów w systemach obsługujących wysyłkę, fakturowanie i obsługę klienta. Typowe konsekwencje to nieudane doręczenia, dodatkowe koszty kuriera, opóźnienia, reklamacje oraz konieczność ręcznej korekty danych.</w:t>
      </w:r>
    </w:p>
    <w:p>
      <w:pPr>
        <w:spacing w:after="120" w:line="276"/>
      </w:pPr>
      <w:r>
        <w:rPr>
          <w:sz w:val="21"/>
          <w:szCs w:val="21"/>
        </w:rPr>
        <w:t xml:space="preserve">Najczęstsze przyczyny błędów w polskich danych adresowych:</w:t>
      </w:r>
    </w:p>
    <w:p>
      <w:pPr>
        <w:pStyle w:val="ListParagraph"/>
        <w:numPr>
          <w:ilvl w:val="0"/>
          <w:numId w:val="2"/>
        </w:numPr>
        <w:spacing w:after="80" w:line="276"/>
      </w:pPr>
      <w:r>
        <w:rPr>
          <w:sz w:val="21"/>
          <w:szCs w:val="21"/>
        </w:rPr>
        <w:t xml:space="preserve">Nazwy potoczne ulic — użytkownik wpisuje „Kościuszki”, w rejestrze widnieje „Tadeusza Kościuszki”.</w:t>
      </w:r>
    </w:p>
    <w:p>
      <w:pPr>
        <w:pStyle w:val="ListParagraph"/>
        <w:numPr>
          <w:ilvl w:val="0"/>
          <w:numId w:val="2"/>
        </w:numPr>
        <w:spacing w:after="80" w:line="276"/>
      </w:pPr>
      <w:r>
        <w:rPr>
          <w:sz w:val="21"/>
          <w:szCs w:val="21"/>
        </w:rPr>
        <w:t xml:space="preserve">Brak lub niezgodny kod pocztowy.</w:t>
      </w:r>
    </w:p>
    <w:p>
      <w:pPr>
        <w:pStyle w:val="ListParagraph"/>
        <w:numPr>
          <w:ilvl w:val="0"/>
          <w:numId w:val="2"/>
        </w:numPr>
        <w:spacing w:after="80" w:line="276"/>
      </w:pPr>
      <w:r>
        <w:rPr>
          <w:sz w:val="21"/>
          <w:szCs w:val="21"/>
        </w:rPr>
        <w:t xml:space="preserve">Nieistniejące numery budynków — literówki albo budynki wyburzone.</w:t>
      </w:r>
    </w:p>
    <w:p>
      <w:pPr>
        <w:pStyle w:val="ListParagraph"/>
        <w:numPr>
          <w:ilvl w:val="0"/>
          <w:numId w:val="2"/>
        </w:numPr>
        <w:spacing w:after="80" w:line="276"/>
      </w:pPr>
      <w:r>
        <w:rPr>
          <w:sz w:val="21"/>
          <w:szCs w:val="21"/>
        </w:rPr>
        <w:t xml:space="preserve">Duplikaty nazw miejscowości — nazwy takie jak „Nowa Wieś” występują w Polsce setki razy.</w:t>
      </w:r>
    </w:p>
    <w:p>
      <w:pPr>
        <w:pStyle w:val="ListParagraph"/>
        <w:numPr>
          <w:ilvl w:val="0"/>
          <w:numId w:val="2"/>
        </w:numPr>
        <w:spacing w:after="80" w:line="276"/>
      </w:pPr>
      <w:r>
        <w:rPr>
          <w:sz w:val="21"/>
          <w:szCs w:val="21"/>
        </w:rPr>
        <w:t xml:space="preserve">Nieaktualne dane — zmienione nazwy ulic po dekomunizacji krążą w bazach klientów latami.</w:t>
      </w:r>
    </w:p>
    <w:p>
      <w:pPr>
        <w:pStyle w:val="Heading2"/>
        <w:spacing w:after="140" w:before="280"/>
      </w:pPr>
      <w:r>
        <w:t xml:space="preserve">2.2. Dlaczego budujemy własną bazę</w:t>
      </w:r>
    </w:p>
    <w:p>
      <w:pPr>
        <w:spacing w:after="120" w:line="276"/>
      </w:pPr>
      <w:r>
        <w:rPr>
          <w:sz w:val="21"/>
          <w:szCs w:val="21"/>
        </w:rPr>
        <w:t xml:space="preserve">Rozważono trzy podejścia. Szczegółowe porównanie znajduje się w rozdziale 9. W skrócie: gotowe API zewnętrzne są szybkie we wdrożeniu, ale generują koszt rosnący liniowo z ruchem, uzależniają od dostawcy i wymagają przekazywania danych osobowych klientów poza infrastrukturę Zamawiającego. Własna baza wymaga większego nakładu początkowego, ale eliminuje wszystkie trzy problemy.</w:t>
      </w:r>
    </w:p>
    <w:p>
      <w:r>
        <w:br w:type="page"/>
      </w:r>
    </w:p>
    <w:p>
      <w:pPr>
        <w:pStyle w:val="Heading1"/>
        <w:spacing w:after="180" w:before="360"/>
      </w:pPr>
      <w:r>
        <w:t xml:space="preserve">3. Źródła danych adresowych w Polsce</w:t>
      </w:r>
    </w:p>
    <w:p>
      <w:pPr>
        <w:pStyle w:val="Heading2"/>
        <w:spacing w:after="140" w:before="280"/>
      </w:pPr>
      <w:r>
        <w:t xml:space="preserve">3.1. Przegląd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4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Zawartość</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Dostęp i koszt</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Licencja</w:t>
            </w:r>
          </w:p>
        </w:tc>
      </w:tr>
      <w:tr>
        <w:tc>
          <w:tcPr>
            <w:tcW w:type="dxa" w:w="1900"/>
            <w:tcMar>
              <w:top w:type="dxa" w:w="70"/>
              <w:left w:type="dxa" w:w="110"/>
              <w:bottom w:type="dxa" w:w="70"/>
              <w:right w:type="dxa" w:w="110"/>
            </w:tcMar>
            <w:vAlign w:val="center"/>
          </w:tcPr>
          <w:p>
            <w:pPr>
              <w:spacing w:after="0" w:line="240"/>
            </w:pPr>
            <w:r>
              <w:rPr>
                <w:sz w:val="19"/>
                <w:szCs w:val="19"/>
              </w:rPr>
              <w:t xml:space="preserve">PRG — punkty adresowe (GUGiK)</w:t>
            </w:r>
          </w:p>
        </w:tc>
        <w:tc>
          <w:tcPr>
            <w:tcW w:type="dxa" w:w="2400"/>
            <w:tcMar>
              <w:top w:type="dxa" w:w="70"/>
              <w:left w:type="dxa" w:w="110"/>
              <w:bottom w:type="dxa" w:w="70"/>
              <w:right w:type="dxa" w:w="110"/>
            </w:tcMar>
            <w:vAlign w:val="center"/>
          </w:tcPr>
          <w:p>
            <w:pPr>
              <w:spacing w:after="0" w:line="240"/>
            </w:pPr>
            <w:r>
              <w:rPr>
                <w:sz w:val="19"/>
                <w:szCs w:val="19"/>
              </w:rPr>
              <w:t xml:space="preserve">8 560 617 punktów adresowych, 302 793 ulic i placów (stan 31.03.2026)</w:t>
            </w:r>
          </w:p>
        </w:tc>
        <w:tc>
          <w:tcPr>
            <w:tcW w:type="dxa" w:w="2400"/>
            <w:tcMar>
              <w:top w:type="dxa" w:w="70"/>
              <w:left w:type="dxa" w:w="110"/>
              <w:bottom w:type="dxa" w:w="70"/>
              <w:right w:type="dxa" w:w="110"/>
            </w:tcMar>
            <w:vAlign w:val="center"/>
          </w:tcPr>
          <w:p>
            <w:pPr>
              <w:spacing w:after="0" w:line="240"/>
            </w:pPr>
            <w:r>
              <w:rPr>
                <w:sz w:val="19"/>
                <w:szCs w:val="19"/>
              </w:rPr>
              <w:t xml:space="preserve">Bezpłatnie, bez rejestracji</w:t>
            </w:r>
          </w:p>
        </w:tc>
        <w:tc>
          <w:tcPr>
            <w:tcW w:type="dxa" w:w="2326"/>
            <w:tcMar>
              <w:top w:type="dxa" w:w="70"/>
              <w:left w:type="dxa" w:w="110"/>
              <w:bottom w:type="dxa" w:w="70"/>
              <w:right w:type="dxa" w:w="110"/>
            </w:tcMar>
            <w:vAlign w:val="center"/>
          </w:tcPr>
          <w:p>
            <w:pPr>
              <w:spacing w:after="0" w:line="240"/>
            </w:pPr>
            <w:r>
              <w:rPr>
                <w:sz w:val="19"/>
                <w:szCs w:val="19"/>
              </w:rPr>
              <w:t xml:space="preserve">Bez licencji — art. 40c ust. 5 Prawa geodezyjnego. Wolno komercyjnie i redystrybuować</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TERYT (GUS)</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Rejestr jednostek podziału terytorialnego, miejscowości i ulic</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Pliki bez rejestracji — sprawdzone 6.08.2026. Usługa sieciowa nie odpowiadała na zapytania, konto produkcyjne po zgłoszeniu na teryt_ws1@stat.gov.pl</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Dane publiczne</w:t>
            </w:r>
          </w:p>
        </w:tc>
      </w:tr>
      <w:tr>
        <w:tc>
          <w:tcPr>
            <w:tcW w:type="dxa" w:w="1900"/>
            <w:tcMar>
              <w:top w:type="dxa" w:w="70"/>
              <w:left w:type="dxa" w:w="110"/>
              <w:bottom w:type="dxa" w:w="70"/>
              <w:right w:type="dxa" w:w="110"/>
            </w:tcMar>
            <w:vAlign w:val="center"/>
          </w:tcPr>
          <w:p>
            <w:pPr>
              <w:spacing w:after="0" w:line="240"/>
            </w:pPr>
            <w:r>
              <w:rPr>
                <w:sz w:val="19"/>
                <w:szCs w:val="19"/>
              </w:rPr>
              <w:t xml:space="preserve">iMPA (Geo-System)</w:t>
            </w:r>
          </w:p>
        </w:tc>
        <w:tc>
          <w:tcPr>
            <w:tcW w:type="dxa" w:w="2400"/>
            <w:tcMar>
              <w:top w:type="dxa" w:w="70"/>
              <w:left w:type="dxa" w:w="110"/>
              <w:bottom w:type="dxa" w:w="70"/>
              <w:right w:type="dxa" w:w="110"/>
            </w:tcMar>
            <w:vAlign w:val="center"/>
          </w:tcPr>
          <w:p>
            <w:pPr>
              <w:spacing w:after="0" w:line="240"/>
            </w:pPr>
            <w:r>
              <w:rPr>
                <w:sz w:val="19"/>
                <w:szCs w:val="19"/>
              </w:rPr>
              <w:t xml:space="preserve">Ok. 6,3 mln punktów, ewidencja prowadzona przez ok. 1400 gmin</w:t>
            </w:r>
          </w:p>
        </w:tc>
        <w:tc>
          <w:tcPr>
            <w:tcW w:type="dxa" w:w="2400"/>
            <w:tcMar>
              <w:top w:type="dxa" w:w="70"/>
              <w:left w:type="dxa" w:w="110"/>
              <w:bottom w:type="dxa" w:w="70"/>
              <w:right w:type="dxa" w:w="110"/>
            </w:tcMar>
            <w:vAlign w:val="center"/>
          </w:tcPr>
          <w:p>
            <w:pPr>
              <w:spacing w:after="0" w:line="240"/>
            </w:pPr>
            <w:r>
              <w:rPr>
                <w:sz w:val="19"/>
                <w:szCs w:val="19"/>
              </w:rPr>
              <w:t xml:space="preserve">Bezpłatnie</w:t>
            </w:r>
          </w:p>
        </w:tc>
        <w:tc>
          <w:tcPr>
            <w:tcW w:type="dxa" w:w="2326"/>
            <w:tcMar>
              <w:top w:type="dxa" w:w="70"/>
              <w:left w:type="dxa" w:w="110"/>
              <w:bottom w:type="dxa" w:w="70"/>
              <w:right w:type="dxa" w:w="110"/>
            </w:tcMar>
            <w:vAlign w:val="center"/>
          </w:tcPr>
          <w:p>
            <w:pPr>
              <w:spacing w:after="0" w:line="240"/>
            </w:pPr>
            <w:r>
              <w:rPr>
                <w:sz w:val="19"/>
                <w:szCs w:val="19"/>
              </w:rPr>
              <w:t xml:space="preserve">Niejasna — wymaga pisemnego potwierdzenia</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Spis PNA (Poczta Polska)</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Kody pocztowe według zakresów numerycznych — jedyne źródło autorytatywne</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Wyszukiwarka bezpłatna; plik danych płatny</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Zakaz redystrybucji</w:t>
            </w:r>
          </w:p>
        </w:tc>
      </w:tr>
    </w:tbl>
    <w:p>
      <w:pPr>
        <w:spacing w:after="160"/>
      </w:pPr>
    </w:p>
    <w:p>
      <w:pPr>
        <w:pStyle w:val="Heading2"/>
        <w:spacing w:after="140" w:before="280"/>
      </w:pPr>
      <w:r>
        <w:t xml:space="preserve">3.2. Pułapka pozornej redundancji</w:t>
      </w:r>
    </w:p>
    <w:p>
      <w:pPr>
        <w:spacing w:after="120" w:line="276"/>
      </w:pPr>
      <w:r>
        <w:rPr>
          <w:sz w:val="21"/>
          <w:szCs w:val="21"/>
        </w:rPr>
        <w:t xml:space="preserve">W trakcie analizy ustalono fakt istotny dla oceny ryzyka: popularne alternatywne źródła danych adresowych dla Polski — Overture Maps, OpenAddresses oraz w znacznej części OpenStreetMap — nie są źródłami niezależnymi. Wszystkie pobierają dane z tego samego pliku rejestru PRG.</w:t>
      </w:r>
    </w:p>
    <w:p>
      <w:pPr>
        <w:spacing w:after="120" w:line="276"/>
      </w:pPr>
      <w:r>
        <w:rPr>
          <w:sz w:val="21"/>
          <w:szCs w:val="21"/>
        </w:rPr>
        <w:t xml:space="preserve">Potwierdzenie: projekt OpenAddresses w definicji polskich źródeł wskazuje wprost na adres pliku PRG na serwerze GUGiK, a Overture Maps w informacji o atrybucji podaje, że dane dla Polski są dystrybuowane przez OpenAddresses. Liczby to potwierdzają — PRG podaje 8 560 617 punktów, Overture 8 584 407.</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Konsekwencja praktyczna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Gdyby rejestr PRG przestał być dostępny, wszystkie trzy alternatywy zamrożą się na ostatniej pobranej wersji i przestaną się aktualizować. Nie zapewniają zabezpieczenia.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Jedynym niezależnym źródłem o zasięgu krajowym jest iMPA — system, w którym ok. 1400 gmin prowadzi ewidencję adresową, czyli źródło zasilające PRG. Prowadzi go podmiot komercyjny, więc ryzyko ma inny charakter niż ryzyko po stronie administracji.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Uzupełniająco, ale wyłącznie lokalnie, dostępne są otwarte dane dużych miast — patrz poziom 3 w rozdziale 7.3.</w:t>
      </w:r>
    </w:p>
    <w:p>
      <w:pPr>
        <w:spacing w:after="180"/>
      </w:pPr>
    </w:p>
    <w:p>
      <w:pPr>
        <w:pStyle w:val="Heading2"/>
        <w:spacing w:after="140" w:before="280"/>
      </w:pPr>
      <w:r>
        <w:t xml:space="preserve">3.3. Kwestie licencyjne</w:t>
      </w:r>
    </w:p>
    <w:p>
      <w:pPr>
        <w:spacing w:after="120" w:line="276"/>
      </w:pPr>
      <w:r>
        <w:rPr>
          <w:sz w:val="21"/>
          <w:szCs w:val="21"/>
        </w:rPr>
        <w:t xml:space="preserve">Rejestr PRG jest wolny od ograniczeń licencyjnych. Zgodnie z art. 40a ust. 2 pkt 1 lit. a ustawy Prawo geodezyjne i kartograficzne dane są udostępniane nieodpłatnie, a art. 40c ust. 5 stanowi wprost, że licencji dla tych materiałów nie wydaje się. Jedynym obowiązkiem, wynikającym z art. 40c ust. 3, jest podanie informacji o źródle w publikowanych opracowaniach.</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Ostrzeżenie: OpenStreetMap i licencja ODbL</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Dane OpenStreetMap są objęte licencją ODbL zawierającą klauzulę share-alike. Włączenie ich do produktowej bazy adresowej może rodzić obowiązek udostępnienia całej bazy pochodnej na tej samej licencji.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 zbudowanym rozwiązaniu dane OSM są odseparowane na poziomie schematu bazy danych i służą wyłącznie do wykrywania luk w rejestrze PRG. Żaden rekord z tego obszaru nie trafia do danych produktowych. Zasada ta jest zapisana w komentarzu do schematu bazy.</w:t>
      </w:r>
    </w:p>
    <w:p>
      <w:pPr>
        <w:spacing w:after="180"/>
      </w:pPr>
    </w:p>
    <w:p>
      <w:r>
        <w:br w:type="page"/>
      </w:r>
    </w:p>
    <w:p>
      <w:pPr>
        <w:pStyle w:val="Heading1"/>
        <w:spacing w:after="180" w:before="360"/>
      </w:pPr>
      <w:r>
        <w:t xml:space="preserve">4. Ryzyka i kalendarz zmian</w:t>
      </w:r>
    </w:p>
    <w:p>
      <w:pPr>
        <w:pStyle w:val="Heading2"/>
        <w:spacing w:after="140" w:before="280"/>
      </w:pPr>
      <w:r>
        <w:t xml:space="preserve">4.1. Kalendarz</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Data</w:t>
            </w:r>
          </w:p>
        </w:tc>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3926"/>
            <w:shd w:fill="E8EDF2" w:color="auto" w:val="clear"/>
            <w:tcMar>
              <w:top w:type="dxa" w:w="70"/>
              <w:left w:type="dxa" w:w="110"/>
              <w:bottom w:type="dxa" w:w="70"/>
              <w:right w:type="dxa" w:w="110"/>
            </w:tcMar>
            <w:vAlign w:val="center"/>
          </w:tcPr>
          <w:p>
            <w:pPr>
              <w:spacing w:after="0" w:line="240"/>
            </w:pPr>
            <w:r>
              <w:rPr>
                <w:b/>
                <w:bCs/>
                <w:sz w:val="19"/>
                <w:szCs w:val="19"/>
              </w:rPr>
              <w:t xml:space="preserve">Wpływ na projekt</w:t>
            </w:r>
          </w:p>
        </w:tc>
      </w:tr>
      <w:tr>
        <w:tc>
          <w:tcPr>
            <w:tcW w:type="dxa" w:w="1500"/>
            <w:tcMar>
              <w:top w:type="dxa" w:w="70"/>
              <w:left w:type="dxa" w:w="110"/>
              <w:bottom w:type="dxa" w:w="70"/>
              <w:right w:type="dxa" w:w="110"/>
            </w:tcMar>
            <w:vAlign w:val="center"/>
          </w:tcPr>
          <w:p>
            <w:pPr>
              <w:spacing w:after="0" w:line="240"/>
            </w:pPr>
            <w:r>
              <w:rPr>
                <w:sz w:val="19"/>
                <w:szCs w:val="19"/>
              </w:rPr>
              <w:t xml:space="preserve">1.07.2026</w:t>
            </w:r>
          </w:p>
        </w:tc>
        <w:tc>
          <w:tcPr>
            <w:tcW w:type="dxa" w:w="3600"/>
            <w:tcMar>
              <w:top w:type="dxa" w:w="70"/>
              <w:left w:type="dxa" w:w="110"/>
              <w:bottom w:type="dxa" w:w="70"/>
              <w:right w:type="dxa" w:w="110"/>
            </w:tcMar>
            <w:vAlign w:val="center"/>
          </w:tcPr>
          <w:p>
            <w:pPr>
              <w:spacing w:after="0" w:line="240"/>
            </w:pPr>
            <w:r>
              <w:rPr>
                <w:sz w:val="19"/>
                <w:szCs w:val="19"/>
              </w:rPr>
              <w:t xml:space="preserve">Koniec publikacji danych SHP w starej strukturze</w:t>
            </w:r>
          </w:p>
        </w:tc>
        <w:tc>
          <w:tcPr>
            <w:tcW w:type="dxa" w:w="3926"/>
            <w:tcMar>
              <w:top w:type="dxa" w:w="70"/>
              <w:left w:type="dxa" w:w="110"/>
              <w:bottom w:type="dxa" w:w="70"/>
              <w:right w:type="dxa" w:w="110"/>
            </w:tcMar>
            <w:vAlign w:val="center"/>
          </w:tcPr>
          <w:p>
            <w:pPr>
              <w:spacing w:after="0" w:line="240"/>
            </w:pPr>
            <w:r>
              <w:rPr>
                <w:sz w:val="19"/>
                <w:szCs w:val="19"/>
              </w:rPr>
              <w:t xml:space="preserve">Zrealizowane, bez wpływu — korzystamy z formatu GML</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1.09.2026</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Koniec publikacji danych GML w starej strukturze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Ograniczony — archiwizacja wykonana 6.08.2026, parser potwierdzony na rzeczywistym pliku. Pozostaje brak trzech atrybutów w danych bieżących</w:t>
            </w:r>
          </w:p>
        </w:tc>
      </w:tr>
      <w:tr>
        <w:tc>
          <w:tcPr>
            <w:tcW w:type="dxa" w:w="1500"/>
            <w:tcMar>
              <w:top w:type="dxa" w:w="70"/>
              <w:left w:type="dxa" w:w="110"/>
              <w:bottom w:type="dxa" w:w="70"/>
              <w:right w:type="dxa" w:w="110"/>
            </w:tcMar>
            <w:vAlign w:val="center"/>
          </w:tcPr>
          <w:p>
            <w:pPr>
              <w:spacing w:after="0" w:line="240"/>
            </w:pPr>
            <w:r>
              <w:rPr>
                <w:sz w:val="19"/>
                <w:szCs w:val="19"/>
              </w:rPr>
              <w:t xml:space="preserve">5.10.2026</w:t>
            </w:r>
          </w:p>
        </w:tc>
        <w:tc>
          <w:tcPr>
            <w:tcW w:type="dxa" w:w="3600"/>
            <w:tcMar>
              <w:top w:type="dxa" w:w="70"/>
              <w:left w:type="dxa" w:w="110"/>
              <w:bottom w:type="dxa" w:w="70"/>
              <w:right w:type="dxa" w:w="110"/>
            </w:tcMar>
            <w:vAlign w:val="center"/>
          </w:tcPr>
          <w:p>
            <w:pPr>
              <w:spacing w:after="0" w:line="240"/>
            </w:pPr>
            <w:r>
              <w:rPr>
                <w:sz w:val="19"/>
                <w:szCs w:val="19"/>
              </w:rPr>
              <w:t xml:space="preserve">Głosowanie Parlamentu Europejskiego nad zmianą dyrektywy INSPIRE</w:t>
            </w:r>
          </w:p>
        </w:tc>
        <w:tc>
          <w:tcPr>
            <w:tcW w:type="dxa" w:w="3926"/>
            <w:tcMar>
              <w:top w:type="dxa" w:w="70"/>
              <w:left w:type="dxa" w:w="110"/>
              <w:bottom w:type="dxa" w:w="70"/>
              <w:right w:type="dxa" w:w="110"/>
            </w:tcMar>
            <w:vAlign w:val="center"/>
          </w:tcPr>
          <w:p>
            <w:pPr>
              <w:spacing w:after="0" w:line="240"/>
            </w:pPr>
            <w:r>
              <w:rPr>
                <w:sz w:val="19"/>
                <w:szCs w:val="19"/>
              </w:rPr>
              <w:t xml:space="preserve">Kierunkowy, bez bezpośrednich skutków</w:t>
            </w:r>
          </w:p>
        </w:tc>
      </w:tr>
      <w:tr>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ok. 2028–2029</w:t>
            </w:r>
          </w:p>
        </w:tc>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Transpozycja zmienionej dyrektywy INSPIRE</w:t>
            </w:r>
          </w:p>
        </w:tc>
        <w:tc>
          <w:tcPr>
            <w:tcW w:type="dxa" w:w="3926"/>
            <w:shd w:fill="F5F7F9" w:color="auto" w:val="clear"/>
            <w:tcMar>
              <w:top w:type="dxa" w:w="70"/>
              <w:left w:type="dxa" w:w="110"/>
              <w:bottom w:type="dxa" w:w="70"/>
              <w:right w:type="dxa" w:w="110"/>
            </w:tcMar>
            <w:vAlign w:val="center"/>
          </w:tcPr>
          <w:p>
            <w:pPr>
              <w:spacing w:after="0" w:line="240"/>
            </w:pPr>
            <w:r>
              <w:rPr>
                <w:sz w:val="19"/>
                <w:szCs w:val="19"/>
              </w:rPr>
              <w:t xml:space="preserve">Średni — zanikają unijne wymogi dotyczące usług sieciowych</w:t>
            </w:r>
          </w:p>
        </w:tc>
      </w:tr>
      <w:tr>
        <w:tc>
          <w:tcPr>
            <w:tcW w:type="dxa" w:w="1500"/>
            <w:tcMar>
              <w:top w:type="dxa" w:w="70"/>
              <w:left w:type="dxa" w:w="110"/>
              <w:bottom w:type="dxa" w:w="70"/>
              <w:right w:type="dxa" w:w="110"/>
            </w:tcMar>
            <w:vAlign w:val="center"/>
          </w:tcPr>
          <w:p>
            <w:pPr>
              <w:spacing w:after="0" w:line="240"/>
            </w:pPr>
            <w:r>
              <w:rPr>
                <w:sz w:val="19"/>
                <w:szCs w:val="19"/>
              </w:rPr>
              <w:t xml:space="preserve">bez daty</w:t>
            </w:r>
          </w:p>
        </w:tc>
        <w:tc>
          <w:tcPr>
            <w:tcW w:type="dxa" w:w="3600"/>
            <w:tcMar>
              <w:top w:type="dxa" w:w="70"/>
              <w:left w:type="dxa" w:w="110"/>
              <w:bottom w:type="dxa" w:w="70"/>
              <w:right w:type="dxa" w:w="110"/>
            </w:tcMar>
            <w:vAlign w:val="center"/>
          </w:tcPr>
          <w:p>
            <w:pPr>
              <w:spacing w:after="0" w:line="240"/>
            </w:pPr>
            <w:r>
              <w:rPr>
                <w:sz w:val="19"/>
                <w:szCs w:val="19"/>
              </w:rPr>
              <w:t xml:space="preserve">Projekt nowelizacji Prawa geodezyjnego — uprawnienie MON do ograniczania dostępu</w:t>
            </w:r>
          </w:p>
        </w:tc>
        <w:tc>
          <w:tcPr>
            <w:tcW w:type="dxa" w:w="3926"/>
            <w:tcMar>
              <w:top w:type="dxa" w:w="70"/>
              <w:left w:type="dxa" w:w="110"/>
              <w:bottom w:type="dxa" w:w="70"/>
              <w:right w:type="dxa" w:w="110"/>
            </w:tcMar>
            <w:vAlign w:val="center"/>
          </w:tcPr>
          <w:p>
            <w:pPr>
              <w:spacing w:after="0" w:line="240"/>
            </w:pPr>
            <w:r>
              <w:rPr>
                <w:sz w:val="19"/>
                <w:szCs w:val="19"/>
              </w:rPr>
              <w:t xml:space="preserve">Niski — dotyczy terenów obronnych</w:t>
            </w:r>
          </w:p>
        </w:tc>
      </w:tr>
    </w:tbl>
    <w:p>
      <w:pPr>
        <w:spacing w:after="160"/>
      </w:pPr>
    </w:p>
    <w:p>
      <w:pPr>
        <w:pStyle w:val="Heading2"/>
        <w:spacing w:after="140" w:before="280"/>
      </w:pPr>
      <w:r>
        <w:t xml:space="preserve">4.2. Incydenty historyczne po stronie źródła</w:t>
      </w:r>
    </w:p>
    <w:p>
      <w:pPr>
        <w:spacing w:after="120" w:line="276"/>
      </w:pPr>
      <w:r>
        <w:rPr>
          <w:sz w:val="21"/>
          <w:szCs w:val="21"/>
        </w:rPr>
        <w:t xml:space="preserve">Analiza dostępności rejestru PRG w poprzednich latach wykazała dwa typy zdarzeń, które przekładają się bezpośrednio na wymagania wobec procesu aktualizacji:</w:t>
      </w:r>
    </w:p>
    <w:p>
      <w:pPr>
        <w:pStyle w:val="ListParagraph"/>
        <w:numPr>
          <w:ilvl w:val="0"/>
          <w:numId w:val="2"/>
        </w:numPr>
        <w:spacing w:after="80" w:line="276"/>
      </w:pPr>
      <w:r>
        <w:rPr>
          <w:b/>
          <w:bCs/>
          <w:sz w:val="21"/>
          <w:szCs w:val="21"/>
        </w:rPr>
        <w:t xml:space="preserve">Czerwiec 2024 — dane zamrożone. </w:t>
      </w:r>
      <w:r>
        <w:rPr>
          <w:sz w:val="21"/>
          <w:szCs w:val="21"/>
        </w:rPr>
        <w:t xml:space="preserve">Paczki nie były odświeżane przez co najmniej dwa tygodnie. Problem wykryła i zgłosiła firma zewnętrzna, nie instytucja prowadząca rejestr.</w:t>
      </w:r>
    </w:p>
    <w:p>
      <w:pPr>
        <w:pStyle w:val="ListParagraph"/>
        <w:numPr>
          <w:ilvl w:val="0"/>
          <w:numId w:val="2"/>
        </w:numPr>
        <w:spacing w:after="80" w:line="276"/>
      </w:pPr>
      <w:r>
        <w:rPr>
          <w:b/>
          <w:bCs/>
          <w:sz w:val="21"/>
          <w:szCs w:val="21"/>
        </w:rPr>
        <w:t xml:space="preserve">Marzec 2016 — zrzut niekompletny. </w:t>
      </w:r>
      <w:r>
        <w:rPr>
          <w:sz w:val="21"/>
          <w:szCs w:val="21"/>
        </w:rPr>
        <w:t xml:space="preserve">Opublikowany plik nie zawierał danych Wrocławia. Podobny przypadek dotyczył Białegostoku.</w:t>
      </w:r>
    </w:p>
    <w:p>
      <w:pPr>
        <w:spacing w:after="120" w:line="276"/>
      </w:pPr>
      <w:r>
        <w:rPr>
          <w:sz w:val="21"/>
          <w:szCs w:val="21"/>
        </w:rPr>
        <w:t xml:space="preserve">Wniosek: poprawna odpowiedź serwera i poprawny plik archiwum nie stanowią wystarczającego potwierdzenia jakości danych. Z tego powodu proces aktualizacji zawiera zestaw kontroli opisany w rozdziale 7.2.</w:t>
      </w:r>
    </w:p>
    <w:p>
      <w:pPr>
        <w:pStyle w:val="Heading2"/>
        <w:spacing w:after="140" w:before="280"/>
      </w:pPr>
      <w:r>
        <w:t xml:space="preserve">4.3. Ograniczenia po stronie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Czego brakuje</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Zastosowane obejście</w:t>
            </w:r>
          </w:p>
        </w:tc>
      </w:tr>
      <w:tr>
        <w:tc>
          <w:tcPr>
            <w:tcW w:type="dxa" w:w="4000"/>
            <w:tcMar>
              <w:top w:type="dxa" w:w="70"/>
              <w:left w:type="dxa" w:w="110"/>
              <w:bottom w:type="dxa" w:w="70"/>
              <w:right w:type="dxa" w:w="110"/>
            </w:tcMar>
            <w:vAlign w:val="center"/>
          </w:tcPr>
          <w:p>
            <w:pPr>
              <w:spacing w:after="0" w:line="240"/>
            </w:pPr>
            <w:r>
              <w:rPr>
                <w:sz w:val="19"/>
                <w:szCs w:val="19"/>
              </w:rPr>
              <w:t xml:space="preserve">Plików różnicowych dla rejestru PRG</w:t>
            </w:r>
          </w:p>
        </w:tc>
        <w:tc>
          <w:tcPr>
            <w:tcW w:type="dxa" w:w="5026"/>
            <w:tcMar>
              <w:top w:type="dxa" w:w="70"/>
              <w:left w:type="dxa" w:w="110"/>
              <w:bottom w:type="dxa" w:w="70"/>
              <w:right w:type="dxa" w:w="110"/>
            </w:tcMar>
            <w:vAlign w:val="center"/>
          </w:tcPr>
          <w:p>
            <w:pPr>
              <w:spacing w:after="0" w:line="240"/>
            </w:pPr>
            <w:r>
              <w:rPr>
                <w:sz w:val="19"/>
                <w:szCs w:val="19"/>
              </w:rPr>
              <w:t xml:space="preserve">Porównanie sum kontrolnych treści i pełne przeładowanie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Interfejsu podającego datę aktualizacji</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Sprawdzono 6.08.2026: serwer nie zwraca ani ETag, ani Last-Modified dla żadnego z 16 województw. Obowiązuje harmonogram tygodniowy i porównanie sumy kontrolnej pobranego pliku</w:t>
            </w:r>
          </w:p>
        </w:tc>
      </w:tr>
      <w:tr>
        <w:tc>
          <w:tcPr>
            <w:tcW w:type="dxa" w:w="4000"/>
            <w:tcMar>
              <w:top w:type="dxa" w:w="70"/>
              <w:left w:type="dxa" w:w="110"/>
              <w:bottom w:type="dxa" w:w="70"/>
              <w:right w:type="dxa" w:w="110"/>
            </w:tcMar>
            <w:vAlign w:val="center"/>
          </w:tcPr>
          <w:p>
            <w:pPr>
              <w:spacing w:after="0" w:line="240"/>
            </w:pPr>
            <w:r>
              <w:rPr>
                <w:sz w:val="19"/>
                <w:szCs w:val="19"/>
              </w:rPr>
              <w:t xml:space="preserve">Gwarancji stabilności adresów pobierania</w:t>
            </w:r>
          </w:p>
        </w:tc>
        <w:tc>
          <w:tcPr>
            <w:tcW w:type="dxa" w:w="5026"/>
            <w:tcMar>
              <w:top w:type="dxa" w:w="70"/>
              <w:left w:type="dxa" w:w="110"/>
              <w:bottom w:type="dxa" w:w="70"/>
              <w:right w:type="dxa" w:w="110"/>
            </w:tcMar>
            <w:vAlign w:val="center"/>
          </w:tcPr>
          <w:p>
            <w:pPr>
              <w:spacing w:after="0" w:line="240"/>
            </w:pPr>
            <w:r>
              <w:rPr>
                <w:sz w:val="19"/>
                <w:szCs w:val="19"/>
              </w:rPr>
              <w:t xml:space="preserve">Własne wersjonowane archiwum plików źródłowych</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Poprawnych schematów walidacyjnych XML</w:t>
            </w:r>
          </w:p>
        </w:tc>
        <w:tc>
          <w:tcPr>
            <w:tcW w:type="dxa" w:w="5026"/>
            <w:shd w:fill="F5F7F9" w:color="auto" w:val="clear"/>
            <w:tcMar>
              <w:top w:type="dxa" w:w="70"/>
              <w:left w:type="dxa" w:w="110"/>
              <w:bottom w:type="dxa" w:w="70"/>
              <w:right w:type="dxa" w:w="110"/>
            </w:tcMar>
            <w:vAlign w:val="center"/>
          </w:tcPr>
          <w:p>
            <w:pPr>
              <w:spacing w:after="0" w:line="240"/>
            </w:pPr>
            <w:r>
              <w:rPr>
                <w:sz w:val="19"/>
                <w:szCs w:val="19"/>
              </w:rPr>
              <w:t xml:space="preserve">Własny parser strumieniowy zamiast narzędzi wymagających schematu</w:t>
            </w:r>
          </w:p>
        </w:tc>
      </w:tr>
    </w:tbl>
    <w:p>
      <w:pPr>
        <w:spacing w:after="160"/>
      </w:pPr>
    </w:p>
    <w:p>
      <w:pPr>
        <w:spacing w:after="120" w:line="276"/>
      </w:pPr>
      <w:r>
        <w:rPr>
          <w:b/>
          <w:bCs/>
          <w:sz w:val="21"/>
          <w:szCs w:val="21"/>
        </w:rPr>
        <w:t xml:space="preserve">Konsekwencja kosztowa braku sondażu: </w:t>
      </w:r>
      <w:r>
        <w:rPr>
          <w:sz w:val="21"/>
          <w:szCs w:val="21"/>
        </w:rPr>
        <w:t xml:space="preserve">każde sprawdzenie, czy dane się zmieniły, wymaga pobrania kompletu plików (1,8 GB) i policzenia sumy kontrolnej. To przesądza o tygodniowym, a nie dobowym cyklu aktualizacji — patrz 5.1.</w:t>
      </w:r>
    </w:p>
    <w:p>
      <w:r>
        <w:br w:type="page"/>
      </w:r>
    </w:p>
    <w:p>
      <w:pPr>
        <w:pStyle w:val="Heading1"/>
        <w:spacing w:after="180" w:before="360"/>
      </w:pPr>
      <w:r>
        <w:t xml:space="preserve">5. Architektura rozwiązania</w:t>
      </w:r>
    </w:p>
    <w:p>
      <w:pPr>
        <w:pStyle w:val="Heading2"/>
        <w:spacing w:after="140" w:before="280"/>
      </w:pPr>
      <w:r>
        <w:t xml:space="preserve">5.1. Podział na komponenty</w:t>
      </w:r>
    </w:p>
    <w:p>
      <w:pPr>
        <w:spacing w:after="120" w:line="276"/>
      </w:pPr>
      <w:r>
        <w:rPr>
          <w:sz w:val="21"/>
          <w:szCs w:val="21"/>
        </w:rPr>
        <w:t xml:space="preserve">Rozwiązanie dzieli się na dwa niezależnie skalowane elementy. Podział ten jest najważniejszą decyzją architektoniczną projektu.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100"/>
        <w:gridCol w:w="33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Komponent</w:t>
            </w:r>
          </w:p>
        </w:tc>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Charakter</w:t>
            </w:r>
          </w:p>
        </w:tc>
        <w:tc>
          <w:tcPr>
            <w:tcW w:type="dxa" w:w="2100"/>
            <w:shd w:fill="E8EDF2" w:color="auto" w:val="clear"/>
            <w:tcMar>
              <w:top w:type="dxa" w:w="70"/>
              <w:left w:type="dxa" w:w="110"/>
              <w:bottom w:type="dxa" w:w="70"/>
              <w:right w:type="dxa" w:w="110"/>
            </w:tcMar>
            <w:vAlign w:val="center"/>
          </w:tcPr>
          <w:p>
            <w:pPr>
              <w:spacing w:after="0" w:line="240"/>
            </w:pPr>
            <w:r>
              <w:rPr>
                <w:b/>
                <w:bCs/>
                <w:sz w:val="19"/>
                <w:szCs w:val="19"/>
              </w:rPr>
              <w:t xml:space="preserve">Uruchamianie</w:t>
            </w:r>
          </w:p>
        </w:tc>
        <w:tc>
          <w:tcPr>
            <w:tcW w:type="dxa" w:w="3326"/>
            <w:shd w:fill="E8EDF2" w:color="auto" w:val="clear"/>
            <w:tcMar>
              <w:top w:type="dxa" w:w="70"/>
              <w:left w:type="dxa" w:w="110"/>
              <w:bottom w:type="dxa" w:w="70"/>
              <w:right w:type="dxa" w:w="110"/>
            </w:tcMar>
            <w:vAlign w:val="center"/>
          </w:tcPr>
          <w:p>
            <w:pPr>
              <w:spacing w:after="0" w:line="240"/>
            </w:pPr>
            <w:r>
              <w:rPr>
                <w:b/>
                <w:bCs/>
                <w:sz w:val="19"/>
                <w:szCs w:val="19"/>
              </w:rPr>
              <w:t xml:space="preserve">Odpowiedzialność</w:t>
            </w:r>
          </w:p>
        </w:tc>
      </w:tr>
      <w:tr>
        <w:tc>
          <w:tcPr>
            <w:tcW w:type="dxa" w:w="1700"/>
            <w:tcMar>
              <w:top w:type="dxa" w:w="70"/>
              <w:left w:type="dxa" w:w="110"/>
              <w:bottom w:type="dxa" w:w="70"/>
              <w:right w:type="dxa" w:w="110"/>
            </w:tcMar>
            <w:vAlign w:val="center"/>
          </w:tcPr>
          <w:p>
            <w:pPr>
              <w:spacing w:after="0" w:line="240"/>
            </w:pPr>
            <w:r>
              <w:rPr>
                <w:sz w:val="19"/>
                <w:szCs w:val="19"/>
              </w:rPr>
              <w:t xml:space="preserve">Proces przetwarzania danych</w:t>
            </w:r>
          </w:p>
        </w:tc>
        <w:tc>
          <w:tcPr>
            <w:tcW w:type="dxa" w:w="1900"/>
            <w:tcMar>
              <w:top w:type="dxa" w:w="70"/>
              <w:left w:type="dxa" w:w="110"/>
              <w:bottom w:type="dxa" w:w="70"/>
              <w:right w:type="dxa" w:w="110"/>
            </w:tcMar>
            <w:vAlign w:val="center"/>
          </w:tcPr>
          <w:p>
            <w:pPr>
              <w:spacing w:after="0" w:line="240"/>
            </w:pPr>
            <w:r>
              <w:rPr>
                <w:sz w:val="19"/>
                <w:szCs w:val="19"/>
              </w:rPr>
              <w:t xml:space="preserve">Stanowy, zasobożerny</w:t>
            </w:r>
          </w:p>
        </w:tc>
        <w:tc>
          <w:tcPr>
            <w:tcW w:type="dxa" w:w="2100"/>
            <w:tcMar>
              <w:top w:type="dxa" w:w="70"/>
              <w:left w:type="dxa" w:w="110"/>
              <w:bottom w:type="dxa" w:w="70"/>
              <w:right w:type="dxa" w:w="110"/>
            </w:tcMar>
            <w:vAlign w:val="center"/>
          </w:tcPr>
          <w:p>
            <w:pPr>
              <w:spacing w:after="0" w:line="240"/>
            </w:pPr>
            <w:r>
              <w:rPr>
                <w:sz w:val="19"/>
                <w:szCs w:val="19"/>
              </w:rPr>
              <w:t xml:space="preserve">Raz w tygodniu, zadanie cykliczne</w:t>
            </w:r>
          </w:p>
        </w:tc>
        <w:tc>
          <w:tcPr>
            <w:tcW w:type="dxa" w:w="3326"/>
            <w:tcMar>
              <w:top w:type="dxa" w:w="70"/>
              <w:left w:type="dxa" w:w="110"/>
              <w:bottom w:type="dxa" w:w="70"/>
              <w:right w:type="dxa" w:w="110"/>
            </w:tcMar>
            <w:vAlign w:val="center"/>
          </w:tcPr>
          <w:p>
            <w:pPr>
              <w:spacing w:after="0" w:line="240"/>
            </w:pPr>
            <w:r>
              <w:rPr>
                <w:sz w:val="19"/>
                <w:szCs w:val="19"/>
              </w:rPr>
              <w:t xml:space="preserve">Pobranie, przetworzenie, kontrole jakości, publikacja</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Mikroserwis HTTP</w:t>
            </w:r>
          </w:p>
        </w:tc>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Bezstanowy, lekki</w:t>
            </w:r>
          </w:p>
        </w:tc>
        <w:tc>
          <w:tcPr>
            <w:tcW w:type="dxa" w:w="2100"/>
            <w:shd w:fill="F5F7F9" w:color="auto" w:val="clear"/>
            <w:tcMar>
              <w:top w:type="dxa" w:w="70"/>
              <w:left w:type="dxa" w:w="110"/>
              <w:bottom w:type="dxa" w:w="70"/>
              <w:right w:type="dxa" w:w="110"/>
            </w:tcMar>
            <w:vAlign w:val="center"/>
          </w:tcPr>
          <w:p>
            <w:pPr>
              <w:spacing w:after="0" w:line="240"/>
            </w:pPr>
            <w:r>
              <w:rPr>
                <w:sz w:val="19"/>
                <w:szCs w:val="19"/>
              </w:rPr>
              <w:t xml:space="preserve">Ciągle, skalowany poziomo</w:t>
            </w:r>
          </w:p>
        </w:tc>
        <w:tc>
          <w:tcPr>
            <w:tcW w:type="dxa" w:w="3326"/>
            <w:shd w:fill="F5F7F9" w:color="auto" w:val="clear"/>
            <w:tcMar>
              <w:top w:type="dxa" w:w="70"/>
              <w:left w:type="dxa" w:w="110"/>
              <w:bottom w:type="dxa" w:w="70"/>
              <w:right w:type="dxa" w:w="110"/>
            </w:tcMar>
            <w:vAlign w:val="center"/>
          </w:tcPr>
          <w:p>
            <w:pPr>
              <w:spacing w:after="0" w:line="240"/>
            </w:pPr>
            <w:r>
              <w:rPr>
                <w:sz w:val="19"/>
                <w:szCs w:val="19"/>
              </w:rPr>
              <w:t xml:space="preserve">Podpowiedzi, walidacja, geokodowanie</w:t>
            </w:r>
          </w:p>
        </w:tc>
      </w:tr>
    </w:tbl>
    <w:p>
      <w:pPr>
        <w:spacing w:after="160"/>
      </w:pPr>
    </w:p>
    <w:p>
      <w:pPr>
        <w:spacing w:after="120" w:line="276"/>
      </w:pPr>
      <w:r>
        <w:rPr>
          <w:b/>
          <w:bCs/>
          <w:sz w:val="21"/>
          <w:szCs w:val="21"/>
        </w:rPr>
        <w:t xml:space="preserve">Dlaczego tydzień, a nie doba: </w:t>
      </w:r>
      <w:r>
        <w:rPr>
          <w:sz w:val="21"/>
          <w:szCs w:val="21"/>
        </w:rPr>
        <w:t xml:space="preserve">brak nagłówków umożliwiających tani sondaż (4.3) oznacza, że każde sprawdzenie to pełne pobranie 1,8 GB. Rejestr aktualizowany jest przez gminy na bieżąco, ale opublikowana paczka zmienia się rzadziej niż raz na dobę, więc cykl dobowy generowałby ruch bez przyrostu wartości. Do archiwum trafia wyłącznie zrzut, w którym wykryto zmianę treści — stąd szacunki pojemności w 7.3 liczone są dla zrzutów miesięcznych.</w:t>
      </w:r>
    </w:p>
    <w:p>
      <w:pPr>
        <w:pStyle w:val="Heading2"/>
        <w:spacing w:after="140" w:before="280"/>
      </w:pPr>
      <w:r>
        <w:t xml:space="preserve">5.2. Kluczowa decyzja: artefakt wyszukiwania</w:t>
      </w:r>
    </w:p>
    <w:p>
      <w:pPr>
        <w:spacing w:after="120" w:line="276"/>
      </w:pPr>
      <w:r>
        <w:rPr>
          <w:sz w:val="21"/>
          <w:szCs w:val="21"/>
        </w:rPr>
        <w:t xml:space="preserve">Proces przetwarzania wytwarza pojedynczy, niezmienny plik indeksu wyszukiwania, oznaczony wersją danych. Instancje mikroserwisu pobierają go przy starcie i utrzymują w pamięci operacyjnej. Podpowiedzi adresowe nie wymagają zapytań do bazy danych.</w:t>
      </w:r>
    </w:p>
    <w:p>
      <w:pPr>
        <w:spacing w:after="120" w:line="276"/>
      </w:pPr>
      <w:r>
        <w:rPr>
          <w:sz w:val="21"/>
          <w:szCs w:val="21"/>
        </w:rPr>
        <w:t xml:space="preserve">Korzyści tego rozwiązania:</w:t>
      </w:r>
    </w:p>
    <w:p>
      <w:pPr>
        <w:pStyle w:val="ListParagraph"/>
        <w:numPr>
          <w:ilvl w:val="0"/>
          <w:numId w:val="2"/>
        </w:numPr>
        <w:spacing w:after="80" w:line="276"/>
      </w:pPr>
      <w:r>
        <w:rPr>
          <w:sz w:val="21"/>
          <w:szCs w:val="21"/>
        </w:rPr>
        <w:t xml:space="preserve">Wycofanie zmiany sprowadza się do przestawienia wskaźnika wersji — do minuty od przestawienia, plus czas pobrania artefaktu, bez migracji danych.</w:t>
      </w:r>
    </w:p>
    <w:p>
      <w:pPr>
        <w:pStyle w:val="ListParagraph"/>
        <w:numPr>
          <w:ilvl w:val="0"/>
          <w:numId w:val="2"/>
        </w:numPr>
        <w:spacing w:after="80" w:line="276"/>
      </w:pPr>
      <w:r>
        <w:rPr>
          <w:sz w:val="21"/>
          <w:szCs w:val="21"/>
        </w:rPr>
        <w:t xml:space="preserve">Skalowanie poziome jest trywialne — instancje nie współdzielą stanu danych.</w:t>
      </w:r>
    </w:p>
    <w:p>
      <w:pPr>
        <w:pStyle w:val="ListParagraph"/>
        <w:numPr>
          <w:ilvl w:val="0"/>
          <w:numId w:val="2"/>
        </w:numPr>
        <w:spacing w:after="80" w:line="276"/>
      </w:pPr>
      <w:r>
        <w:rPr>
          <w:sz w:val="21"/>
          <w:szCs w:val="21"/>
        </w:rPr>
        <w:t xml:space="preserve">Wyniki są w pełni powtarzalne, co umożliwia automatyczne testy regresyjne jakości wyszukiwania.</w:t>
      </w:r>
    </w:p>
    <w:p>
      <w:pPr>
        <w:pStyle w:val="ListParagraph"/>
        <w:numPr>
          <w:ilvl w:val="0"/>
          <w:numId w:val="2"/>
        </w:numPr>
        <w:spacing w:after="80" w:line="276"/>
      </w:pPr>
      <w:r>
        <w:rPr>
          <w:sz w:val="21"/>
          <w:szCs w:val="21"/>
        </w:rPr>
        <w:t xml:space="preserve">Baza danych nie jest obciążana ruchem podpowiedzi, który jest najintensywniejszy.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Dwa ograniczenia obecnej wersji</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Podmiana artefaktu działa przez odpytywanie wskaźnika wersji co 60 sekund, a nie przez powiadomienie. Bez jawnie skonfigurowanego wskaźnika podmiana bez restartu instancji nie działa wcale.</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Sonda gotowości instancji odpytuje bazę danych, więc awaria bazy wyłącza instancję z ruchu również dla podpowiedzi, które bazy nie potrzebują. Rozdzielenie sond to 1 dzień pracy — pozycja w etapie komercjalizacji, rozdz. 10.</w:t>
      </w:r>
    </w:p>
    <w:p>
      <w:pPr>
        <w:spacing w:after="180"/>
      </w:pPr>
    </w:p>
    <w:p>
      <w:pPr>
        <w:pStyle w:val="Heading2"/>
        <w:spacing w:after="140" w:before="280"/>
      </w:pPr>
      <w:r>
        <w:t xml:space="preserve">5.3. Warstwa danych</w:t>
      </w:r>
    </w:p>
    <w:p>
      <w:pPr>
        <w:spacing w:after="120" w:line="276"/>
      </w:pPr>
      <w:r>
        <w:rPr>
          <w:sz w:val="21"/>
          <w:szCs w:val="21"/>
        </w:rPr>
        <w:t xml:space="preserve">Tabela rozdziela stan zbudowany od elementów przewidzianych w architekturze docelowej. Rozróżnienie jest istotne przy planowaniu wdrożenia.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28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Technologia</w:t>
            </w:r>
          </w:p>
        </w:tc>
        <w:tc>
          <w:tcPr>
            <w:tcW w:type="dxa" w:w="4300"/>
            <w:shd w:fill="E8EDF2" w:color="auto" w:val="clear"/>
            <w:tcMar>
              <w:top w:type="dxa" w:w="70"/>
              <w:left w:type="dxa" w:w="110"/>
              <w:bottom w:type="dxa" w:w="70"/>
              <w:right w:type="dxa" w:w="110"/>
            </w:tcMar>
            <w:vAlign w:val="center"/>
          </w:tcPr>
          <w:p>
            <w:pPr>
              <w:spacing w:after="0" w:line="240"/>
            </w:pPr>
            <w:r>
              <w:rPr>
                <w:b/>
                <w:bCs/>
                <w:sz w:val="19"/>
                <w:szCs w:val="19"/>
              </w:rPr>
              <w:t xml:space="preserve">Zastosowanie</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PostgreSQL + PostGIS</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Źródło prawdy, numery budynków, geokodowanie odwrotne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dane adresowe są ściśle relacyjne i przestrzenne</w:t>
            </w:r>
          </w:p>
        </w:tc>
      </w:tr>
      <w:tr>
        <w:tc>
          <w:tcPr>
            <w:tcW w:type="dxa" w:w="1900"/>
            <w:shd w:fill="EDF5EE" w:color="auto" w:val="clear"/>
            <w:tcMar>
              <w:top w:type="dxa" w:w="70"/>
              <w:left w:type="dxa" w:w="110"/>
              <w:bottom w:type="dxa" w:w="70"/>
              <w:right w:type="dxa" w:w="110"/>
            </w:tcMar>
            <w:vAlign w:val="center"/>
          </w:tcPr>
          <w:p>
            <w:pPr>
              <w:spacing w:after="0" w:line="240"/>
            </w:pPr>
            <w:r>
              <w:rPr>
                <w:sz w:val="19"/>
                <w:szCs w:val="19"/>
              </w:rPr>
              <w:t xml:space="preserve">Indeks w pamięci procesu</w:t>
            </w:r>
          </w:p>
        </w:tc>
        <w:tc>
          <w:tcPr>
            <w:tcW w:type="dxa" w:w="4300"/>
            <w:shd w:fill="EDF5EE" w:color="auto" w:val="clear"/>
            <w:tcMar>
              <w:top w:type="dxa" w:w="70"/>
              <w:left w:type="dxa" w:w="110"/>
              <w:bottom w:type="dxa" w:w="70"/>
              <w:right w:type="dxa" w:w="110"/>
            </w:tcMar>
            <w:vAlign w:val="center"/>
          </w:tcPr>
          <w:p>
            <w:pPr>
              <w:spacing w:after="0" w:line="240"/>
            </w:pPr>
            <w:r>
              <w:rPr>
                <w:sz w:val="19"/>
                <w:szCs w:val="19"/>
              </w:rPr>
              <w:t xml:space="preserve">Podpowiedzi adresowe</w:t>
            </w:r>
          </w:p>
        </w:tc>
        <w:tc>
          <w:tcPr>
            <w:tcW w:type="dxa" w:w="2826"/>
            <w:shd w:fill="EDF5EE" w:color="auto" w:val="clear"/>
            <w:tcMar>
              <w:top w:type="dxa" w:w="70"/>
              <w:left w:type="dxa" w:w="110"/>
              <w:bottom w:type="dxa" w:w="70"/>
              <w:right w:type="dxa" w:w="110"/>
            </w:tcMar>
            <w:vAlign w:val="center"/>
          </w:tcPr>
          <w:p>
            <w:pPr>
              <w:spacing w:after="0" w:line="240"/>
            </w:pPr>
            <w:r>
              <w:rPr>
                <w:sz w:val="19"/>
                <w:szCs w:val="19"/>
              </w:rPr>
              <w:t xml:space="preserve">Wdrożone — ok. 30× szybciej niż zapytanie do bazy z indeksem tekstowym</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Redis</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Limitowanie zapytań współdzielone między instancjami, pamięć podręczna, powiadamianie o nowej wersji</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licznik limitera działa dziś w pamięci pojedynczej instancji, więc przy N replikach efektywny limit jest N-krotnie wyższy</w:t>
            </w:r>
          </w:p>
        </w:tc>
      </w:tr>
      <w:tr>
        <w:tc>
          <w:tcPr>
            <w:tcW w:type="dxa" w:w="1900"/>
            <w:shd w:fill="FDF1E7" w:color="auto" w:val="clear"/>
            <w:tcMar>
              <w:top w:type="dxa" w:w="70"/>
              <w:left w:type="dxa" w:w="110"/>
              <w:bottom w:type="dxa" w:w="70"/>
              <w:right w:type="dxa" w:w="110"/>
            </w:tcMar>
            <w:vAlign w:val="center"/>
          </w:tcPr>
          <w:p>
            <w:pPr>
              <w:spacing w:after="0" w:line="240"/>
            </w:pPr>
            <w:r>
              <w:rPr>
                <w:sz w:val="19"/>
                <w:szCs w:val="19"/>
              </w:rPr>
              <w:t xml:space="preserve">Magazyn obiektowy</w:t>
            </w:r>
          </w:p>
        </w:tc>
        <w:tc>
          <w:tcPr>
            <w:tcW w:type="dxa" w:w="4300"/>
            <w:shd w:fill="FDF1E7" w:color="auto" w:val="clear"/>
            <w:tcMar>
              <w:top w:type="dxa" w:w="70"/>
              <w:left w:type="dxa" w:w="110"/>
              <w:bottom w:type="dxa" w:w="70"/>
              <w:right w:type="dxa" w:w="110"/>
            </w:tcMar>
            <w:vAlign w:val="center"/>
          </w:tcPr>
          <w:p>
            <w:pPr>
              <w:spacing w:after="0" w:line="240"/>
            </w:pPr>
            <w:r>
              <w:rPr>
                <w:sz w:val="19"/>
                <w:szCs w:val="19"/>
              </w:rPr>
              <w:t xml:space="preserve">Archiwum plików źródłowych i artefaktów indeksu poza maszyną roboczą</w:t>
            </w:r>
          </w:p>
        </w:tc>
        <w:tc>
          <w:tcPr>
            <w:tcW w:type="dxa" w:w="2826"/>
            <w:shd w:fill="FDF1E7" w:color="auto" w:val="clear"/>
            <w:tcMar>
              <w:top w:type="dxa" w:w="70"/>
              <w:left w:type="dxa" w:w="110"/>
              <w:bottom w:type="dxa" w:w="70"/>
              <w:right w:type="dxa" w:w="110"/>
            </w:tcMar>
            <w:vAlign w:val="center"/>
          </w:tcPr>
          <w:p>
            <w:pPr>
              <w:spacing w:after="0" w:line="240"/>
            </w:pPr>
            <w:r>
              <w:rPr>
                <w:sz w:val="19"/>
                <w:szCs w:val="19"/>
              </w:rPr>
              <w:t xml:space="preserve">NIEWDROŻONE — usługa zadeklarowana w konfiguracji uruchomieniowej, ale nic z niej nie korzysta. Funkcję pełni od 9.08.2026 kopia na osobnym serwerze, przenoszona ręcznie; docelowy magazyn i automatyzacja pozostają do wykonania</w:t>
            </w:r>
          </w:p>
        </w:tc>
      </w:tr>
    </w:tbl>
    <w:p>
      <w:pPr>
        <w:spacing w:after="160"/>
      </w:pPr>
    </w:p>
    <w:p>
      <w:pPr>
        <w:spacing w:after="120" w:line="276"/>
      </w:pPr>
      <w:r>
        <w:rPr>
          <w:b/>
          <w:bCs/>
          <w:sz w:val="21"/>
          <w:szCs w:val="21"/>
        </w:rPr>
        <w:t xml:space="preserve">Rozwiązania świadomie odrzucone: </w:t>
      </w:r>
      <w:r>
        <w:rPr>
          <w:sz w:val="21"/>
          <w:szCs w:val="21"/>
        </w:rPr>
        <w:t xml:space="preserve">MongoDB (brak zastosowania — model danych jest relacyjny), kolejka komunikatów w pierwszej wersji (proces aktualizacji nie wymaga brokera), zewnętrzne silniki wyszukiwania takie jak Elasticsearch czy Meilisearch (dodają infrastrukturę do problemu rozwiązanego w pamięci procesu).</w:t>
      </w:r>
    </w:p>
    <w:p>
      <w:pPr>
        <w:pStyle w:val="Heading2"/>
        <w:spacing w:after="140" w:before="280"/>
      </w:pPr>
      <w:r>
        <w:t xml:space="preserve">5.4. Interfejs udostępniany aplikacjom</w:t>
      </w:r>
    </w:p>
    <w:p>
      <w:pPr>
        <w:spacing w:after="120" w:line="276"/>
      </w:pPr>
      <w:r>
        <w:rPr>
          <w:sz w:val="21"/>
          <w:szCs w:val="21"/>
        </w:rPr>
        <w:t xml:space="preserve">Mikroserwis udostępnia interfejs REST. Poniższa tabela opisuje zakres funkcjonalny w ujęciu produktowym. Wiążącym kontraktem dla zespołów integrujących jest od 9 sierpnia 2026 formalna specyfikacja OpenAPI, dostarczana wraz z serwisem: podaje metody, ścieżki, parametry, kody odpowiedzi i przykłady dla wszystkich piętnastu tras.</w:t>
      </w:r>
    </w:p>
    <w:p>
      <w:pPr>
        <w:spacing w:after="120" w:line="276"/>
      </w:pPr>
      <w:r>
        <w:rPr>
          <w:sz w:val="21"/>
          <w:szCs w:val="21"/>
        </w:rPr>
        <w:t xml:space="preserve">Kształty odpowiedzi w specyfikacji zdjęto z odpytania działającej usługi na pełnych danych krajowych, a nie z lektury kodu. Zgodności pilnuje test porównujący ją z trasami faktycznie zarejestrowanymi w serwisie — w obie strony, więc ani nowy punkt końcowy nie przejdzie nieudokumentowany, ani specyfikacja nie opisze czegoś, czego nie 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100"/>
        <w:gridCol w:w="2226"/>
      </w:tblGrid>
      <w:tr>
        <w:trPr>
          <w:tblHeader/>
        </w:trPr>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Funkcja</w:t>
            </w:r>
          </w:p>
        </w:tc>
        <w:tc>
          <w:tcPr>
            <w:tcW w:type="dxa" w:w="4100"/>
            <w:shd w:fill="E8EDF2" w:color="auto" w:val="clear"/>
            <w:tcMar>
              <w:top w:type="dxa" w:w="70"/>
              <w:left w:type="dxa" w:w="110"/>
              <w:bottom w:type="dxa" w:w="70"/>
              <w:right w:type="dxa" w:w="110"/>
            </w:tcMar>
            <w:vAlign w:val="center"/>
          </w:tcPr>
          <w:p>
            <w:pPr>
              <w:spacing w:after="0" w:line="240"/>
            </w:pPr>
            <w:r>
              <w:rPr>
                <w:b/>
                <w:bCs/>
                <w:sz w:val="19"/>
                <w:szCs w:val="19"/>
              </w:rPr>
              <w:t xml:space="preserve">Przeznaczenie</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Źródło danych</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uniwersalne</w:t>
            </w:r>
          </w:p>
        </w:tc>
        <w:tc>
          <w:tcPr>
            <w:tcW w:type="dxa" w:w="4100"/>
            <w:tcMar>
              <w:top w:type="dxa" w:w="70"/>
              <w:left w:type="dxa" w:w="110"/>
              <w:bottom w:type="dxa" w:w="70"/>
              <w:right w:type="dxa" w:w="110"/>
            </w:tcMar>
            <w:vAlign w:val="center"/>
          </w:tcPr>
          <w:p>
            <w:pPr>
              <w:spacing w:after="0" w:line="240"/>
            </w:pPr>
            <w:r>
              <w:rPr>
                <w:sz w:val="19"/>
                <w:szCs w:val="19"/>
              </w:rPr>
              <w:t xml:space="preserve">Pojedyncze pole „zacznij pisać adres” — miejscowości i ulice łącznie</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Podpowiedzi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Pole „miejscowość”</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tcMar>
              <w:top w:type="dxa" w:w="70"/>
              <w:left w:type="dxa" w:w="110"/>
              <w:bottom w:type="dxa" w:w="70"/>
              <w:right w:type="dxa" w:w="110"/>
            </w:tcMar>
            <w:vAlign w:val="center"/>
          </w:tcPr>
          <w:p>
            <w:pPr>
              <w:spacing w:after="0" w:line="240"/>
            </w:pPr>
            <w:r>
              <w:rPr>
                <w:sz w:val="19"/>
                <w:szCs w:val="19"/>
              </w:rPr>
              <w:t xml:space="preserve">Podpowiedzi ulic</w:t>
            </w:r>
          </w:p>
        </w:tc>
        <w:tc>
          <w:tcPr>
            <w:tcW w:type="dxa" w:w="4100"/>
            <w:tcMar>
              <w:top w:type="dxa" w:w="70"/>
              <w:left w:type="dxa" w:w="110"/>
              <w:bottom w:type="dxa" w:w="70"/>
              <w:right w:type="dxa" w:w="110"/>
            </w:tcMar>
            <w:vAlign w:val="center"/>
          </w:tcPr>
          <w:p>
            <w:pPr>
              <w:spacing w:after="0" w:line="240"/>
            </w:pPr>
            <w:r>
              <w:rPr>
                <w:sz w:val="19"/>
                <w:szCs w:val="19"/>
              </w:rPr>
              <w:t xml:space="preserve">Pole „ulica”, zawężone do wybranej miejscowości</w:t>
            </w:r>
          </w:p>
        </w:tc>
        <w:tc>
          <w:tcPr>
            <w:tcW w:type="dxa" w:w="2226"/>
            <w:tcMar>
              <w:top w:type="dxa" w:w="70"/>
              <w:left w:type="dxa" w:w="110"/>
              <w:bottom w:type="dxa" w:w="70"/>
              <w:right w:type="dxa" w:w="110"/>
            </w:tcMar>
            <w:vAlign w:val="center"/>
          </w:tcPr>
          <w:p>
            <w:pPr>
              <w:spacing w:after="0" w:line="240"/>
            </w:pPr>
            <w:r>
              <w:rPr>
                <w:sz w:val="19"/>
                <w:szCs w:val="19"/>
              </w:rPr>
              <w:t xml:space="preserve">Indeks w pamięci</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Szczegóły miejscowości</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Zwraca m.in. znacznik występowania ulic sterujący formularzem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Numery budynków</w:t>
            </w:r>
          </w:p>
        </w:tc>
        <w:tc>
          <w:tcPr>
            <w:tcW w:type="dxa" w:w="4100"/>
            <w:tcMar>
              <w:top w:type="dxa" w:w="70"/>
              <w:left w:type="dxa" w:w="110"/>
              <w:bottom w:type="dxa" w:w="70"/>
              <w:right w:type="dxa" w:w="110"/>
            </w:tcMar>
            <w:vAlign w:val="center"/>
          </w:tcPr>
          <w:p>
            <w:pPr>
              <w:spacing w:after="0" w:line="240"/>
            </w:pPr>
            <w:r>
              <w:rPr>
                <w:sz w:val="19"/>
                <w:szCs w:val="19"/>
              </w:rPr>
              <w:t xml:space="preserve">Lista numerów na wybranej ulicy lub w miejscowości bez ulic</w:t>
            </w:r>
          </w:p>
        </w:tc>
        <w:tc>
          <w:tcPr>
            <w:tcW w:type="dxa" w:w="2226"/>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Kod pocztowy</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Kod dla konkretnego adresu; w razie braku — kod dominujący na ulicy z oznaczeniem</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Rozbiór adresu</w:t>
            </w:r>
          </w:p>
        </w:tc>
        <w:tc>
          <w:tcPr>
            <w:tcW w:type="dxa" w:w="4100"/>
            <w:tcMar>
              <w:top w:type="dxa" w:w="70"/>
              <w:left w:type="dxa" w:w="110"/>
              <w:bottom w:type="dxa" w:w="70"/>
              <w:right w:type="dxa" w:w="110"/>
            </w:tcMar>
            <w:vAlign w:val="center"/>
          </w:tcPr>
          <w:p>
            <w:pPr>
              <w:spacing w:after="0" w:line="240"/>
            </w:pPr>
            <w:r>
              <w:rPr>
                <w:sz w:val="19"/>
                <w:szCs w:val="19"/>
              </w:rPr>
              <w:t xml:space="preserve">Rozdzielenie ciągu tekstowego na pola, bez odpytywania rejestru</w:t>
            </w:r>
          </w:p>
        </w:tc>
        <w:tc>
          <w:tcPr>
            <w:tcW w:type="dxa" w:w="2226"/>
            <w:tcMar>
              <w:top w:type="dxa" w:w="70"/>
              <w:left w:type="dxa" w:w="110"/>
              <w:bottom w:type="dxa" w:w="70"/>
              <w:right w:type="dxa" w:w="110"/>
            </w:tcMar>
            <w:vAlign w:val="center"/>
          </w:tcPr>
          <w:p>
            <w:pPr>
              <w:spacing w:after="0" w:line="240"/>
            </w:pPr>
            <w:r>
              <w:rPr>
                <w:sz w:val="19"/>
                <w:szCs w:val="19"/>
              </w:rPr>
              <w:t xml:space="preserve">Reguły lokalne</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Walidacja adresu</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Pełna weryfikacja z poziomem pewności i listą uwag</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tcMar>
              <w:top w:type="dxa" w:w="70"/>
              <w:left w:type="dxa" w:w="110"/>
              <w:bottom w:type="dxa" w:w="70"/>
              <w:right w:type="dxa" w:w="110"/>
            </w:tcMar>
            <w:vAlign w:val="center"/>
          </w:tcPr>
          <w:p>
            <w:pPr>
              <w:spacing w:after="0" w:line="240"/>
            </w:pPr>
            <w:r>
              <w:rPr>
                <w:sz w:val="19"/>
                <w:szCs w:val="19"/>
              </w:rPr>
              <w:t xml:space="preserve">Walidacja wsadowa (synchroniczna)</w:t>
            </w:r>
          </w:p>
        </w:tc>
        <w:tc>
          <w:tcPr>
            <w:tcW w:type="dxa" w:w="4100"/>
            <w:tcMar>
              <w:top w:type="dxa" w:w="70"/>
              <w:left w:type="dxa" w:w="110"/>
              <w:bottom w:type="dxa" w:w="70"/>
              <w:right w:type="dxa" w:w="110"/>
            </w:tcMar>
            <w:vAlign w:val="center"/>
          </w:tcPr>
          <w:p>
            <w:pPr>
              <w:spacing w:after="0" w:line="240"/>
            </w:pPr>
            <w:r>
              <w:rPr>
                <w:sz w:val="19"/>
                <w:szCs w:val="19"/>
              </w:rPr>
              <w:t xml:space="preserve">Do 1000 adresów przekazanych w treści żądania. Bez wysyłki pliku i bez kolejki — przetwarzanie sekwencyjne w jednym żądaniu HTTP</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r>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Geokodowanie odwrotne</w:t>
            </w:r>
          </w:p>
        </w:tc>
        <w:tc>
          <w:tcPr>
            <w:tcW w:type="dxa" w:w="4100"/>
            <w:shd w:fill="F5F7F9" w:color="auto" w:val="clear"/>
            <w:tcMar>
              <w:top w:type="dxa" w:w="70"/>
              <w:left w:type="dxa" w:w="110"/>
              <w:bottom w:type="dxa" w:w="70"/>
              <w:right w:type="dxa" w:w="110"/>
            </w:tcMar>
            <w:vAlign w:val="center"/>
          </w:tcPr>
          <w:p>
            <w:pPr>
              <w:spacing w:after="0" w:line="240"/>
            </w:pPr>
            <w:r>
              <w:rPr>
                <w:sz w:val="19"/>
                <w:szCs w:val="19"/>
              </w:rPr>
              <w:t xml:space="preserve">Najbliższy adres dla podanych współrzędnych</w:t>
            </w:r>
          </w:p>
        </w:tc>
        <w:tc>
          <w:tcPr>
            <w:tcW w:type="dxa" w:w="2226"/>
            <w:shd w:fill="F5F7F9" w:color="auto" w:val="clear"/>
            <w:tcMar>
              <w:top w:type="dxa" w:w="70"/>
              <w:left w:type="dxa" w:w="110"/>
              <w:bottom w:type="dxa" w:w="70"/>
              <w:right w:type="dxa" w:w="110"/>
            </w:tcMar>
            <w:vAlign w:val="center"/>
          </w:tcPr>
          <w:p>
            <w:pPr>
              <w:spacing w:after="0" w:line="240"/>
            </w:pPr>
            <w:r>
              <w:rPr>
                <w:sz w:val="19"/>
                <w:szCs w:val="19"/>
              </w:rPr>
              <w:t xml:space="preserve">Baza danych</w:t>
            </w:r>
          </w:p>
        </w:tc>
      </w:tr>
      <w:tr>
        <w:tc>
          <w:tcPr>
            <w:tcW w:type="dxa" w:w="2700"/>
            <w:tcMar>
              <w:top w:type="dxa" w:w="70"/>
              <w:left w:type="dxa" w:w="110"/>
              <w:bottom w:type="dxa" w:w="70"/>
              <w:right w:type="dxa" w:w="110"/>
            </w:tcMar>
            <w:vAlign w:val="center"/>
          </w:tcPr>
          <w:p>
            <w:pPr>
              <w:spacing w:after="0" w:line="240"/>
            </w:pPr>
            <w:r>
              <w:rPr>
                <w:sz w:val="19"/>
                <w:szCs w:val="19"/>
              </w:rPr>
              <w:t xml:space="preserve">Metadane zbioru</w:t>
            </w:r>
          </w:p>
        </w:tc>
        <w:tc>
          <w:tcPr>
            <w:tcW w:type="dxa" w:w="4100"/>
            <w:tcMar>
              <w:top w:type="dxa" w:w="70"/>
              <w:left w:type="dxa" w:w="110"/>
              <w:bottom w:type="dxa" w:w="70"/>
              <w:right w:type="dxa" w:w="110"/>
            </w:tcMar>
            <w:vAlign w:val="center"/>
          </w:tcPr>
          <w:p>
            <w:pPr>
              <w:spacing w:after="0" w:line="240"/>
            </w:pPr>
            <w:r>
              <w:rPr>
                <w:sz w:val="19"/>
                <w:szCs w:val="19"/>
              </w:rPr>
              <w:t xml:space="preserve">Wersja danych, data ostatniego zrzutu, ostrzeżenie o przeterminowaniu</w:t>
            </w:r>
          </w:p>
        </w:tc>
        <w:tc>
          <w:tcPr>
            <w:tcW w:type="dxa" w:w="2226"/>
            <w:tcMar>
              <w:top w:type="dxa" w:w="70"/>
              <w:left w:type="dxa" w:w="110"/>
              <w:bottom w:type="dxa" w:w="70"/>
              <w:right w:type="dxa" w:w="110"/>
            </w:tcMar>
            <w:vAlign w:val="center"/>
          </w:tcPr>
          <w:p>
            <w:pPr>
              <w:spacing w:after="0" w:line="240"/>
            </w:pPr>
            <w:r>
              <w:rPr>
                <w:sz w:val="19"/>
                <w:szCs w:val="19"/>
              </w:rPr>
              <w:t xml:space="preserve">Indeks + baza</w:t>
            </w:r>
          </w:p>
        </w:tc>
      </w:tr>
    </w:tbl>
    <w:p>
      <w:pPr>
        <w:spacing w:after="160"/>
      </w:pPr>
    </w:p>
    <w:p>
      <w:pPr>
        <w:spacing w:after="120" w:line="276"/>
      </w:pPr>
      <w:r>
        <w:rPr>
          <w:sz w:val="21"/>
          <w:szCs w:val="21"/>
        </w:rPr>
        <w:t xml:space="preserve">Poza przestrzenią /v1 serwis udostępnia cztery punkty operacyjne: sondę żywotności, sondę gotowości, 17 metryk w formacie Prometheusa oraz czytelny dla człowieka podgląd stanu z gotowymi ostrzeżeniami. Razem daje to 15 punktów końcowych.</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Uwaga dla analityka: dwa liczniki wieku danych, ta sama liczba 30 dni</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Funkcja metadanych zwraca ostrzeżenie, gdy najnowszy zrzut ma ponad 30 dni. Liczy jednak wiek ostatniego POBRANEGO pliku dowolnego źródła — pobranie słowników TERYT albo paczki odrzuconej potem przez kontrole jakości wygasza to ostrzeżenie, mimo że dane produkcyjne stoją.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Do monitorowania należy użyć metryki wieku danych z punktu /metrics, która liczy wiek ostatniego OPUBLIKOWANEGO zrzutu PRG. To ona odpowiada scenariuszowi z czerwca 2024 roku.</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Wyrównanie obu mechanizmów jest pozycją w planie prac. Do tego czasu ostrzeżenie z funkcji metadanych należy traktować jako informację dla aplikacji, a nie jako sygnał operacyjny.</w:t>
      </w:r>
    </w:p>
    <w:p>
      <w:pPr>
        <w:spacing w:after="180"/>
      </w:pPr>
    </w:p>
    <w:p>
      <w:pPr>
        <w:pStyle w:val="Heading2"/>
        <w:spacing w:after="140" w:before="280"/>
      </w:pPr>
      <w:r>
        <w:t xml:space="preserve">5.5. Bezpieczeństwo dostępu — stan obecny</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Zamknięte 8.08.2026: możliwość obejścia limitowania zapytań</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Do 8 sierpnia 2026 kluczem limitowania był nagłówek klucza API, z odwrotem na adres sieciowy klienta. Nagłówka nikt nie weryfikował, więc klient wysyłający przy każdym żądaniu losową wartość otrzymywał świeży licznik i całkowicie omijał limitowanie. Nie był to brak funkcji, lecz działający mechanizm obejścia.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Limitowanie idzie teraz wyłącznie po adresie klienta. Zaufanie do nagłówków warstwy wejściowej jest domyślnie wyłączone i wymaga jawnej konfiguracji — inaczej klient mógłby podać własny adres, czyli własny klucz limitowania, i luka wróciłaby innymi drzwiami. Zachowanie zabezpiecza test regresji.</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Uwaga wdrożeniowa: przy pracy za warstwą wejściową trzeba tę konfigurację ustawić, bo bez niej cały ruch trafia do jednego kubełka i limit obejmuje całą instalację zamiast pojedynczego klienta.</w:t>
      </w:r>
    </w:p>
    <w:p>
      <w:pPr>
        <w:spacing w:after="18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Pozostaje otwarte: serwis nie uwierzytelnia klientów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W mikroserwisie nadal nie ma mechanizmu weryfikacji tożsamości klienta. Nagłówek klucza API nie jest z niczym porównywany i nie pełni już żadnej funkcji.</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Konsekwencja jest produktowa, nie tylko techniczna: bez zweryfikowanej tożsamości nie da się nadać klientom różnych limitów, rozliczyć ruchu ani odciąć pojedynczego odbiorcy. Wszyscy dzielą jeden limit liczony po adresie sieciowym.</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Dodatkowo liczniki limitera żyją w pamięci pojedynczej instancji, więc przy kilku replikach efektywny limit mnoży się przez ich liczbę, a polityka pochodzenia zapytań (CORS) domyślnie dopuszcza dowolne źródło.</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Wniosek pozostaje w mocy: do czasu wdrożenia kluczy API z licencjami serwis nie powinien być wystawiany poza sieć wewnętrzną Zamawiającego.</w:t>
      </w:r>
    </w:p>
    <w:p>
      <w:pPr>
        <w:spacing w:after="180"/>
      </w:pPr>
    </w:p>
    <w:p>
      <w:pPr>
        <w:spacing w:after="120" w:line="276"/>
      </w:pPr>
      <w:r>
        <w:rPr>
          <w:b/>
          <w:bCs/>
          <w:sz w:val="21"/>
          <w:szCs w:val="21"/>
        </w:rPr>
        <w:t xml:space="preserve">Pełne rozwiązanie — 9–11 dni. </w:t>
      </w:r>
      <w:r>
        <w:rPr>
          <w:sz w:val="21"/>
          <w:szCs w:val="21"/>
        </w:rPr>
        <w:t xml:space="preserve">Klucze API z terminem ważności, limitami i licencjami, wraz z limitowaniem współdzielonym między instancjami, opisano w rozdziale 10 jako etap komercjalizacji. Dopiero wtedy kluczem limitowania może ponownie stać się tożsamość klienta — wyłącznie taka, która została wcześniej zweryfikowana.</w:t>
      </w:r>
    </w:p>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Prace rozpoczęte 9.08.2026 — fundament gotowy, obsługa żądania nietknięta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Powstał model danych klientów i kluczy w wydzielonym obszarze bazy, celowo bez powiązań w stronę danych adresowych: rutynowe czyszczenie danych testowych kasowałoby przez zależność poświadczenia klientów.</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Ustalono postać klucza — stała długość, rozpoznawalny przedrostek i suma kontrolna pozwalająca odrzucić błędny klucz bez sięgania do bazy. Suma jest liczona bez sekretu, celowo: zewnętrzne usługi wykrywające wycieki poświadczeń w publicznych repozytoriach muszą umieć rozpoznać nasz klucz, nie znając naszego sekretu.</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Klucze są przechowywane jako skrót z sekretem trzymanym poza bazą, w postaci pozwalającej na wymianę sekretu bez przerwy w działaniu. Zrzut bazy jest z założenia bezużyteczny do podszycia się pod klienta.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Powstała replika rejestru kluczy w pamięci procesu, dzięki czemu sprawdzenie klucza nie wymaga zapytania do bazy. Ma to trzy konsekwencje: zgadywanie kluczy nie obciąża bazy, awaria bazy nie zatrzymuje weryfikacji, a unieważnienie klucza dociera do instancji dwiema niezależnymi drogami — natychmiastową i gwarantowaną.</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Wykonano też pomiar kosztu, zanim powstał kod, którego koszt ma być mierzony. Wynik jest sam w sobie istotny: wymaganie „nie więcej niż +0,3 ms do 99. percentyla” jest niemierzalne przy krótkich seriach — próg leży poniżej szumu przyrządu. Wiarygodny pomiar wymaga ok. 180 tysięcy żądań na serię, a i wtedy zapas nad progiem waha się kilkukrotnie między przebiegami.</w:t>
      </w:r>
    </w:p>
    <w:p>
      <w:pPr>
        <w:spacing w:after="180"/>
      </w:pPr>
    </w:p>
    <w:p>
      <w:pPr>
        <w:spacing w:after="160"/>
      </w:pPr>
    </w:p>
    <w:p>
      <w:pPr>
        <w:spacing w:after="120" w:line="276"/>
      </w:pPr>
      <w:r>
        <w:rPr>
          <w:b/>
          <w:bCs/>
          <w:sz w:val="21"/>
          <w:szCs w:val="21"/>
        </w:rPr>
        <w:t xml:space="preserve">Przy okazji zamknięto dwie luki spoza zakresu tych prac: </w:t>
      </w:r>
      <w:r>
        <w:rPr>
          <w:sz w:val="21"/>
          <w:szCs w:val="21"/>
        </w:rPr>
        <w:t xml:space="preserve">plik z poświadczeniami nie był wykluczony ani z repozytorium, ani z obrazu kontenera — pojedyncze rutynowe polecenie wystarczyłoby, żeby sekrety trafiły do historii repozytorium, a budowanie obrazu wpiekłoby je w warstwę wysyłaną do rejestru. Osobno okazało się, że narzędzie wgrywające zmiany schematu bazy kończyło się powodzeniem mimo błędów w środku pliku, więc kryterium „migracja przeszła” dawało się spełnić przez pomyłkę.</w:t>
      </w:r>
    </w:p>
    <w:p>
      <w:r>
        <w:br w:type="page"/>
      </w:r>
    </w:p>
    <w:p>
      <w:pPr>
        <w:pStyle w:val="Heading1"/>
        <w:spacing w:after="180" w:before="360"/>
      </w:pPr>
      <w:r>
        <w:t xml:space="preserve">6. Model danych i reguły — dla analityka</w:t>
      </w:r>
    </w:p>
    <w:p>
      <w:pPr>
        <w:pStyle w:val="Heading2"/>
        <w:spacing w:after="140" w:before="280"/>
      </w:pPr>
      <w:r>
        <w:t xml:space="preserve">6.1. Encje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3900"/>
        <w:gridCol w:w="1926"/>
      </w:tblGrid>
      <w:tr>
        <w:trPr>
          <w:tblHeader/>
        </w:trPr>
        <w:tc>
          <w:tcPr>
            <w:tcW w:type="dxa" w:w="1700"/>
            <w:shd w:fill="E8EDF2" w:color="auto" w:val="clear"/>
            <w:tcMar>
              <w:top w:type="dxa" w:w="70"/>
              <w:left w:type="dxa" w:w="110"/>
              <w:bottom w:type="dxa" w:w="70"/>
              <w:right w:type="dxa" w:w="110"/>
            </w:tcMar>
            <w:vAlign w:val="center"/>
          </w:tcPr>
          <w:p>
            <w:pPr>
              <w:spacing w:after="0" w:line="240"/>
            </w:pPr>
            <w:r>
              <w:rPr>
                <w:b/>
                <w:bCs/>
                <w:sz w:val="19"/>
                <w:szCs w:val="19"/>
              </w:rPr>
              <w:t xml:space="preserve">Encja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Klucz główny</w:t>
            </w:r>
          </w:p>
        </w:tc>
        <w:tc>
          <w:tcPr>
            <w:tcW w:type="dxa" w:w="39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1926"/>
            <w:shd w:fill="E8EDF2" w:color="auto" w:val="clear"/>
            <w:tcMar>
              <w:top w:type="dxa" w:w="70"/>
              <w:left w:type="dxa" w:w="110"/>
              <w:bottom w:type="dxa" w:w="70"/>
              <w:right w:type="dxa" w:w="110"/>
            </w:tcMar>
            <w:vAlign w:val="center"/>
          </w:tcPr>
          <w:p>
            <w:pPr>
              <w:spacing w:after="0" w:line="240"/>
            </w:pPr>
            <w:r>
              <w:rPr>
                <w:b/>
                <w:bCs/>
                <w:sz w:val="19"/>
                <w:szCs w:val="19"/>
              </w:rPr>
              <w:t xml:space="preserve">Liczność docelowa</w:t>
            </w:r>
          </w:p>
        </w:tc>
      </w:tr>
      <w:tr>
        <w:tc>
          <w:tcPr>
            <w:tcW w:type="dxa" w:w="1700"/>
            <w:tcMar>
              <w:top w:type="dxa" w:w="70"/>
              <w:left w:type="dxa" w:w="110"/>
              <w:bottom w:type="dxa" w:w="70"/>
              <w:right w:type="dxa" w:w="110"/>
            </w:tcMar>
            <w:vAlign w:val="center"/>
          </w:tcPr>
          <w:p>
            <w:pPr>
              <w:spacing w:after="0" w:line="240"/>
            </w:pPr>
            <w:r>
              <w:rPr>
                <w:sz w:val="19"/>
                <w:szCs w:val="19"/>
              </w:rPr>
              <w:t xml:space="preserve">Jednostka TERYT</w:t>
            </w:r>
          </w:p>
        </w:tc>
        <w:tc>
          <w:tcPr>
            <w:tcW w:type="dxa" w:w="1500"/>
            <w:tcMar>
              <w:top w:type="dxa" w:w="70"/>
              <w:left w:type="dxa" w:w="110"/>
              <w:bottom w:type="dxa" w:w="70"/>
              <w:right w:type="dxa" w:w="110"/>
            </w:tcMar>
            <w:vAlign w:val="center"/>
          </w:tcPr>
          <w:p>
            <w:pPr>
              <w:spacing w:after="0" w:line="240"/>
            </w:pPr>
            <w:r>
              <w:rPr>
                <w:sz w:val="19"/>
                <w:szCs w:val="19"/>
              </w:rPr>
              <w:t xml:space="preserve">TERC (7 znaków)</w:t>
            </w:r>
          </w:p>
        </w:tc>
        <w:tc>
          <w:tcPr>
            <w:tcW w:type="dxa" w:w="3900"/>
            <w:tcMar>
              <w:top w:type="dxa" w:w="70"/>
              <w:left w:type="dxa" w:w="110"/>
              <w:bottom w:type="dxa" w:w="70"/>
              <w:right w:type="dxa" w:w="110"/>
            </w:tcMar>
            <w:vAlign w:val="center"/>
          </w:tcPr>
          <w:p>
            <w:pPr>
              <w:spacing w:after="0" w:line="240"/>
            </w:pPr>
            <w:r>
              <w:rPr>
                <w:sz w:val="19"/>
                <w:szCs w:val="19"/>
              </w:rPr>
              <w:t xml:space="preserve">Województwo, powiat, gmina — hierarchia</w:t>
            </w:r>
          </w:p>
        </w:tc>
        <w:tc>
          <w:tcPr>
            <w:tcW w:type="dxa" w:w="1926"/>
            <w:tcMar>
              <w:top w:type="dxa" w:w="70"/>
              <w:left w:type="dxa" w:w="110"/>
              <w:bottom w:type="dxa" w:w="70"/>
              <w:right w:type="dxa" w:w="110"/>
            </w:tcMar>
            <w:vAlign w:val="center"/>
          </w:tcPr>
          <w:p>
            <w:pPr>
              <w:spacing w:after="0" w:line="240"/>
            </w:pPr>
            <w:r>
              <w:rPr>
                <w:sz w:val="19"/>
                <w:szCs w:val="19"/>
              </w:rPr>
              <w:t xml:space="preserve">ok. 3 tys.</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Miejscowość</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SIMC (7 znaków)</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Nazwa, rodzaj, gmina, centroid, znacznik występowania ulic</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103 tys.</w:t>
            </w:r>
          </w:p>
        </w:tc>
      </w:tr>
      <w:tr>
        <w:tc>
          <w:tcPr>
            <w:tcW w:type="dxa" w:w="1700"/>
            <w:tcMar>
              <w:top w:type="dxa" w:w="70"/>
              <w:left w:type="dxa" w:w="110"/>
              <w:bottom w:type="dxa" w:w="70"/>
              <w:right w:type="dxa" w:w="110"/>
            </w:tcMar>
            <w:vAlign w:val="center"/>
          </w:tcPr>
          <w:p>
            <w:pPr>
              <w:spacing w:after="0" w:line="240"/>
            </w:pPr>
            <w:r>
              <w:rPr>
                <w:sz w:val="19"/>
                <w:szCs w:val="19"/>
              </w:rPr>
              <w:t xml:space="preserve">Ulica</w:t>
            </w:r>
          </w:p>
        </w:tc>
        <w:tc>
          <w:tcPr>
            <w:tcW w:type="dxa" w:w="1500"/>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tcMar>
              <w:top w:type="dxa" w:w="70"/>
              <w:left w:type="dxa" w:w="110"/>
              <w:bottom w:type="dxa" w:w="70"/>
              <w:right w:type="dxa" w:w="110"/>
            </w:tcMar>
            <w:vAlign w:val="center"/>
          </w:tcPr>
          <w:p>
            <w:pPr>
              <w:spacing w:after="0" w:line="240"/>
            </w:pPr>
            <w:r>
              <w:rPr>
                <w:sz w:val="19"/>
                <w:szCs w:val="19"/>
              </w:rPr>
              <w:t xml:space="preserve">Cecha, nazwa oficjalna, nazwa potoczna, powiązanie z miejscowością. Encja scala katalog TERYT z ulicami występującymi wyłącznie w PRG</w:t>
            </w:r>
          </w:p>
        </w:tc>
        <w:tc>
          <w:tcPr>
            <w:tcW w:type="dxa" w:w="1926"/>
            <w:tcMar>
              <w:top w:type="dxa" w:w="70"/>
              <w:left w:type="dxa" w:w="110"/>
              <w:bottom w:type="dxa" w:w="70"/>
              <w:right w:type="dxa" w:w="110"/>
            </w:tcMar>
            <w:vAlign w:val="center"/>
          </w:tcPr>
          <w:p>
            <w:pPr>
              <w:spacing w:after="0" w:line="240"/>
            </w:pPr>
            <w:r>
              <w:rPr>
                <w:sz w:val="19"/>
                <w:szCs w:val="19"/>
              </w:rPr>
              <w:t xml:space="preserve">ponad 385 tys. — rośnie wraz z przetwarzaniem kolejnych województw</w:t>
            </w:r>
          </w:p>
        </w:tc>
      </w:tr>
      <w:tr>
        <w:tc>
          <w:tcPr>
            <w:tcW w:type="dxa" w:w="17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1500"/>
            <w:shd w:fill="F5F7F9" w:color="auto" w:val="clear"/>
            <w:tcMar>
              <w:top w:type="dxa" w:w="70"/>
              <w:left w:type="dxa" w:w="110"/>
              <w:bottom w:type="dxa" w:w="70"/>
              <w:right w:type="dxa" w:w="110"/>
            </w:tcMar>
            <w:vAlign w:val="center"/>
          </w:tcPr>
          <w:p>
            <w:pPr>
              <w:spacing w:after="0" w:line="240"/>
            </w:pPr>
            <w:r>
              <w:rPr>
                <w:sz w:val="19"/>
                <w:szCs w:val="19"/>
              </w:rPr>
              <w:t xml:space="preserve">identyfikator wewnętrzny</w:t>
            </w:r>
          </w:p>
        </w:tc>
        <w:tc>
          <w:tcPr>
            <w:tcW w:type="dxa" w:w="3900"/>
            <w:shd w:fill="F5F7F9" w:color="auto" w:val="clear"/>
            <w:tcMar>
              <w:top w:type="dxa" w:w="70"/>
              <w:left w:type="dxa" w:w="110"/>
              <w:bottom w:type="dxa" w:w="70"/>
              <w:right w:type="dxa" w:w="110"/>
            </w:tcMar>
            <w:vAlign w:val="center"/>
          </w:tcPr>
          <w:p>
            <w:pPr>
              <w:spacing w:after="0" w:line="240"/>
            </w:pPr>
            <w:r>
              <w:rPr>
                <w:sz w:val="19"/>
                <w:szCs w:val="19"/>
              </w:rPr>
              <w:t xml:space="preserve">Numer budynku, kod pocztowy, współrzędne, status</w:t>
            </w:r>
          </w:p>
        </w:tc>
        <w:tc>
          <w:tcPr>
            <w:tcW w:type="dxa" w:w="1926"/>
            <w:shd w:fill="F5F7F9" w:color="auto" w:val="clear"/>
            <w:tcMar>
              <w:top w:type="dxa" w:w="70"/>
              <w:left w:type="dxa" w:w="110"/>
              <w:bottom w:type="dxa" w:w="70"/>
              <w:right w:type="dxa" w:w="110"/>
            </w:tcMar>
            <w:vAlign w:val="center"/>
          </w:tcPr>
          <w:p>
            <w:pPr>
              <w:spacing w:after="0" w:line="240"/>
            </w:pPr>
            <w:r>
              <w:rPr>
                <w:sz w:val="19"/>
                <w:szCs w:val="19"/>
              </w:rPr>
              <w:t xml:space="preserve">ok. 8,56 mln</w:t>
            </w:r>
          </w:p>
        </w:tc>
      </w:tr>
    </w:tbl>
    <w:p>
      <w:pPr>
        <w:spacing w:after="160"/>
      </w:pPr>
    </w:p>
    <w:p>
      <w:pPr>
        <w:spacing w:after="120" w:line="276"/>
      </w:pPr>
      <w:r>
        <w:rPr>
          <w:sz w:val="21"/>
          <w:szCs w:val="21"/>
        </w:rPr>
        <w:t xml:space="preserve">Trzy rozwiązania w modelu wymagają wyjaśnienia, ponieważ nie są oczywiste:</w:t>
      </w:r>
    </w:p>
    <w:p>
      <w:pPr>
        <w:pStyle w:val="ListParagraph"/>
        <w:numPr>
          <w:ilvl w:val="0"/>
          <w:numId w:val="2"/>
        </w:numPr>
        <w:spacing w:after="80" w:line="276"/>
      </w:pPr>
      <w:r>
        <w:rPr>
          <w:b/>
          <w:bCs/>
          <w:sz w:val="21"/>
          <w:szCs w:val="21"/>
        </w:rPr>
        <w:t xml:space="preserve">Znacznik występowania ulic przy miejscowości. </w:t>
      </w:r>
      <w:r>
        <w:rPr>
          <w:sz w:val="21"/>
          <w:szCs w:val="21"/>
        </w:rPr>
        <w:t xml:space="preserve">Znacząca część adresów w Polsce to adresy wiejskie, gdzie numer porządkowy odnosi się bezpośrednio do miejscowości, a ulica nie istnieje. Znacznik pozwala interfejsowi ukryć pole ulicy zanim użytkownik je zobaczy. Bez niego mieszkaniec wsi widzi puste, wymagane pole „ulica”.</w:t>
      </w:r>
    </w:p>
    <w:p>
      <w:pPr>
        <w:pStyle w:val="ListParagraph"/>
        <w:numPr>
          <w:ilvl w:val="0"/>
          <w:numId w:val="2"/>
        </w:numPr>
        <w:spacing w:after="80" w:line="276"/>
      </w:pPr>
      <w:r>
        <w:rPr>
          <w:b/>
          <w:bCs/>
          <w:sz w:val="21"/>
          <w:szCs w:val="21"/>
        </w:rPr>
        <w:t xml:space="preserve">Identyfikator z rejestru jako klucz obcy. </w:t>
      </w:r>
      <w:r>
        <w:rPr>
          <w:sz w:val="21"/>
          <w:szCs w:val="21"/>
        </w:rPr>
        <w:t xml:space="preserve">Umożliwia trwałe powiązanie rekordów między kolejnymi zrzutami. Bez niego każda aktualizacja wymagałaby zgadywania, który rekord odpowiada któremu.</w:t>
      </w:r>
    </w:p>
    <w:p>
      <w:pPr>
        <w:pStyle w:val="ListParagraph"/>
        <w:numPr>
          <w:ilvl w:val="0"/>
          <w:numId w:val="2"/>
        </w:numPr>
        <w:spacing w:after="80" w:line="276"/>
      </w:pPr>
      <w:r>
        <w:rPr>
          <w:b/>
          <w:bCs/>
          <w:sz w:val="21"/>
          <w:szCs w:val="21"/>
        </w:rPr>
        <w:t xml:space="preserve">Znacznik wycofania zamiast usuwania rekordów. </w:t>
      </w:r>
      <w:r>
        <w:rPr>
          <w:sz w:val="21"/>
          <w:szCs w:val="21"/>
        </w:rPr>
        <w:t xml:space="preserve">Gminy popełniają błędy i je cofają. Punkt adresowy, który zniknął z rejestru, może wrócić za miesiąc, a w międzyczasie może występować w zamówieniu klienta.</w:t>
      </w:r>
    </w:p>
    <w:p>
      <w:pPr>
        <w:pStyle w:val="Heading2"/>
        <w:spacing w:after="140" w:before="280"/>
      </w:pPr>
      <w:r>
        <w:t xml:space="preserve">6.2. Zależności między polami</w:t>
      </w:r>
    </w:p>
    <w:p>
      <w:pPr>
        <w:spacing w:after="120" w:line="276"/>
      </w:pPr>
      <w:r>
        <w:rPr>
          <w:sz w:val="21"/>
          <w:szCs w:val="21"/>
        </w:rPr>
        <w:t xml:space="preserve">Kotwicą adresu jest miejscowość, nie kod pocztowy. Jest to rozstrzygnięcie wbrew powszechnej intuicji i wbrew konstrukcji wielu formularzy.</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Dlaczego kod pocztowy nie może być kluczem</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nie odwzorowuje się jednoznacznie na gminę ani na miejscowość. Jeden kod może obejmować kilka gmin, a jedna ulica może mieć wiele kodów przypisanych do zakresów numerycznych.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Kod pocztowy jest bardzo dobrą podpowiedzią zawężającą listę kandydatów i nieprawidłowym kluczem identyfikującym adres.</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Dodatkowo: kody pocztowe w rejestrze PRG pochodzą z ewidencji gminnych, nie od Poczty Polskiej. Rozbieżności są zjawiskiem normalnym i nie powinny blokować zapisu adresu.</w:t>
      </w:r>
    </w:p>
    <w:p>
      <w:pPr>
        <w:spacing w:after="180"/>
      </w:pPr>
    </w:p>
    <w:p>
      <w:pPr>
        <w:spacing w:after="120" w:line="276"/>
      </w:pPr>
      <w:r>
        <w:rPr>
          <w:sz w:val="21"/>
          <w:szCs w:val="21"/>
        </w:rPr>
        <w:t xml:space="preserve">Kolejność wypełniania i reguły przejść: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Zdarzenie</w:t>
            </w:r>
          </w:p>
        </w:tc>
        <w:tc>
          <w:tcPr>
            <w:tcW w:type="dxa" w:w="5426"/>
            <w:shd w:fill="E8EDF2" w:color="auto" w:val="clear"/>
            <w:tcMar>
              <w:top w:type="dxa" w:w="70"/>
              <w:left w:type="dxa" w:w="110"/>
              <w:bottom w:type="dxa" w:w="70"/>
              <w:right w:type="dxa" w:w="110"/>
            </w:tcMar>
            <w:vAlign w:val="center"/>
          </w:tcPr>
          <w:p>
            <w:pPr>
              <w:spacing w:after="0" w:line="240"/>
            </w:pPr>
            <w:r>
              <w:rPr>
                <w:b/>
                <w:bCs/>
                <w:sz w:val="19"/>
                <w:szCs w:val="19"/>
              </w:rPr>
              <w:t xml:space="preserve">Reakcja systemu</w:t>
            </w:r>
          </w:p>
        </w:tc>
      </w:tr>
      <w:tr>
        <w:tc>
          <w:tcPr>
            <w:tcW w:type="dxa" w:w="3600"/>
            <w:tcMar>
              <w:top w:type="dxa" w:w="70"/>
              <w:left w:type="dxa" w:w="110"/>
              <w:bottom w:type="dxa" w:w="70"/>
              <w:right w:type="dxa" w:w="110"/>
            </w:tcMar>
            <w:vAlign w:val="center"/>
          </w:tcPr>
          <w:p>
            <w:pPr>
              <w:spacing w:after="0" w:line="240"/>
            </w:pPr>
            <w:r>
              <w:rPr>
                <w:sz w:val="19"/>
                <w:szCs w:val="19"/>
              </w:rPr>
              <w:t xml:space="preserve">Zmiana miejscowości</w:t>
            </w:r>
          </w:p>
        </w:tc>
        <w:tc>
          <w:tcPr>
            <w:tcW w:type="dxa" w:w="5426"/>
            <w:tcMar>
              <w:top w:type="dxa" w:w="70"/>
              <w:left w:type="dxa" w:w="110"/>
              <w:bottom w:type="dxa" w:w="70"/>
              <w:right w:type="dxa" w:w="110"/>
            </w:tcMar>
            <w:vAlign w:val="center"/>
          </w:tcPr>
          <w:p>
            <w:pPr>
              <w:spacing w:after="0" w:line="240"/>
            </w:pPr>
            <w:r>
              <w:rPr>
                <w:sz w:val="19"/>
                <w:szCs w:val="19"/>
              </w:rPr>
              <w:t xml:space="preserve">Czyszczenie ulicy, numeru i lokalu. Pole ulicy pokazane lub ukryte zależnie od znacznika występowania ulic</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Wpisanie kodu pocztowego przed miejscowością</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Zawężenie listy miejscowości. Automatyczny wybór wyłącznie gdy kandydat jest dokładnie jeden</w:t>
            </w:r>
          </w:p>
        </w:tc>
      </w:tr>
      <w:tr>
        <w:tc>
          <w:tcPr>
            <w:tcW w:type="dxa" w:w="3600"/>
            <w:tcMar>
              <w:top w:type="dxa" w:w="70"/>
              <w:left w:type="dxa" w:w="110"/>
              <w:bottom w:type="dxa" w:w="70"/>
              <w:right w:type="dxa" w:w="110"/>
            </w:tcMar>
            <w:vAlign w:val="center"/>
          </w:tcPr>
          <w:p>
            <w:pPr>
              <w:spacing w:after="0" w:line="240"/>
            </w:pPr>
            <w:r>
              <w:rPr>
                <w:sz w:val="19"/>
                <w:szCs w:val="19"/>
              </w:rPr>
              <w:t xml:space="preserve">Miejscowość bez ulic</w:t>
            </w:r>
          </w:p>
        </w:tc>
        <w:tc>
          <w:tcPr>
            <w:tcW w:type="dxa" w:w="5426"/>
            <w:tcMar>
              <w:top w:type="dxa" w:w="70"/>
              <w:left w:type="dxa" w:w="110"/>
              <w:bottom w:type="dxa" w:w="70"/>
              <w:right w:type="dxa" w:w="110"/>
            </w:tcMar>
            <w:vAlign w:val="center"/>
          </w:tcPr>
          <w:p>
            <w:pPr>
              <w:spacing w:after="0" w:line="240"/>
            </w:pPr>
            <w:r>
              <w:rPr>
                <w:sz w:val="19"/>
                <w:szCs w:val="19"/>
              </w:rPr>
              <w:t xml:space="preserve">Pole ulicy ukryte (nie zablokowane). Numer odnosi się do miejscowości</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Zmiana ulicy</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Czyszczenie numeru i lokalu</w:t>
            </w:r>
          </w:p>
        </w:tc>
      </w:tr>
      <w:tr>
        <w:tc>
          <w:tcPr>
            <w:tcW w:type="dxa" w:w="3600"/>
            <w:tcMar>
              <w:top w:type="dxa" w:w="70"/>
              <w:left w:type="dxa" w:w="110"/>
              <w:bottom w:type="dxa" w:w="70"/>
              <w:right w:type="dxa" w:w="110"/>
            </w:tcMar>
            <w:vAlign w:val="center"/>
          </w:tcPr>
          <w:p>
            <w:pPr>
              <w:spacing w:after="0" w:line="240"/>
            </w:pPr>
            <w:r>
              <w:rPr>
                <w:sz w:val="19"/>
                <w:szCs w:val="19"/>
              </w:rPr>
              <w:t xml:space="preserve">Wybór numeru z rejestru</w:t>
            </w:r>
          </w:p>
        </w:tc>
        <w:tc>
          <w:tcPr>
            <w:tcW w:type="dxa" w:w="5426"/>
            <w:tcMar>
              <w:top w:type="dxa" w:w="70"/>
              <w:left w:type="dxa" w:w="110"/>
              <w:bottom w:type="dxa" w:w="70"/>
              <w:right w:type="dxa" w:w="110"/>
            </w:tcMar>
            <w:vAlign w:val="center"/>
          </w:tcPr>
          <w:p>
            <w:pPr>
              <w:spacing w:after="0" w:line="240"/>
            </w:pPr>
            <w:r>
              <w:rPr>
                <w:sz w:val="19"/>
                <w:szCs w:val="19"/>
              </w:rPr>
              <w:t xml:space="preserve">Automatyczne uzupełnienie kodu pocztowego i współrzędnych. Poziom pewności: zweryfikowany wobec rejestru</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Ostrzeżenie, nie błąd. Zapis dozwolony. Poziom pewności: zweryfikowany częściowo</w:t>
            </w:r>
          </w:p>
        </w:tc>
      </w:tr>
      <w:tr>
        <w:tc>
          <w:tcPr>
            <w:tcW w:type="dxa" w:w="3600"/>
            <w:tcMar>
              <w:top w:type="dxa" w:w="70"/>
              <w:left w:type="dxa" w:w="110"/>
              <w:bottom w:type="dxa" w:w="70"/>
              <w:right w:type="dxa" w:w="110"/>
            </w:tcMar>
            <w:vAlign w:val="center"/>
          </w:tcPr>
          <w:p>
            <w:pPr>
              <w:spacing w:after="0" w:line="240"/>
            </w:pPr>
            <w:r>
              <w:rPr>
                <w:sz w:val="19"/>
                <w:szCs w:val="19"/>
              </w:rPr>
              <w:t xml:space="preserve">Ręczna zmiana kodu pocztowego wbrew wyliczonemu</w:t>
            </w:r>
          </w:p>
        </w:tc>
        <w:tc>
          <w:tcPr>
            <w:tcW w:type="dxa" w:w="5426"/>
            <w:tcMar>
              <w:top w:type="dxa" w:w="70"/>
              <w:left w:type="dxa" w:w="110"/>
              <w:bottom w:type="dxa" w:w="70"/>
              <w:right w:type="dxa" w:w="110"/>
            </w:tcMar>
            <w:vAlign w:val="center"/>
          </w:tcPr>
          <w:p>
            <w:pPr>
              <w:spacing w:after="0" w:line="240"/>
            </w:pPr>
            <w:r>
              <w:rPr>
                <w:sz w:val="19"/>
                <w:szCs w:val="19"/>
              </w:rPr>
              <w:t xml:space="preserve">Ostrzeżenie z obiema wartościami. Wygrywa wpis użytkownika</w:t>
            </w:r>
          </w:p>
        </w:tc>
      </w:tr>
      <w:tr>
        <w:tc>
          <w:tcPr>
            <w:tcW w:type="dxa" w:w="3600"/>
            <w:shd w:fill="F5F7F9" w:color="auto" w:val="clear"/>
            <w:tcMar>
              <w:top w:type="dxa" w:w="70"/>
              <w:left w:type="dxa" w:w="110"/>
              <w:bottom w:type="dxa" w:w="70"/>
              <w:right w:type="dxa" w:w="110"/>
            </w:tcMar>
            <w:vAlign w:val="center"/>
          </w:tcPr>
          <w:p>
            <w:pPr>
              <w:spacing w:after="0" w:line="240"/>
            </w:pPr>
            <w:r>
              <w:rPr>
                <w:sz w:val="19"/>
                <w:szCs w:val="19"/>
              </w:rPr>
              <w:t xml:space="preserve">Numer lokalu</w:t>
            </w:r>
          </w:p>
        </w:tc>
        <w:tc>
          <w:tcPr>
            <w:tcW w:type="dxa" w:w="5426"/>
            <w:shd w:fill="F5F7F9" w:color="auto" w:val="clear"/>
            <w:tcMar>
              <w:top w:type="dxa" w:w="70"/>
              <w:left w:type="dxa" w:w="110"/>
              <w:bottom w:type="dxa" w:w="70"/>
              <w:right w:type="dxa" w:w="110"/>
            </w:tcMar>
            <w:vAlign w:val="center"/>
          </w:tcPr>
          <w:p>
            <w:pPr>
              <w:spacing w:after="0" w:line="240"/>
            </w:pPr>
            <w:r>
              <w:rPr>
                <w:sz w:val="19"/>
                <w:szCs w:val="19"/>
              </w:rPr>
              <w:t xml:space="preserve">Nigdy nie weryfikowany wobec rejestru — po 1.09.2026 rejestr nie zawiera tej informacji</w:t>
            </w:r>
          </w:p>
        </w:tc>
      </w:tr>
    </w:tbl>
    <w:p>
      <w:pPr>
        <w:spacing w:after="160"/>
      </w:pPr>
    </w:p>
    <w:p>
      <w:pPr>
        <w:pStyle w:val="Heading2"/>
        <w:spacing w:after="140" w:before="280"/>
      </w:pPr>
      <w:r>
        <w:t xml:space="preserve">6.3. Poziomy pewności</w:t>
      </w:r>
    </w:p>
    <w:p>
      <w:pPr>
        <w:spacing w:after="120" w:line="276"/>
      </w:pPr>
      <w:r>
        <w:rPr>
          <w:sz w:val="21"/>
          <w:szCs w:val="21"/>
        </w:rPr>
        <w:t xml:space="preserve">Każdy zwalidowany adres otrzymuje poziom pewności. Jest on zapisywany razem z adresem i stanowi podstawę późniejszych decyzji biznesowych.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400"/>
        <w:gridCol w:w="20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700"/>
            <w:shd w:fill="E8EDF2" w:color="auto" w:val="clear"/>
            <w:tcMar>
              <w:top w:type="dxa" w:w="70"/>
              <w:left w:type="dxa" w:w="110"/>
              <w:bottom w:type="dxa" w:w="70"/>
              <w:right w:type="dxa" w:w="110"/>
            </w:tcMar>
            <w:vAlign w:val="center"/>
          </w:tcPr>
          <w:p>
            <w:pPr>
              <w:spacing w:after="0" w:line="240"/>
            </w:pPr>
            <w:r>
              <w:rPr>
                <w:b/>
                <w:bCs/>
                <w:sz w:val="19"/>
                <w:szCs w:val="19"/>
              </w:rPr>
              <w:t xml:space="preserve">Znaczenie</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Sugerowane zastosowanie</w:t>
            </w:r>
          </w:p>
        </w:tc>
        <w:tc>
          <w:tcPr>
            <w:tcW w:type="dxa" w:w="2026"/>
            <w:shd w:fill="E8EDF2" w:color="auto" w:val="clear"/>
            <w:tcMar>
              <w:top w:type="dxa" w:w="70"/>
              <w:left w:type="dxa" w:w="110"/>
              <w:bottom w:type="dxa" w:w="70"/>
              <w:right w:type="dxa" w:w="110"/>
            </w:tcMar>
            <w:vAlign w:val="center"/>
          </w:tcPr>
          <w:p>
            <w:pPr>
              <w:spacing w:after="0" w:line="240"/>
            </w:pPr>
            <w:r>
              <w:rPr>
                <w:b/>
                <w:bCs/>
                <w:sz w:val="19"/>
                <w:szCs w:val="19"/>
              </w:rPr>
              <w:t xml:space="preserve">Kto nadaje</w:t>
            </w:r>
          </w:p>
        </w:tc>
      </w:tr>
      <w:tr>
        <w:tc>
          <w:tcPr>
            <w:tcW w:type="dxa" w:w="1900"/>
            <w:tcMar>
              <w:top w:type="dxa" w:w="70"/>
              <w:left w:type="dxa" w:w="110"/>
              <w:bottom w:type="dxa" w:w="70"/>
              <w:right w:type="dxa" w:w="110"/>
            </w:tcMar>
            <w:vAlign w:val="center"/>
          </w:tcPr>
          <w:p>
            <w:pPr>
              <w:spacing w:after="0" w:line="240"/>
            </w:pPr>
            <w:r>
              <w:rPr>
                <w:sz w:val="19"/>
                <w:szCs w:val="19"/>
              </w:rPr>
              <w:t xml:space="preserve">Zweryfikowany wobec rejestru</w:t>
            </w:r>
          </w:p>
        </w:tc>
        <w:tc>
          <w:tcPr>
            <w:tcW w:type="dxa" w:w="2700"/>
            <w:tcMar>
              <w:top w:type="dxa" w:w="70"/>
              <w:left w:type="dxa" w:w="110"/>
              <w:bottom w:type="dxa" w:w="70"/>
              <w:right w:type="dxa" w:w="110"/>
            </w:tcMar>
            <w:vAlign w:val="center"/>
          </w:tcPr>
          <w:p>
            <w:pPr>
              <w:spacing w:after="0" w:line="240"/>
            </w:pPr>
            <w:r>
              <w:rPr>
                <w:sz w:val="19"/>
                <w:szCs w:val="19"/>
              </w:rPr>
              <w:t xml:space="preserve">Pełne dopasowanie, dostępny identyfikator rejestrowy i współrzędne</w:t>
            </w:r>
          </w:p>
        </w:tc>
        <w:tc>
          <w:tcPr>
            <w:tcW w:type="dxa" w:w="2400"/>
            <w:tcMar>
              <w:top w:type="dxa" w:w="70"/>
              <w:left w:type="dxa" w:w="110"/>
              <w:bottom w:type="dxa" w:w="70"/>
              <w:right w:type="dxa" w:w="110"/>
            </w:tcMar>
            <w:vAlign w:val="center"/>
          </w:tcPr>
          <w:p>
            <w:pPr>
              <w:spacing w:after="0" w:line="240"/>
            </w:pPr>
            <w:r>
              <w:rPr>
                <w:sz w:val="19"/>
                <w:szCs w:val="19"/>
              </w:rPr>
              <w:t xml:space="preserve">Wysyłka bez dodatkowej weryfikacji</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Zweryfikowany częściowo</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Miejscowość i ulica z rejestru, numer nie odnaleziony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Wysyłka z oznaczeniem do przeglądu</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Komponent adresowy</w:t>
            </w:r>
          </w:p>
        </w:tc>
      </w:tr>
      <w:tr>
        <w:tc>
          <w:tcPr>
            <w:tcW w:type="dxa" w:w="1900"/>
            <w:tcMar>
              <w:top w:type="dxa" w:w="70"/>
              <w:left w:type="dxa" w:w="110"/>
              <w:bottom w:type="dxa" w:w="70"/>
              <w:right w:type="dxa" w:w="110"/>
            </w:tcMar>
            <w:vAlign w:val="center"/>
          </w:tcPr>
          <w:p>
            <w:pPr>
              <w:spacing w:after="0" w:line="240"/>
            </w:pPr>
            <w:r>
              <w:rPr>
                <w:sz w:val="19"/>
                <w:szCs w:val="19"/>
              </w:rPr>
              <w:t xml:space="preserve">Poza rejestrem</w:t>
            </w:r>
          </w:p>
        </w:tc>
        <w:tc>
          <w:tcPr>
            <w:tcW w:type="dxa" w:w="2700"/>
            <w:tcMar>
              <w:top w:type="dxa" w:w="70"/>
              <w:left w:type="dxa" w:w="110"/>
              <w:bottom w:type="dxa" w:w="70"/>
              <w:right w:type="dxa" w:w="110"/>
            </w:tcMar>
            <w:vAlign w:val="center"/>
          </w:tcPr>
          <w:p>
            <w:pPr>
              <w:spacing w:after="0" w:line="240"/>
            </w:pPr>
            <w:r>
              <w:rPr>
                <w:sz w:val="19"/>
                <w:szCs w:val="19"/>
              </w:rPr>
              <w:t xml:space="preserve">Użytkownik świadomie potwierdził adres spoza bazy</w:t>
            </w:r>
          </w:p>
        </w:tc>
        <w:tc>
          <w:tcPr>
            <w:tcW w:type="dxa" w:w="2400"/>
            <w:tcMar>
              <w:top w:type="dxa" w:w="70"/>
              <w:left w:type="dxa" w:w="110"/>
              <w:bottom w:type="dxa" w:w="70"/>
              <w:right w:type="dxa" w:w="110"/>
            </w:tcMar>
            <w:vAlign w:val="center"/>
          </w:tcPr>
          <w:p>
            <w:pPr>
              <w:spacing w:after="0" w:line="240"/>
            </w:pPr>
            <w:r>
              <w:rPr>
                <w:sz w:val="19"/>
                <w:szCs w:val="19"/>
              </w:rPr>
              <w:t xml:space="preserve">Nowe budownictwo — dopuścić</w:t>
            </w:r>
          </w:p>
        </w:tc>
        <w:tc>
          <w:tcPr>
            <w:tcW w:type="dxa" w:w="2026"/>
            <w:tcMar>
              <w:top w:type="dxa" w:w="70"/>
              <w:left w:type="dxa" w:w="110"/>
              <w:bottom w:type="dxa" w:w="70"/>
              <w:right w:type="dxa" w:w="110"/>
            </w:tcMar>
            <w:vAlign w:val="center"/>
          </w:tcPr>
          <w:p>
            <w:pPr>
              <w:spacing w:after="0" w:line="240"/>
            </w:pPr>
            <w:r>
              <w:rPr>
                <w:sz w:val="19"/>
                <w:szCs w:val="19"/>
              </w:rPr>
              <w:t xml:space="preserve">Aplikacja konsumencka — patrz uwaga poniżej</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Nietypowy</w:t>
            </w:r>
          </w:p>
        </w:tc>
        <w:tc>
          <w:tcPr>
            <w:tcW w:type="dxa" w:w="2700"/>
            <w:shd w:fill="F5F7F9" w:color="auto" w:val="clear"/>
            <w:tcMar>
              <w:top w:type="dxa" w:w="70"/>
              <w:left w:type="dxa" w:w="110"/>
              <w:bottom w:type="dxa" w:w="70"/>
              <w:right w:type="dxa" w:w="110"/>
            </w:tcMar>
            <w:vAlign w:val="center"/>
          </w:tcPr>
          <w:p>
            <w:pPr>
              <w:spacing w:after="0" w:line="240"/>
            </w:pPr>
            <w:r>
              <w:rPr>
                <w:sz w:val="19"/>
                <w:szCs w:val="19"/>
              </w:rPr>
              <w:t xml:space="preserve">Tryb ręczny: skrytka pocztowa, adres tymczasowy</w:t>
            </w:r>
          </w:p>
        </w:tc>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Odrębna ścieżka obsługi</w:t>
            </w:r>
          </w:p>
        </w:tc>
        <w:tc>
          <w:tcPr>
            <w:tcW w:type="dxa" w:w="2026"/>
            <w:shd w:fill="F5F7F9" w:color="auto" w:val="clear"/>
            <w:tcMar>
              <w:top w:type="dxa" w:w="70"/>
              <w:left w:type="dxa" w:w="110"/>
              <w:bottom w:type="dxa" w:w="70"/>
              <w:right w:type="dxa" w:w="110"/>
            </w:tcMar>
            <w:vAlign w:val="center"/>
          </w:tcPr>
          <w:p>
            <w:pPr>
              <w:spacing w:after="0" w:line="240"/>
            </w:pPr>
            <w:r>
              <w:rPr>
                <w:sz w:val="19"/>
                <w:szCs w:val="19"/>
              </w:rPr>
              <w:t xml:space="preserve">Aplikacja konsumencka; komponent przepuszcza tę wartość</w:t>
            </w:r>
          </w:p>
        </w:tc>
      </w:tr>
      <w:tr>
        <w:tc>
          <w:tcPr>
            <w:tcW w:type="dxa" w:w="1900"/>
            <w:tcMar>
              <w:top w:type="dxa" w:w="70"/>
              <w:left w:type="dxa" w:w="110"/>
              <w:bottom w:type="dxa" w:w="70"/>
              <w:right w:type="dxa" w:w="110"/>
            </w:tcMar>
            <w:vAlign w:val="center"/>
          </w:tcPr>
          <w:p>
            <w:pPr>
              <w:spacing w:after="0" w:line="240"/>
            </w:pPr>
            <w:r>
              <w:rPr>
                <w:sz w:val="19"/>
                <w:szCs w:val="19"/>
              </w:rPr>
              <w:t xml:space="preserve">Niezweryfikowany</w:t>
            </w:r>
          </w:p>
        </w:tc>
        <w:tc>
          <w:tcPr>
            <w:tcW w:type="dxa" w:w="2700"/>
            <w:tcMar>
              <w:top w:type="dxa" w:w="70"/>
              <w:left w:type="dxa" w:w="110"/>
              <w:bottom w:type="dxa" w:w="70"/>
              <w:right w:type="dxa" w:w="110"/>
            </w:tcMar>
            <w:vAlign w:val="center"/>
          </w:tcPr>
          <w:p>
            <w:pPr>
              <w:spacing w:after="0" w:line="240"/>
            </w:pPr>
            <w:r>
              <w:rPr>
                <w:sz w:val="19"/>
                <w:szCs w:val="19"/>
              </w:rPr>
              <w:t xml:space="preserve">Import bez walidacji</w:t>
            </w:r>
          </w:p>
        </w:tc>
        <w:tc>
          <w:tcPr>
            <w:tcW w:type="dxa" w:w="2400"/>
            <w:tcMar>
              <w:top w:type="dxa" w:w="70"/>
              <w:left w:type="dxa" w:w="110"/>
              <w:bottom w:type="dxa" w:w="70"/>
              <w:right w:type="dxa" w:w="110"/>
            </w:tcMar>
            <w:vAlign w:val="center"/>
          </w:tcPr>
          <w:p>
            <w:pPr>
              <w:spacing w:after="0" w:line="240"/>
            </w:pPr>
            <w:r>
              <w:rPr>
                <w:sz w:val="19"/>
                <w:szCs w:val="19"/>
              </w:rPr>
              <w:t xml:space="preserve">Kolejka do przeglądu</w:t>
            </w:r>
          </w:p>
        </w:tc>
        <w:tc>
          <w:tcPr>
            <w:tcW w:type="dxa" w:w="2026"/>
            <w:tcMar>
              <w:top w:type="dxa" w:w="70"/>
              <w:left w:type="dxa" w:w="110"/>
              <w:bottom w:type="dxa" w:w="70"/>
              <w:right w:type="dxa" w:w="110"/>
            </w:tcMar>
            <w:vAlign w:val="center"/>
          </w:tcPr>
          <w:p>
            <w:pPr>
              <w:spacing w:after="0" w:line="240"/>
            </w:pPr>
            <w:r>
              <w:rPr>
                <w:sz w:val="19"/>
                <w:szCs w:val="19"/>
              </w:rPr>
              <w:t xml:space="preserve">Komponent adresowy</w:t>
            </w:r>
          </w:p>
        </w:tc>
      </w:tr>
    </w:tbl>
    <w:p>
      <w:pPr>
        <w:spacing w:after="160"/>
      </w:pPr>
    </w:p>
    <w:p>
      <w:pPr>
        <w:spacing w:after="120" w:line="276"/>
      </w:pPr>
      <w:r>
        <w:rPr>
          <w:b/>
          <w:bCs/>
          <w:sz w:val="21"/>
          <w:szCs w:val="21"/>
        </w:rPr>
        <w:t xml:space="preserve">Uwaga istotna dla projektowania reguł biznesowych: </w:t>
      </w:r>
      <w:r>
        <w:rPr>
          <w:sz w:val="21"/>
          <w:szCs w:val="21"/>
        </w:rPr>
        <w:t xml:space="preserve">poziom „poza rejestrem” jest przewidziany w modelu danych, ale komponent adresowy nigdy go sam nie nadaje. Adres z miejscowością i ulicą z rejestru oraz numerem, którego w rejestrze nie ma, otrzymuje poziom „zweryfikowany częściowo”. Poziom „poza rejestrem” ustawia aplikacja konsumencka po świadomym potwierdzeniu przez użytkownika. Reguła biznesowa oczekująca tej wartości z komponentu nigdy się nie uruchomi.</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Zasada nadrzędna: walidacja nie blokuje zapisu adresu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Rejestr PRG zawiera punkty o statusie planowanym, nie nadąża za nowym budownictwem, a część gmin zasila go z opóźnieniem.</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Formularz informujący, że adres nie istnieje, osobę która właśnie się pod nim wprowadziła, jest wadą produktu, a nie błędem użytkownika.</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System klasyfikuje i ostrzega. Decyzję o ewentualnym zablokowaniu procesu podejmuje logika biznesowa aplikacji, nie komponent adresowy.</w:t>
      </w:r>
    </w:p>
    <w:p>
      <w:pPr>
        <w:spacing w:after="180"/>
      </w:pPr>
    </w:p>
    <w:p>
      <w:pPr>
        <w:pStyle w:val="Heading2"/>
        <w:spacing w:after="140" w:before="280"/>
      </w:pPr>
      <w:r>
        <w:t xml:space="preserve">6.4. Przypadki brzegowe wymagające uwagi analityka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Przypadek</w:t>
            </w:r>
          </w:p>
        </w:tc>
        <w:tc>
          <w:tcPr>
            <w:tcW w:type="dxa" w:w="3800"/>
            <w:shd w:fill="E8EDF2" w:color="auto" w:val="clear"/>
            <w:tcMar>
              <w:top w:type="dxa" w:w="70"/>
              <w:left w:type="dxa" w:w="110"/>
              <w:bottom w:type="dxa" w:w="70"/>
              <w:right w:type="dxa" w:w="110"/>
            </w:tcMar>
            <w:vAlign w:val="center"/>
          </w:tcPr>
          <w:p>
            <w:pPr>
              <w:spacing w:after="0" w:line="240"/>
            </w:pPr>
            <w:r>
              <w:rPr>
                <w:b/>
                <w:bCs/>
                <w:sz w:val="19"/>
                <w:szCs w:val="19"/>
              </w:rPr>
              <w:t xml:space="preserve">Opis</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Rozwiązanie</w:t>
            </w:r>
          </w:p>
        </w:tc>
      </w:tr>
      <w:tr>
        <w:tc>
          <w:tcPr>
            <w:tcW w:type="dxa" w:w="2200"/>
            <w:tcMar>
              <w:top w:type="dxa" w:w="70"/>
              <w:left w:type="dxa" w:w="110"/>
              <w:bottom w:type="dxa" w:w="70"/>
              <w:right w:type="dxa" w:w="110"/>
            </w:tcMar>
            <w:vAlign w:val="center"/>
          </w:tcPr>
          <w:p>
            <w:pPr>
              <w:spacing w:after="0" w:line="240"/>
            </w:pPr>
            <w:r>
              <w:rPr>
                <w:sz w:val="19"/>
                <w:szCs w:val="19"/>
              </w:rPr>
              <w:t xml:space="preserve">Numer typu 12/14</w:t>
            </w:r>
          </w:p>
        </w:tc>
        <w:tc>
          <w:tcPr>
            <w:tcW w:type="dxa" w:w="3800"/>
            <w:tcMar>
              <w:top w:type="dxa" w:w="70"/>
              <w:left w:type="dxa" w:w="110"/>
              <w:bottom w:type="dxa" w:w="70"/>
              <w:right w:type="dxa" w:w="110"/>
            </w:tcMar>
            <w:vAlign w:val="center"/>
          </w:tcPr>
          <w:p>
            <w:pPr>
              <w:spacing w:after="0" w:line="240"/>
            </w:pPr>
            <w:r>
              <w:rPr>
                <w:sz w:val="19"/>
                <w:szCs w:val="19"/>
              </w:rPr>
              <w:t xml:space="preserve">Zapis dwuznaczny: może być numerem budynku narożnego albo zapisem „budynek 12, lokal 14”</w:t>
            </w:r>
          </w:p>
        </w:tc>
        <w:tc>
          <w:tcPr>
            <w:tcW w:type="dxa" w:w="3026"/>
            <w:tcMar>
              <w:top w:type="dxa" w:w="70"/>
              <w:left w:type="dxa" w:w="110"/>
              <w:bottom w:type="dxa" w:w="70"/>
              <w:right w:type="dxa" w:w="110"/>
            </w:tcMar>
            <w:vAlign w:val="center"/>
          </w:tcPr>
          <w:p>
            <w:pPr>
              <w:spacing w:after="0" w:line="240"/>
            </w:pPr>
            <w:r>
              <w:rPr>
                <w:sz w:val="19"/>
                <w:szCs w:val="19"/>
              </w:rPr>
              <w:t xml:space="preserve">System sprawdza w rejestrze obie interpretacje i przyjmuje tę, która istnieje. Gdy istnieją obie — patrz uwaga pod tabelą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Miejscowości bez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Numer odnosi się bezpośrednio do miejscowości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Pole ulicy opcjonalne, sterowane znacznikiem</w:t>
            </w:r>
          </w:p>
        </w:tc>
      </w:tr>
      <w:tr>
        <w:tc>
          <w:tcPr>
            <w:tcW w:type="dxa" w:w="2200"/>
            <w:tcMar>
              <w:top w:type="dxa" w:w="70"/>
              <w:left w:type="dxa" w:w="110"/>
              <w:bottom w:type="dxa" w:w="70"/>
              <w:right w:type="dxa" w:w="110"/>
            </w:tcMar>
            <w:vAlign w:val="center"/>
          </w:tcPr>
          <w:p>
            <w:pPr>
              <w:spacing w:after="0" w:line="240"/>
            </w:pPr>
            <w:r>
              <w:rPr>
                <w:sz w:val="19"/>
                <w:szCs w:val="19"/>
              </w:rPr>
              <w:t xml:space="preserve">Duplikaty nazw miejscowości</w:t>
            </w:r>
          </w:p>
        </w:tc>
        <w:tc>
          <w:tcPr>
            <w:tcW w:type="dxa" w:w="3800"/>
            <w:tcMar>
              <w:top w:type="dxa" w:w="70"/>
              <w:left w:type="dxa" w:w="110"/>
              <w:bottom w:type="dxa" w:w="70"/>
              <w:right w:type="dxa" w:w="110"/>
            </w:tcMar>
            <w:vAlign w:val="center"/>
          </w:tcPr>
          <w:p>
            <w:pPr>
              <w:spacing w:after="0" w:line="240"/>
            </w:pPr>
            <w:r>
              <w:rPr>
                <w:sz w:val="19"/>
                <w:szCs w:val="19"/>
              </w:rPr>
              <w:t xml:space="preserve">Nazwy takie jak „Nowa Wieś” występują setki razy</w:t>
            </w:r>
          </w:p>
        </w:tc>
        <w:tc>
          <w:tcPr>
            <w:tcW w:type="dxa" w:w="3026"/>
            <w:tcMar>
              <w:top w:type="dxa" w:w="70"/>
              <w:left w:type="dxa" w:w="110"/>
              <w:bottom w:type="dxa" w:w="70"/>
              <w:right w:type="dxa" w:w="110"/>
            </w:tcMar>
            <w:vAlign w:val="center"/>
          </w:tcPr>
          <w:p>
            <w:pPr>
              <w:spacing w:after="0" w:line="240"/>
            </w:pPr>
            <w:r>
              <w:rPr>
                <w:sz w:val="19"/>
                <w:szCs w:val="19"/>
              </w:rPr>
              <w:t xml:space="preserve">Wymagane rozstrzygnięcie przez użytkownika — prezentacja gminy i powiatu</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Nazwy potoczne ulic</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Użytkownik wpisuje „Kościuszki”, rejestr zawiera „Tadeusza Kościuszki”</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Forma potoczna wyliczana automatycznie i indeksowana jako dodatkowy klucz</w:t>
            </w:r>
          </w:p>
        </w:tc>
      </w:tr>
      <w:tr>
        <w:tc>
          <w:tcPr>
            <w:tcW w:type="dxa" w:w="2200"/>
            <w:tcMar>
              <w:top w:type="dxa" w:w="70"/>
              <w:left w:type="dxa" w:w="110"/>
              <w:bottom w:type="dxa" w:w="70"/>
              <w:right w:type="dxa" w:w="110"/>
            </w:tcMar>
            <w:vAlign w:val="center"/>
          </w:tcPr>
          <w:p>
            <w:pPr>
              <w:spacing w:after="0" w:line="240"/>
            </w:pPr>
            <w:r>
              <w:rPr>
                <w:sz w:val="19"/>
                <w:szCs w:val="19"/>
              </w:rPr>
              <w:t xml:space="preserve">Punkty planowane</w:t>
            </w:r>
          </w:p>
        </w:tc>
        <w:tc>
          <w:tcPr>
            <w:tcW w:type="dxa" w:w="3800"/>
            <w:tcMar>
              <w:top w:type="dxa" w:w="70"/>
              <w:left w:type="dxa" w:w="110"/>
              <w:bottom w:type="dxa" w:w="70"/>
              <w:right w:type="dxa" w:w="110"/>
            </w:tcMar>
            <w:vAlign w:val="center"/>
          </w:tcPr>
          <w:p>
            <w:pPr>
              <w:spacing w:after="0" w:line="240"/>
            </w:pPr>
            <w:r>
              <w:rPr>
                <w:sz w:val="19"/>
                <w:szCs w:val="19"/>
              </w:rPr>
              <w:t xml:space="preserve">Adres nadany, budynek jeszcze nie istnieje</w:t>
            </w:r>
          </w:p>
        </w:tc>
        <w:tc>
          <w:tcPr>
            <w:tcW w:type="dxa" w:w="3026"/>
            <w:tcMar>
              <w:top w:type="dxa" w:w="70"/>
              <w:left w:type="dxa" w:w="110"/>
              <w:bottom w:type="dxa" w:w="70"/>
              <w:right w:type="dxa" w:w="110"/>
            </w:tcMar>
            <w:vAlign w:val="center"/>
          </w:tcPr>
          <w:p>
            <w:pPr>
              <w:spacing w:after="0" w:line="240"/>
            </w:pPr>
            <w:r>
              <w:rPr>
                <w:sz w:val="19"/>
                <w:szCs w:val="19"/>
              </w:rPr>
              <w:t xml:space="preserve">Informacja zwrotna, nie blokada. Atrybut zamrożony przed 1.09.2026</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Skrytki pocztowe</w:t>
            </w:r>
          </w:p>
        </w:tc>
        <w:tc>
          <w:tcPr>
            <w:tcW w:type="dxa" w:w="3800"/>
            <w:shd w:fill="F5F7F9" w:color="auto" w:val="clear"/>
            <w:tcMar>
              <w:top w:type="dxa" w:w="70"/>
              <w:left w:type="dxa" w:w="110"/>
              <w:bottom w:type="dxa" w:w="70"/>
              <w:right w:type="dxa" w:w="110"/>
            </w:tcMar>
            <w:vAlign w:val="center"/>
          </w:tcPr>
          <w:p>
            <w:pPr>
              <w:spacing w:after="0" w:line="240"/>
            </w:pPr>
            <w:r>
              <w:rPr>
                <w:sz w:val="19"/>
                <w:szCs w:val="19"/>
              </w:rPr>
              <w:t xml:space="preserve">Brak odpowiednika w rejestrze</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Tryb adresu nietypowego</w:t>
            </w:r>
          </w:p>
        </w:tc>
      </w:tr>
      <w:tr>
        <w:tc>
          <w:tcPr>
            <w:tcW w:type="dxa" w:w="2200"/>
            <w:tcMar>
              <w:top w:type="dxa" w:w="70"/>
              <w:left w:type="dxa" w:w="110"/>
              <w:bottom w:type="dxa" w:w="70"/>
              <w:right w:type="dxa" w:w="110"/>
            </w:tcMar>
            <w:vAlign w:val="center"/>
          </w:tcPr>
          <w:p>
            <w:pPr>
              <w:spacing w:after="0" w:line="240"/>
            </w:pPr>
            <w:r>
              <w:rPr>
                <w:sz w:val="19"/>
                <w:szCs w:val="19"/>
              </w:rPr>
              <w:t xml:space="preserve">Dzielnice w polu miejscowości</w:t>
            </w:r>
          </w:p>
        </w:tc>
        <w:tc>
          <w:tcPr>
            <w:tcW w:type="dxa" w:w="3800"/>
            <w:tcMar>
              <w:top w:type="dxa" w:w="70"/>
              <w:left w:type="dxa" w:w="110"/>
              <w:bottom w:type="dxa" w:w="70"/>
              <w:right w:type="dxa" w:w="110"/>
            </w:tcMar>
            <w:vAlign w:val="center"/>
          </w:tcPr>
          <w:p>
            <w:pPr>
              <w:spacing w:after="0" w:line="240"/>
            </w:pPr>
            <w:r>
              <w:rPr>
                <w:sz w:val="19"/>
                <w:szCs w:val="19"/>
              </w:rPr>
              <w:t xml:space="preserve">Zapis „Warszawa-Mokotów”</w:t>
            </w:r>
          </w:p>
        </w:tc>
        <w:tc>
          <w:tcPr>
            <w:tcW w:type="dxa" w:w="3026"/>
            <w:tcMar>
              <w:top w:type="dxa" w:w="70"/>
              <w:left w:type="dxa" w:w="110"/>
              <w:bottom w:type="dxa" w:w="70"/>
              <w:right w:type="dxa" w:w="110"/>
            </w:tcMar>
            <w:vAlign w:val="center"/>
          </w:tcPr>
          <w:p>
            <w:pPr>
              <w:spacing w:after="0" w:line="240"/>
            </w:pPr>
            <w:r>
              <w:rPr>
                <w:sz w:val="19"/>
                <w:szCs w:val="19"/>
              </w:rPr>
              <w:t xml:space="preserve">Traktowane jako pole pomocnicze, nie element klucza</w:t>
            </w:r>
          </w:p>
        </w:tc>
      </w:tr>
    </w:tbl>
    <w:p>
      <w:pPr>
        <w:spacing w:after="160"/>
      </w:pPr>
    </w:p>
    <w:p>
      <w:pPr>
        <w:spacing w:after="120" w:line="276"/>
      </w:pPr>
      <w:r>
        <w:rPr>
          <w:b/>
          <w:bCs/>
          <w:sz w:val="21"/>
          <w:szCs w:val="21"/>
        </w:rPr>
        <w:t xml:space="preserve">Doprecyzowanie zapisu 12/14: </w:t>
      </w:r>
      <w:r>
        <w:rPr>
          <w:sz w:val="21"/>
          <w:szCs w:val="21"/>
        </w:rPr>
        <w:t xml:space="preserve">gdy przy danej ulicy istnieje zarówno punkt „12”, jak i punkt „12/14” — sytuacja typowa w miastach z budynkami narożnymi — obecna implementacja wybiera odczyt „budynek 12, lokal 14”. Reguła docelowa daje pierwszeństwo numerowi budynku „12/14” i wymaga zamiany kolejności sprawdzania; jest to pozycja do wykonania. Zapisy z literą po lewej stronie ukośnika, jak „12A/5”, nie są traktowane jako dwuznaczne — zawsze czytane są jako budynek i lokal.</w:t>
      </w:r>
    </w:p>
    <w:p>
      <w:r>
        <w:br w:type="page"/>
      </w:r>
    </w:p>
    <w:p>
      <w:pPr>
        <w:pStyle w:val="Heading1"/>
        <w:spacing w:after="180" w:before="360"/>
      </w:pPr>
      <w:r>
        <w:t xml:space="preserve">7. Proces aktualizacji danych</w:t>
      </w:r>
    </w:p>
    <w:p>
      <w:pPr>
        <w:pStyle w:val="Heading2"/>
        <w:spacing w:after="140" w:before="280"/>
      </w:pPr>
      <w:r>
        <w:t xml:space="preserve">7.1. Przebieg</w:t>
      </w:r>
    </w:p>
    <w:p>
      <w:pPr>
        <w:pStyle w:val="ListParagraph"/>
        <w:numPr>
          <w:ilvl w:val="0"/>
          <w:numId w:val="3"/>
        </w:numPr>
        <w:spacing w:after="80" w:line="276"/>
      </w:pPr>
      <w:r>
        <w:rPr>
          <w:sz w:val="21"/>
          <w:szCs w:val="21"/>
        </w:rPr>
        <w:t xml:space="preserve">Pobranie plików w podziale na województwa według harmonogramu tygodniowego, z wyliczeniem sumy kontrolnej. Tani sondaż nagłówków HTTP jest niemożliwy — patrz 4.3.</w:t>
      </w:r>
    </w:p>
    <w:p>
      <w:pPr>
        <w:pStyle w:val="ListParagraph"/>
        <w:numPr>
          <w:ilvl w:val="0"/>
          <w:numId w:val="3"/>
        </w:numPr>
        <w:spacing w:after="80" w:line="276"/>
      </w:pPr>
      <w:r>
        <w:rPr>
          <w:sz w:val="21"/>
          <w:szCs w:val="21"/>
        </w:rPr>
        <w:t xml:space="preserve">Porównanie sumy kontrolnej treści z ostatnim zrzutem — dalsze kroki wykonują się tylko przy wykrytej zmianie.</w:t>
      </w:r>
    </w:p>
    <w:p>
      <w:pPr>
        <w:pStyle w:val="ListParagraph"/>
        <w:numPr>
          <w:ilvl w:val="0"/>
          <w:numId w:val="3"/>
        </w:numPr>
        <w:spacing w:after="80" w:line="276"/>
      </w:pPr>
      <w:r>
        <w:rPr>
          <w:sz w:val="21"/>
          <w:szCs w:val="21"/>
        </w:rPr>
        <w:t xml:space="preserve">Zapis do własnego archiwum — plik źródłowy zachowywany bez zmian.</w:t>
      </w:r>
    </w:p>
    <w:p>
      <w:pPr>
        <w:pStyle w:val="ListParagraph"/>
        <w:numPr>
          <w:ilvl w:val="0"/>
          <w:numId w:val="3"/>
        </w:numPr>
        <w:spacing w:after="80" w:line="276"/>
      </w:pPr>
      <w:r>
        <w:rPr>
          <w:sz w:val="21"/>
          <w:szCs w:val="21"/>
        </w:rPr>
        <w:t xml:space="preserve">Przetworzenie strumieniowe i zasilenie obszaru przejściowego bazy danych.</w:t>
      </w:r>
    </w:p>
    <w:p>
      <w:pPr>
        <w:pStyle w:val="ListParagraph"/>
        <w:numPr>
          <w:ilvl w:val="0"/>
          <w:numId w:val="3"/>
        </w:numPr>
        <w:spacing w:after="80" w:line="276"/>
      </w:pPr>
      <w:r>
        <w:rPr>
          <w:sz w:val="21"/>
          <w:szCs w:val="21"/>
        </w:rPr>
        <w:t xml:space="preserve">Wykonanie kontroli jakości — porównanie obszaru przejściowego z danymi produkcyjnymi.</w:t>
      </w:r>
    </w:p>
    <w:p>
      <w:pPr>
        <w:pStyle w:val="ListParagraph"/>
        <w:numPr>
          <w:ilvl w:val="0"/>
          <w:numId w:val="3"/>
        </w:numPr>
        <w:spacing w:after="80" w:line="276"/>
      </w:pPr>
      <w:r>
        <w:rPr>
          <w:sz w:val="21"/>
          <w:szCs w:val="21"/>
        </w:rPr>
        <w:t xml:space="preserve">Publikacja transakcyjna — wyłącznie po przejściu wszystkich kontroli blokujących.</w:t>
      </w:r>
    </w:p>
    <w:p>
      <w:pPr>
        <w:pStyle w:val="ListParagraph"/>
        <w:numPr>
          <w:ilvl w:val="0"/>
          <w:numId w:val="3"/>
        </w:numPr>
        <w:spacing w:after="80" w:line="276"/>
      </w:pPr>
      <w:r>
        <w:rPr>
          <w:sz w:val="21"/>
          <w:szCs w:val="21"/>
        </w:rPr>
        <w:t xml:space="preserve">Zbudowanie nowego artefaktu indeksu i przestawienie wskaźnika wersji. Instancje mikroserwisu wykrywają zmianę, odpytując wskaźnik co 60 sekund.</w:t>
      </w:r>
    </w:p>
    <w:p>
      <w:pPr>
        <w:pStyle w:val="Heading2"/>
        <w:spacing w:after="140" w:before="280"/>
      </w:pPr>
      <w:r>
        <w:t xml:space="preserve">7.2. Kontrole jakości</w:t>
      </w:r>
    </w:p>
    <w:p>
      <w:pPr>
        <w:spacing w:after="120" w:line="276"/>
      </w:pPr>
      <w:r>
        <w:rPr>
          <w:sz w:val="21"/>
          <w:szCs w:val="21"/>
        </w:rPr>
        <w:t xml:space="preserve">Zaimplementowano pięć kontroli. Każda z nich odpowiada realnemu, udokumentowanemu zdarzeniu, a nie hipotetycznemu zagrożeniu.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826"/>
        <w:gridCol w:w="1800"/>
      </w:tblGrid>
      <w:tr>
        <w:trPr>
          <w:tblHeader/>
        </w:trPr>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Kontrola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Wykrywa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r>
      <w:tr>
        <w:tc>
          <w:tcPr>
            <w:tcW w:type="dxa" w:w="2400"/>
            <w:tcMar>
              <w:top w:type="dxa" w:w="70"/>
              <w:left w:type="dxa" w:w="110"/>
              <w:bottom w:type="dxa" w:w="70"/>
              <w:right w:type="dxa" w:w="110"/>
            </w:tcMar>
            <w:vAlign w:val="center"/>
          </w:tcPr>
          <w:p>
            <w:pPr>
              <w:spacing w:after="0" w:line="240"/>
            </w:pPr>
            <w:r>
              <w:rPr>
                <w:sz w:val="19"/>
                <w:szCs w:val="19"/>
              </w:rPr>
              <w:t xml:space="preserve">Minimalna liczba rekordów</w:t>
            </w:r>
          </w:p>
        </w:tc>
        <w:tc>
          <w:tcPr>
            <w:tcW w:type="dxa" w:w="4826"/>
            <w:tcMar>
              <w:top w:type="dxa" w:w="70"/>
              <w:left w:type="dxa" w:w="110"/>
              <w:bottom w:type="dxa" w:w="70"/>
              <w:right w:type="dxa" w:w="110"/>
            </w:tcMar>
            <w:vAlign w:val="center"/>
          </w:tcPr>
          <w:p>
            <w:pPr>
              <w:spacing w:after="0" w:line="240"/>
            </w:pPr>
            <w:r>
              <w:rPr>
                <w:sz w:val="19"/>
                <w:szCs w:val="19"/>
              </w:rPr>
              <w:t xml:space="preserve">Zmianę formatu pliku lub niekompletny zrzut</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Wielkość zmiany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Błąd konwersji powodujący masową utratę lub duplikację danych</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tcMar>
              <w:top w:type="dxa" w:w="70"/>
              <w:left w:type="dxa" w:w="110"/>
              <w:bottom w:type="dxa" w:w="70"/>
              <w:right w:type="dxa" w:w="110"/>
            </w:tcMar>
            <w:vAlign w:val="center"/>
          </w:tcPr>
          <w:p>
            <w:pPr>
              <w:spacing w:after="0" w:line="240"/>
            </w:pPr>
            <w:r>
              <w:rPr>
                <w:sz w:val="19"/>
                <w:szCs w:val="19"/>
              </w:rPr>
              <w:t xml:space="preserve">Spadek w pojedynczej gminie</w:t>
            </w:r>
          </w:p>
        </w:tc>
        <w:tc>
          <w:tcPr>
            <w:tcW w:type="dxa" w:w="4826"/>
            <w:tcMar>
              <w:top w:type="dxa" w:w="70"/>
              <w:left w:type="dxa" w:w="110"/>
              <w:bottom w:type="dxa" w:w="70"/>
              <w:right w:type="dxa" w:w="110"/>
            </w:tcMar>
            <w:vAlign w:val="center"/>
          </w:tcPr>
          <w:p>
            <w:pPr>
              <w:spacing w:after="0" w:line="240"/>
            </w:pPr>
            <w:r>
              <w:rPr>
                <w:sz w:val="19"/>
                <w:szCs w:val="19"/>
              </w:rPr>
              <w:t xml:space="preserve">Wzorzec „zrzut bez miasta” — przypadek Wrocławia z 2016 r.</w:t>
            </w:r>
          </w:p>
        </w:tc>
        <w:tc>
          <w:tcPr>
            <w:tcW w:type="dxa" w:w="1800"/>
            <w:tcMar>
              <w:top w:type="dxa" w:w="70"/>
              <w:left w:type="dxa" w:w="110"/>
              <w:bottom w:type="dxa" w:w="70"/>
              <w:right w:type="dxa" w:w="110"/>
            </w:tcMar>
            <w:vAlign w:val="center"/>
          </w:tcPr>
          <w:p>
            <w:pPr>
              <w:spacing w:after="0" w:line="240"/>
            </w:pPr>
            <w:r>
              <w:rPr>
                <w:sz w:val="19"/>
                <w:szCs w:val="19"/>
              </w:rPr>
              <w:t xml:space="preserve">Blokująca</w:t>
            </w:r>
          </w:p>
        </w:tc>
      </w:tr>
      <w:tr>
        <w:tc>
          <w:tcPr>
            <w:tcW w:type="dxa" w:w="2400"/>
            <w:shd w:fill="F5F7F9" w:color="auto" w:val="clear"/>
            <w:tcMar>
              <w:top w:type="dxa" w:w="70"/>
              <w:left w:type="dxa" w:w="110"/>
              <w:bottom w:type="dxa" w:w="70"/>
              <w:right w:type="dxa" w:w="110"/>
            </w:tcMar>
            <w:vAlign w:val="center"/>
          </w:tcPr>
          <w:p>
            <w:pPr>
              <w:spacing w:after="0" w:line="240"/>
            </w:pPr>
            <w:r>
              <w:rPr>
                <w:sz w:val="19"/>
                <w:szCs w:val="19"/>
              </w:rPr>
              <w:t xml:space="preserve">Brak zmian w danych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Zamrożenie źródła — przypadek z czerwca 2024 r.</w:t>
            </w:r>
          </w:p>
        </w:tc>
        <w:tc>
          <w:tcPr>
            <w:tcW w:type="dxa" w:w="1800"/>
            <w:shd w:fill="F5F7F9" w:color="auto" w:val="clear"/>
            <w:tcMar>
              <w:top w:type="dxa" w:w="70"/>
              <w:left w:type="dxa" w:w="110"/>
              <w:bottom w:type="dxa" w:w="70"/>
              <w:right w:type="dxa" w:w="110"/>
            </w:tcMar>
            <w:vAlign w:val="center"/>
          </w:tcPr>
          <w:p>
            <w:pPr>
              <w:spacing w:after="0" w:line="240"/>
            </w:pPr>
            <w:r>
              <w:rPr>
                <w:sz w:val="19"/>
                <w:szCs w:val="19"/>
              </w:rPr>
              <w:t xml:space="preserve">Ostrzeżenie</w:t>
            </w:r>
          </w:p>
        </w:tc>
      </w:tr>
      <w:tr>
        <w:tc>
          <w:tcPr>
            <w:tcW w:type="dxa" w:w="2400"/>
            <w:tcMar>
              <w:top w:type="dxa" w:w="70"/>
              <w:left w:type="dxa" w:w="110"/>
              <w:bottom w:type="dxa" w:w="70"/>
              <w:right w:type="dxa" w:w="110"/>
            </w:tcMar>
            <w:vAlign w:val="center"/>
          </w:tcPr>
          <w:p>
            <w:pPr>
              <w:spacing w:after="0" w:line="240"/>
            </w:pPr>
            <w:r>
              <w:rPr>
                <w:sz w:val="19"/>
                <w:szCs w:val="19"/>
              </w:rPr>
              <w:t xml:space="preserve">Poprawność geometrii</w:t>
            </w:r>
          </w:p>
        </w:tc>
        <w:tc>
          <w:tcPr>
            <w:tcW w:type="dxa" w:w="4826"/>
            <w:tcMar>
              <w:top w:type="dxa" w:w="70"/>
              <w:left w:type="dxa" w:w="110"/>
              <w:bottom w:type="dxa" w:w="70"/>
              <w:right w:type="dxa" w:w="110"/>
            </w:tcMar>
            <w:vAlign w:val="center"/>
          </w:tcPr>
          <w:p>
            <w:pPr>
              <w:spacing w:after="0" w:line="240"/>
            </w:pPr>
            <w:r>
              <w:rPr>
                <w:sz w:val="19"/>
                <w:szCs w:val="19"/>
              </w:rPr>
              <w:t xml:space="preserve">Odwróconą kolejność osi współrzędnych i punkty poza granicami kraju</w:t>
            </w:r>
          </w:p>
        </w:tc>
        <w:tc>
          <w:tcPr>
            <w:tcW w:type="dxa" w:w="1800"/>
            <w:tcMar>
              <w:top w:type="dxa" w:w="70"/>
              <w:left w:type="dxa" w:w="110"/>
              <w:bottom w:type="dxa" w:w="70"/>
              <w:right w:type="dxa" w:w="110"/>
            </w:tcMar>
            <w:vAlign w:val="center"/>
          </w:tcPr>
          <w:p>
            <w:pPr>
              <w:spacing w:after="0" w:line="240"/>
            </w:pPr>
            <w:r>
              <w:rPr>
                <w:sz w:val="19"/>
                <w:szCs w:val="19"/>
              </w:rPr>
              <w:t xml:space="preserve">Blokująca przy punktach poza granicami kraju</w:t>
            </w:r>
          </w:p>
        </w:tc>
      </w:tr>
    </w:tbl>
    <w:p>
      <w:pPr>
        <w:spacing w:after="160"/>
      </w:pPr>
    </w:p>
    <w:p>
      <w:pPr>
        <w:spacing w:after="120" w:line="276"/>
      </w:pPr>
      <w:r>
        <w:rPr>
          <w:b/>
          <w:bCs/>
          <w:sz w:val="21"/>
          <w:szCs w:val="21"/>
        </w:rPr>
        <w:t xml:space="preserve">Kontrola blokująca wstrzymuje publikację i pozostawia poprzedni zrzut jako aktywny. </w:t>
      </w:r>
      <w:r>
        <w:rPr>
          <w:sz w:val="21"/>
          <w:szCs w:val="21"/>
        </w:rPr>
        <w:t xml:space="preserve">Przyjęta zasada: lepiej udostępniać dane sprzed tygodnia niż dane obejmujące połowę kraju. Obejście kontroli jest możliwe, ale wymaga jawnej decyzji operatora i pozostawia ślad w dzienniku zdarzeń.</w:t>
      </w:r>
    </w:p>
    <w:p>
      <w:pPr>
        <w:spacing w:after="120" w:line="276"/>
      </w:pPr>
      <w:r>
        <w:rPr>
          <w:b/>
          <w:bCs/>
          <w:sz w:val="21"/>
          <w:szCs w:val="21"/>
        </w:rPr>
        <w:t xml:space="preserve">Progi przy publikacji z 9 sierpnia 2026. </w:t>
      </w:r>
      <w:r>
        <w:rPr>
          <w:sz w:val="21"/>
          <w:szCs w:val="21"/>
        </w:rPr>
        <w:t xml:space="preserve">Próg minimalnej liczby rekordów zadziałał w wartości domyślnej, przewidzianej dla produkcji — wcześniejsze publikacje częściowe wymagały jego obniżania, ta potrzeba znika wraz z pełnym zakresem. Jednorazowo podniesiono natomiast próg wielkości zmiany: wejście z 1,99 mln na 8,61 mln punktów to wzrost o 332%, wobec 2% przewidzianych dla cyklu tygodniowego. Jest to parametryzacja kontroli, nie jej wyłączenie, i obowiązuje wyłącznie dla przebiegu pierwszego załadunku.</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Kontrola „spadek w pojedynczej gminie” wymagała naprawy, zanim zadziałała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 publikacji z 9 sierpnia 2026 kontrola ta wstrzymała podmianę fałszywie, raportując utratę wszystkich punktów w 20 gminach. Przyczyną było liczenie jej przed rozwiązaniem referencji do miejscowości — szczegóły w rozdziale 8.4.</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Znaczenie jest szersze niż jeden przebieg: w dotychczasowej postaci kontrola przechodziła wyłącznie na pustej bazie, czyli nie zabezpieczała żadnej aktualizacji. Po poprawce działa i przepuściła zbiór krajowy bez zastrzeżeń.</w:t>
      </w:r>
    </w:p>
    <w:p>
      <w:pPr>
        <w:spacing w:after="180"/>
      </w:pPr>
    </w:p>
    <w:p>
      <w:pPr>
        <w:pStyle w:val="Heading2"/>
        <w:spacing w:after="140" w:before="280"/>
      </w:pPr>
      <w:r>
        <w:t xml:space="preserve">7.3. Odporność na niedostępność źródła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300"/>
        <w:gridCol w:w="2226"/>
      </w:tblGrid>
      <w:tr>
        <w:trPr>
          <w:tblHeader/>
        </w:trPr>
        <w:tc>
          <w:tcPr>
            <w:tcW w:type="dxa" w:w="900"/>
            <w:shd w:fill="E8EDF2" w:color="auto" w:val="clear"/>
            <w:tcMar>
              <w:top w:type="dxa" w:w="70"/>
              <w:left w:type="dxa" w:w="110"/>
              <w:bottom w:type="dxa" w:w="70"/>
              <w:right w:type="dxa" w:w="110"/>
            </w:tcMar>
            <w:vAlign w:val="center"/>
          </w:tcPr>
          <w:p>
            <w:pPr>
              <w:spacing w:after="0" w:line="240"/>
            </w:pPr>
            <w:r>
              <w:rPr>
                <w:b/>
                <w:bCs/>
                <w:sz w:val="19"/>
                <w:szCs w:val="19"/>
              </w:rPr>
              <w:t xml:space="preserve">Poziom</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Źródło</w:t>
            </w:r>
          </w:p>
        </w:tc>
        <w:tc>
          <w:tcPr>
            <w:tcW w:type="dxa" w:w="3300"/>
            <w:shd w:fill="E8EDF2" w:color="auto" w:val="clear"/>
            <w:tcMar>
              <w:top w:type="dxa" w:w="70"/>
              <w:left w:type="dxa" w:w="110"/>
              <w:bottom w:type="dxa" w:w="70"/>
              <w:right w:type="dxa" w:w="110"/>
            </w:tcMar>
            <w:vAlign w:val="center"/>
          </w:tcPr>
          <w:p>
            <w:pPr>
              <w:spacing w:after="0" w:line="240"/>
            </w:pPr>
            <w:r>
              <w:rPr>
                <w:b/>
                <w:bCs/>
                <w:sz w:val="19"/>
                <w:szCs w:val="19"/>
              </w:rPr>
              <w:t xml:space="preserve">Warunek uruchomienia</w:t>
            </w:r>
          </w:p>
        </w:tc>
        <w:tc>
          <w:tcPr>
            <w:tcW w:type="dxa" w:w="22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900"/>
            <w:shd w:fill="EDF5EE" w:color="auto" w:val="clear"/>
            <w:tcMar>
              <w:top w:type="dxa" w:w="70"/>
              <w:left w:type="dxa" w:w="110"/>
              <w:bottom w:type="dxa" w:w="70"/>
              <w:right w:type="dxa" w:w="110"/>
            </w:tcMar>
            <w:vAlign w:val="center"/>
          </w:tcPr>
          <w:p>
            <w:pPr>
              <w:spacing w:after="0" w:line="240"/>
            </w:pPr>
            <w:r>
              <w:rPr>
                <w:sz w:val="19"/>
                <w:szCs w:val="19"/>
              </w:rPr>
              <w:t xml:space="preserve">1</w:t>
            </w:r>
          </w:p>
        </w:tc>
        <w:tc>
          <w:tcPr>
            <w:tcW w:type="dxa" w:w="2600"/>
            <w:shd w:fill="EDF5EE" w:color="auto" w:val="clear"/>
            <w:tcMar>
              <w:top w:type="dxa" w:w="70"/>
              <w:left w:type="dxa" w:w="110"/>
              <w:bottom w:type="dxa" w:w="70"/>
              <w:right w:type="dxa" w:w="110"/>
            </w:tcMar>
            <w:vAlign w:val="center"/>
          </w:tcPr>
          <w:p>
            <w:pPr>
              <w:spacing w:after="0" w:line="240"/>
            </w:pPr>
            <w:r>
              <w:rPr>
                <w:sz w:val="19"/>
                <w:szCs w:val="19"/>
              </w:rPr>
              <w:t xml:space="preserve">PRG (GUGiK)</w:t>
            </w:r>
          </w:p>
        </w:tc>
        <w:tc>
          <w:tcPr>
            <w:tcW w:type="dxa" w:w="3300"/>
            <w:shd w:fill="EDF5EE" w:color="auto" w:val="clear"/>
            <w:tcMar>
              <w:top w:type="dxa" w:w="70"/>
              <w:left w:type="dxa" w:w="110"/>
              <w:bottom w:type="dxa" w:w="70"/>
              <w:right w:type="dxa" w:w="110"/>
            </w:tcMar>
            <w:vAlign w:val="center"/>
          </w:tcPr>
          <w:p>
            <w:pPr>
              <w:spacing w:after="0" w:line="240"/>
            </w:pPr>
            <w:r>
              <w:rPr>
                <w:sz w:val="19"/>
                <w:szCs w:val="19"/>
              </w:rPr>
              <w:t xml:space="preserve">Domyślny</w:t>
            </w:r>
          </w:p>
        </w:tc>
        <w:tc>
          <w:tcPr>
            <w:tcW w:type="dxa" w:w="2226"/>
            <w:shd w:fill="EDF5EE" w:color="auto" w:val="clear"/>
            <w:tcMar>
              <w:top w:type="dxa" w:w="70"/>
              <w:left w:type="dxa" w:w="110"/>
              <w:bottom w:type="dxa" w:w="70"/>
              <w:right w:type="dxa" w:w="110"/>
            </w:tcMar>
            <w:vAlign w:val="center"/>
          </w:tcPr>
          <w:p>
            <w:pPr>
              <w:spacing w:after="0" w:line="240"/>
            </w:pPr>
            <w:r>
              <w:rPr>
                <w:sz w:val="19"/>
                <w:szCs w:val="19"/>
              </w:rPr>
              <w:t xml:space="preserve">Działa</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2</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iMPA (Geo-System)</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Niedostępność PRG powyżej 7 dni lub brak zmian powyżej 30 dni</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 — wymaga wyjaśnienia licencji</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3</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Otwarte dane miast</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Uzupełnienie luk w dużych ośrodkach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Zaplanowany</w:t>
            </w:r>
          </w:p>
        </w:tc>
      </w:tr>
      <w:tr>
        <w:tc>
          <w:tcPr>
            <w:tcW w:type="dxa" w:w="900"/>
            <w:shd w:fill="FDF1E7" w:color="auto" w:val="clear"/>
            <w:tcMar>
              <w:top w:type="dxa" w:w="70"/>
              <w:left w:type="dxa" w:w="110"/>
              <w:bottom w:type="dxa" w:w="70"/>
              <w:right w:type="dxa" w:w="110"/>
            </w:tcMar>
            <w:vAlign w:val="center"/>
          </w:tcPr>
          <w:p>
            <w:pPr>
              <w:spacing w:after="0" w:line="240"/>
            </w:pPr>
            <w:r>
              <w:rPr>
                <w:sz w:val="19"/>
                <w:szCs w:val="19"/>
              </w:rPr>
              <w:t xml:space="preserve">4</w:t>
            </w:r>
          </w:p>
        </w:tc>
        <w:tc>
          <w:tcPr>
            <w:tcW w:type="dxa" w:w="2600"/>
            <w:shd w:fill="FDF1E7" w:color="auto" w:val="clear"/>
            <w:tcMar>
              <w:top w:type="dxa" w:w="70"/>
              <w:left w:type="dxa" w:w="110"/>
              <w:bottom w:type="dxa" w:w="70"/>
              <w:right w:type="dxa" w:w="110"/>
            </w:tcMar>
            <w:vAlign w:val="center"/>
          </w:tcPr>
          <w:p>
            <w:pPr>
              <w:spacing w:after="0" w:line="240"/>
            </w:pPr>
            <w:r>
              <w:rPr>
                <w:sz w:val="19"/>
                <w:szCs w:val="19"/>
              </w:rPr>
              <w:t xml:space="preserve">Własne archiwum plików źródłowych</w:t>
            </w:r>
          </w:p>
        </w:tc>
        <w:tc>
          <w:tcPr>
            <w:tcW w:type="dxa" w:w="3300"/>
            <w:shd w:fill="FDF1E7" w:color="auto" w:val="clear"/>
            <w:tcMar>
              <w:top w:type="dxa" w:w="70"/>
              <w:left w:type="dxa" w:w="110"/>
              <w:bottom w:type="dxa" w:w="70"/>
              <w:right w:type="dxa" w:w="110"/>
            </w:tcMar>
            <w:vAlign w:val="center"/>
          </w:tcPr>
          <w:p>
            <w:pPr>
              <w:spacing w:after="0" w:line="240"/>
            </w:pPr>
            <w:r>
              <w:rPr>
                <w:sz w:val="19"/>
                <w:szCs w:val="19"/>
              </w:rPr>
              <w:t xml:space="preserve">Awaria wszystkich źródeł zewnętrznych</w:t>
            </w:r>
          </w:p>
        </w:tc>
        <w:tc>
          <w:tcPr>
            <w:tcW w:type="dxa" w:w="2226"/>
            <w:shd w:fill="FDF1E7" w:color="auto" w:val="clear"/>
            <w:tcMar>
              <w:top w:type="dxa" w:w="70"/>
              <w:left w:type="dxa" w:w="110"/>
              <w:bottom w:type="dxa" w:w="70"/>
              <w:right w:type="dxa" w:w="110"/>
            </w:tcMar>
            <w:vAlign w:val="center"/>
          </w:tcPr>
          <w:p>
            <w:pPr>
              <w:spacing w:after="0" w:line="240"/>
            </w:pPr>
            <w:r>
              <w:rPr>
                <w:sz w:val="19"/>
                <w:szCs w:val="19"/>
              </w:rPr>
              <w:t xml:space="preserve">Działa — archiwum poza maszyną od 9.08.2026, sumy zweryfikowane u odbiorcy</w:t>
            </w:r>
          </w:p>
        </w:tc>
      </w:tr>
    </w:tbl>
    <w:p>
      <w:pPr>
        <w:spacing w:after="160"/>
      </w:pPr>
    </w:p>
    <w:p>
      <w:pPr>
        <w:spacing w:after="120" w:line="276"/>
      </w:pPr>
      <w:r>
        <w:rPr>
          <w:sz w:val="21"/>
          <w:szCs w:val="21"/>
        </w:rPr>
        <w:t xml:space="preserve">Poziom czwarty ma istotne znaczenie dla ciągłości działania. Własne wersjonowane archiwum — około 1,8 GB na zrzut, wielkość zmierzona dla kompletu 16 województw, przy zrzutach miesięcznych ok. 22 GB rocznie — oznacza, że trwała niedostępność rejestru PRG powoduje degradację usługi do stanu „dane nie starsze niż ostatni zrzut”, a nie jej wyłączenie.</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Zastrzeżenie: dziś działają dwa poziomy z czterech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Poziomy 2 i 3 są zaprojektowane, ale nie zbudowane. Faktyczne zabezpieczenie stanowią dziś rejestr PRG i własne archiwum.</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Archiwum przestało być pojedynczą kopią 9 sierpnia 2026 — awaria dysku roboczego nie oznacza już utraty poziomu 4 ani bezpowrotnej utraty zrzutu w strukturze sprzed 1 września 2026.</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Pozostaje natomiast zastrzeżenie innego rodzaju: odtworzenia z tej kopii nie przeprowadzono ani razu. Kopia zweryfikowana sumami kontrolnymi dowodzi, że pliki dotarły bez uszkodzenia — nie dowodzi, że da się z nich odtworzyć działającą bazę. Do czasu takiego testu poziom 4 należy uznawać za prawdopodobny, a nie potwierdzony.</w:t>
      </w:r>
    </w:p>
    <w:p>
      <w:pPr>
        <w:spacing w:after="180"/>
      </w:pPr>
    </w:p>
    <w:p>
      <w:r>
        <w:br w:type="page"/>
      </w:r>
    </w:p>
    <w:p>
      <w:pPr>
        <w:pStyle w:val="Heading1"/>
        <w:spacing w:after="180" w:before="360"/>
      </w:pPr>
      <w:r>
        <w:t xml:space="preserve">8. Wyniki weryfikacji</w:t>
      </w:r>
    </w:p>
    <w:p>
      <w:pPr>
        <w:pStyle w:val="Heading2"/>
        <w:spacing w:after="140" w:before="280"/>
      </w:pPr>
      <w:r>
        <w:t xml:space="preserve">8.1. Test integracyjny</w:t>
      </w:r>
    </w:p>
    <w:p>
      <w:pPr>
        <w:spacing w:after="120" w:line="276"/>
      </w:pPr>
      <w:r>
        <w:rPr>
          <w:sz w:val="21"/>
          <w:szCs w:val="21"/>
        </w:rPr>
        <w:t xml:space="preserve">Całą ścieżkę przetestowano na działającej instancji PostgreSQL 17.5 z PostGIS 3.5, dla obu struktur danych źródłowych — dotychczasowej i obowiązującej od września.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6226"/>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r>
      <w:tr>
        <w:tc>
          <w:tcPr>
            <w:tcW w:type="dxa" w:w="2800"/>
            <w:tcMar>
              <w:top w:type="dxa" w:w="70"/>
              <w:left w:type="dxa" w:w="110"/>
              <w:bottom w:type="dxa" w:w="70"/>
              <w:right w:type="dxa" w:w="110"/>
            </w:tcMar>
            <w:vAlign w:val="center"/>
          </w:tcPr>
          <w:p>
            <w:pPr>
              <w:spacing w:after="0" w:line="240"/>
            </w:pPr>
            <w:r>
              <w:rPr>
                <w:sz w:val="19"/>
                <w:szCs w:val="19"/>
              </w:rPr>
              <w:t xml:space="preserve">Rozpoznanie struktury pliku</w:t>
            </w:r>
          </w:p>
        </w:tc>
        <w:tc>
          <w:tcPr>
            <w:tcW w:type="dxa" w:w="6226"/>
            <w:tcMar>
              <w:top w:type="dxa" w:w="70"/>
              <w:left w:type="dxa" w:w="110"/>
              <w:bottom w:type="dxa" w:w="70"/>
              <w:right w:type="dxa" w:w="110"/>
            </w:tcMar>
            <w:vAlign w:val="center"/>
          </w:tcPr>
          <w:p>
            <w:pPr>
              <w:spacing w:after="0" w:line="240"/>
            </w:pPr>
            <w:r>
              <w:rPr>
                <w:sz w:val="19"/>
                <w:szCs w:val="19"/>
              </w:rPr>
              <w:t xml:space="preserve">Struktura i przestrzeń nazw wykryte automatycznie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Przetworzenie, struktura nowa</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Współrzędne przeliczone poprawnie z układu PL-1992 na WGS84</w:t>
            </w:r>
          </w:p>
        </w:tc>
      </w:tr>
      <w:tr>
        <w:tc>
          <w:tcPr>
            <w:tcW w:type="dxa" w:w="2800"/>
            <w:tcMar>
              <w:top w:type="dxa" w:w="70"/>
              <w:left w:type="dxa" w:w="110"/>
              <w:bottom w:type="dxa" w:w="70"/>
              <w:right w:type="dxa" w:w="110"/>
            </w:tcMar>
            <w:vAlign w:val="center"/>
          </w:tcPr>
          <w:p>
            <w:pPr>
              <w:spacing w:after="0" w:line="240"/>
            </w:pPr>
            <w:r>
              <w:rPr>
                <w:sz w:val="19"/>
                <w:szCs w:val="19"/>
              </w:rPr>
              <w:t xml:space="preserve">Przetworzenie, struktura dotychczasowa</w:t>
            </w:r>
          </w:p>
        </w:tc>
        <w:tc>
          <w:tcPr>
            <w:tcW w:type="dxa" w:w="6226"/>
            <w:tcMar>
              <w:top w:type="dxa" w:w="70"/>
              <w:left w:type="dxa" w:w="110"/>
              <w:bottom w:type="dxa" w:w="70"/>
              <w:right w:type="dxa" w:w="110"/>
            </w:tcMar>
            <w:vAlign w:val="center"/>
          </w:tcPr>
          <w:p>
            <w:pPr>
              <w:spacing w:after="0" w:line="240"/>
            </w:pPr>
            <w:r>
              <w:rPr>
                <w:sz w:val="19"/>
                <w:szCs w:val="19"/>
              </w:rPr>
              <w:t xml:space="preserve">Identyczne współrzędne; rekordy oznaczone jako brak numeru odrzucone</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Kontrole jakości</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Poprawnie wstrzymały publikację przy liczbie rekordów poniżej progu</w:t>
            </w:r>
          </w:p>
        </w:tc>
      </w:tr>
      <w:tr>
        <w:tc>
          <w:tcPr>
            <w:tcW w:type="dxa" w:w="2800"/>
            <w:tcMar>
              <w:top w:type="dxa" w:w="70"/>
              <w:left w:type="dxa" w:w="110"/>
              <w:bottom w:type="dxa" w:w="70"/>
              <w:right w:type="dxa" w:w="110"/>
            </w:tcMar>
            <w:vAlign w:val="center"/>
          </w:tcPr>
          <w:p>
            <w:pPr>
              <w:spacing w:after="0" w:line="240"/>
            </w:pPr>
            <w:r>
              <w:rPr>
                <w:sz w:val="19"/>
                <w:szCs w:val="19"/>
              </w:rPr>
              <w:t xml:space="preserve">Publikacja</w:t>
            </w:r>
          </w:p>
        </w:tc>
        <w:tc>
          <w:tcPr>
            <w:tcW w:type="dxa" w:w="6226"/>
            <w:tcMar>
              <w:top w:type="dxa" w:w="70"/>
              <w:left w:type="dxa" w:w="110"/>
              <w:bottom w:type="dxa" w:w="70"/>
              <w:right w:type="dxa" w:w="110"/>
            </w:tcMar>
            <w:vAlign w:val="center"/>
          </w:tcPr>
          <w:p>
            <w:pPr>
              <w:spacing w:after="0" w:line="240"/>
            </w:pPr>
            <w:r>
              <w:rPr>
                <w:sz w:val="19"/>
                <w:szCs w:val="19"/>
              </w:rPr>
              <w:t xml:space="preserve">Wykonana transakcyjnie, z raportem zmian</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Pola pochodne</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Znacznik występowania ulic, liczba punktów i nazwa potoczna wyliczone poprawnie</w:t>
            </w:r>
          </w:p>
        </w:tc>
      </w:tr>
      <w:tr>
        <w:tc>
          <w:tcPr>
            <w:tcW w:type="dxa" w:w="2800"/>
            <w:tcMar>
              <w:top w:type="dxa" w:w="70"/>
              <w:left w:type="dxa" w:w="110"/>
              <w:bottom w:type="dxa" w:w="70"/>
              <w:right w:type="dxa" w:w="110"/>
            </w:tcMar>
            <w:vAlign w:val="center"/>
          </w:tcPr>
          <w:p>
            <w:pPr>
              <w:spacing w:after="0" w:line="240"/>
            </w:pPr>
            <w:r>
              <w:rPr>
                <w:sz w:val="19"/>
                <w:szCs w:val="19"/>
              </w:rPr>
              <w:t xml:space="preserve">Walidacja adresu</w:t>
            </w:r>
          </w:p>
        </w:tc>
        <w:tc>
          <w:tcPr>
            <w:tcW w:type="dxa" w:w="6226"/>
            <w:tcMar>
              <w:top w:type="dxa" w:w="70"/>
              <w:left w:type="dxa" w:w="110"/>
              <w:bottom w:type="dxa" w:w="70"/>
              <w:right w:type="dxa" w:w="110"/>
            </w:tcMar>
            <w:vAlign w:val="center"/>
          </w:tcPr>
          <w:p>
            <w:pPr>
              <w:spacing w:after="0" w:line="240"/>
            </w:pPr>
            <w:r>
              <w:rPr>
                <w:sz w:val="19"/>
                <w:szCs w:val="19"/>
              </w:rPr>
              <w:t xml:space="preserve">Zapis „ul. Kościuszki 12A, 00-950 Warszawa” rozpoznany jako „Tadeusza Kościuszki” wraz z identyfikatorami rejestrowymi, kodem gminy i współrzędnymi</w:t>
            </w:r>
          </w:p>
        </w:tc>
      </w:tr>
      <w:tr>
        <w:tc>
          <w:tcPr>
            <w:tcW w:type="dxa" w:w="2800"/>
            <w:shd w:fill="F5F7F9" w:color="auto" w:val="clear"/>
            <w:tcMar>
              <w:top w:type="dxa" w:w="70"/>
              <w:left w:type="dxa" w:w="110"/>
              <w:bottom w:type="dxa" w:w="70"/>
              <w:right w:type="dxa" w:w="110"/>
            </w:tcMar>
            <w:vAlign w:val="center"/>
          </w:tcPr>
          <w:p>
            <w:pPr>
              <w:spacing w:after="0" w:line="240"/>
            </w:pPr>
            <w:r>
              <w:rPr>
                <w:sz w:val="19"/>
                <w:szCs w:val="19"/>
              </w:rPr>
              <w:t xml:space="preserve">Numer spoza rejestru</w:t>
            </w:r>
          </w:p>
        </w:tc>
        <w:tc>
          <w:tcPr>
            <w:tcW w:type="dxa" w:w="6226"/>
            <w:shd w:fill="F5F7F9" w:color="auto" w:val="clear"/>
            <w:tcMar>
              <w:top w:type="dxa" w:w="70"/>
              <w:left w:type="dxa" w:w="110"/>
              <w:bottom w:type="dxa" w:w="70"/>
              <w:right w:type="dxa" w:w="110"/>
            </w:tcMar>
            <w:vAlign w:val="center"/>
          </w:tcPr>
          <w:p>
            <w:pPr>
              <w:spacing w:after="0" w:line="240"/>
            </w:pPr>
            <w:r>
              <w:rPr>
                <w:sz w:val="19"/>
                <w:szCs w:val="19"/>
              </w:rPr>
              <w:t xml:space="preserve">Poziom pewności obniżony, zwrócone ostrzeżenie zamiast błędu</w:t>
            </w:r>
          </w:p>
        </w:tc>
      </w:tr>
    </w:tbl>
    <w:p>
      <w:pPr>
        <w:spacing w:after="160"/>
      </w:pPr>
    </w:p>
    <w:p>
      <w:pPr>
        <w:pStyle w:val="Heading2"/>
        <w:spacing w:after="140" w:before="280"/>
      </w:pPr>
      <w:r>
        <w:t xml:space="preserve">8.2. Wydajność wyszukiwania — pomiar wstępny na zbiorze syntetycznym</w:t>
      </w:r>
    </w:p>
    <w:p>
      <w:pPr>
        <w:spacing w:after="120" w:line="276"/>
      </w:pPr>
      <w:r>
        <w:rPr>
          <w:sz w:val="21"/>
          <w:szCs w:val="21"/>
        </w:rPr>
        <w:t xml:space="preserve">Pomiary z tego podrozdziału wykonano przed uruchomieniem na danych rzeczywistych, na zbiorze syntetycznym o zbliżonej liczebności: 103 tys. miejscowości i 270 tys. ulic, łącznie 373 tys. pozycji. Jak się później okazało, rozkład powtarzalności nazw w tym zbiorze odbiegał od rzeczywistego — dlatego wyniki bezwzględne zostały zastąpione pomiarami z podrozdziału 8.6. Zachowujemy je, ponieważ porównanie podejść pozostaje ważne.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Podejście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Mediana czasu odpowiedzi</w:t>
            </w:r>
          </w:p>
        </w:tc>
        <w:tc>
          <w:tcPr>
            <w:tcW w:type="dxa" w:w="2526"/>
            <w:shd w:fill="E8EDF2" w:color="auto" w:val="clear"/>
            <w:tcMar>
              <w:top w:type="dxa" w:w="70"/>
              <w:left w:type="dxa" w:w="110"/>
              <w:bottom w:type="dxa" w:w="70"/>
              <w:right w:type="dxa" w:w="110"/>
            </w:tcMar>
            <w:vAlign w:val="center"/>
          </w:tcPr>
          <w:p>
            <w:pPr>
              <w:spacing w:after="0" w:line="240"/>
            </w:pPr>
            <w:r>
              <w:rPr>
                <w:b/>
                <w:bCs/>
                <w:sz w:val="19"/>
                <w:szCs w:val="19"/>
              </w:rPr>
              <w:t xml:space="preserve">Ocena przydatności</w:t>
            </w:r>
          </w:p>
        </w:tc>
      </w:tr>
      <w:tr>
        <w:tc>
          <w:tcPr>
            <w:tcW w:type="dxa" w:w="4000"/>
            <w:tcMar>
              <w:top w:type="dxa" w:w="70"/>
              <w:left w:type="dxa" w:w="110"/>
              <w:bottom w:type="dxa" w:w="70"/>
              <w:right w:type="dxa" w:w="110"/>
            </w:tcMar>
            <w:vAlign w:val="center"/>
          </w:tcPr>
          <w:p>
            <w:pPr>
              <w:spacing w:after="0" w:line="240"/>
            </w:pPr>
            <w:r>
              <w:rPr>
                <w:sz w:val="19"/>
                <w:szCs w:val="19"/>
              </w:rPr>
              <w:t xml:space="preserve">Zapytanie do bazy z sortowaniem po podobieństwie tekstowym</w:t>
            </w:r>
          </w:p>
        </w:tc>
        <w:tc>
          <w:tcPr>
            <w:tcW w:type="dxa" w:w="2500"/>
            <w:tcMar>
              <w:top w:type="dxa" w:w="70"/>
              <w:left w:type="dxa" w:w="110"/>
              <w:bottom w:type="dxa" w:w="70"/>
              <w:right w:type="dxa" w:w="110"/>
            </w:tcMar>
            <w:vAlign w:val="center"/>
          </w:tcPr>
          <w:p>
            <w:pPr>
              <w:spacing w:after="0" w:line="240"/>
            </w:pPr>
            <w:r>
              <w:rPr>
                <w:sz w:val="19"/>
                <w:szCs w:val="19"/>
              </w:rPr>
              <w:t xml:space="preserve">4 922 ms</w:t>
            </w:r>
          </w:p>
        </w:tc>
        <w:tc>
          <w:tcPr>
            <w:tcW w:type="dxa" w:w="2526"/>
            <w:tcMar>
              <w:top w:type="dxa" w:w="70"/>
              <w:left w:type="dxa" w:w="110"/>
              <w:bottom w:type="dxa" w:w="70"/>
              <w:right w:type="dxa" w:w="110"/>
            </w:tcMar>
            <w:vAlign w:val="center"/>
          </w:tcPr>
          <w:p>
            <w:pPr>
              <w:spacing w:after="0" w:line="240"/>
            </w:pPr>
            <w:r>
              <w:rPr>
                <w:sz w:val="19"/>
                <w:szCs w:val="19"/>
              </w:rPr>
              <w:t xml:space="preserve">Nie nadaje się</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Zapytanie do bazy z indeksem tekstowym, fraza 14 znaków</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117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Koszt rośnie z długością zapytania</w:t>
            </w:r>
          </w:p>
        </w:tc>
      </w:tr>
      <w:tr>
        <w:tc>
          <w:tcPr>
            <w:tcW w:type="dxa" w:w="4000"/>
            <w:tcMar>
              <w:top w:type="dxa" w:w="70"/>
              <w:left w:type="dxa" w:w="110"/>
              <w:bottom w:type="dxa" w:w="70"/>
              <w:right w:type="dxa" w:w="110"/>
            </w:tcMar>
            <w:vAlign w:val="center"/>
          </w:tcPr>
          <w:p>
            <w:pPr>
              <w:spacing w:after="0" w:line="240"/>
            </w:pPr>
            <w:r>
              <w:rPr>
                <w:sz w:val="19"/>
                <w:szCs w:val="19"/>
              </w:rPr>
              <w:t xml:space="preserve">Indeks w pamięci procesu (rozwiązanie przyjęte)</w:t>
            </w:r>
          </w:p>
        </w:tc>
        <w:tc>
          <w:tcPr>
            <w:tcW w:type="dxa" w:w="2500"/>
            <w:tcMar>
              <w:top w:type="dxa" w:w="70"/>
              <w:left w:type="dxa" w:w="110"/>
              <w:bottom w:type="dxa" w:w="70"/>
              <w:right w:type="dxa" w:w="110"/>
            </w:tcMar>
            <w:vAlign w:val="center"/>
          </w:tcPr>
          <w:p>
            <w:pPr>
              <w:spacing w:after="0" w:line="240"/>
            </w:pPr>
            <w:r>
              <w:rPr>
                <w:sz w:val="19"/>
                <w:szCs w:val="19"/>
              </w:rPr>
              <w:t xml:space="preserve">0,49 ms</w:t>
            </w:r>
          </w:p>
        </w:tc>
        <w:tc>
          <w:tcPr>
            <w:tcW w:type="dxa" w:w="2526"/>
            <w:tcMar>
              <w:top w:type="dxa" w:w="70"/>
              <w:left w:type="dxa" w:w="110"/>
              <w:bottom w:type="dxa" w:w="70"/>
              <w:right w:type="dxa" w:w="110"/>
            </w:tcMar>
            <w:vAlign w:val="center"/>
          </w:tcPr>
          <w:p>
            <w:pPr>
              <w:spacing w:after="0" w:line="240"/>
            </w:pPr>
            <w:r>
              <w:rPr>
                <w:sz w:val="19"/>
                <w:szCs w:val="19"/>
              </w:rPr>
              <w:t xml:space="preserve">Przyjęte</w:t>
            </w:r>
          </w:p>
        </w:tc>
      </w:tr>
      <w:tr>
        <w:tc>
          <w:tcPr>
            <w:tcW w:type="dxa" w:w="4000"/>
            <w:shd w:fill="F5F7F9" w:color="auto" w:val="clear"/>
            <w:tcMar>
              <w:top w:type="dxa" w:w="70"/>
              <w:left w:type="dxa" w:w="110"/>
              <w:bottom w:type="dxa" w:w="70"/>
              <w:right w:type="dxa" w:w="110"/>
            </w:tcMar>
            <w:vAlign w:val="center"/>
          </w:tcPr>
          <w:p>
            <w:pPr>
              <w:spacing w:after="0" w:line="240"/>
            </w:pPr>
            <w:r>
              <w:rPr>
                <w:sz w:val="19"/>
                <w:szCs w:val="19"/>
              </w:rPr>
              <w:t xml:space="preserve">Pobranie numerów budynków z bazy po wyborze ulicy</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0,22 ms</w:t>
            </w:r>
          </w:p>
        </w:tc>
        <w:tc>
          <w:tcPr>
            <w:tcW w:type="dxa" w:w="2526"/>
            <w:shd w:fill="F5F7F9" w:color="auto" w:val="clear"/>
            <w:tcMar>
              <w:top w:type="dxa" w:w="70"/>
              <w:left w:type="dxa" w:w="110"/>
              <w:bottom w:type="dxa" w:w="70"/>
              <w:right w:type="dxa" w:w="110"/>
            </w:tcMar>
            <w:vAlign w:val="center"/>
          </w:tcPr>
          <w:p>
            <w:pPr>
              <w:spacing w:after="0" w:line="240"/>
            </w:pPr>
            <w:r>
              <w:rPr>
                <w:sz w:val="19"/>
                <w:szCs w:val="19"/>
              </w:rPr>
              <w:t xml:space="preserve">Przyjęte</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26"/>
      </w:tblGrid>
      <w:tr>
        <w:trPr>
          <w:tblHeader/>
        </w:trPr>
        <w:tc>
          <w:tcPr>
            <w:tcW w:type="dxa" w:w="3200"/>
            <w:shd w:fill="E8EDF2" w:color="auto" w:val="clear"/>
            <w:tcMar>
              <w:top w:type="dxa" w:w="70"/>
              <w:left w:type="dxa" w:w="110"/>
              <w:bottom w:type="dxa" w:w="70"/>
              <w:right w:type="dxa" w:w="110"/>
            </w:tcMar>
            <w:vAlign w:val="center"/>
          </w:tcPr>
          <w:p>
            <w:pPr>
              <w:spacing w:after="0" w:line="240"/>
            </w:pPr>
            <w:r>
              <w:rPr>
                <w:b/>
                <w:bCs/>
                <w:sz w:val="19"/>
                <w:szCs w:val="19"/>
              </w:rPr>
              <w:t xml:space="preserve">Parametr</w:t>
            </w:r>
          </w:p>
        </w:tc>
        <w:tc>
          <w:tcPr>
            <w:tcW w:type="dxa" w:w="2900"/>
            <w:shd w:fill="E8EDF2" w:color="auto" w:val="clear"/>
            <w:tcMar>
              <w:top w:type="dxa" w:w="70"/>
              <w:left w:type="dxa" w:w="110"/>
              <w:bottom w:type="dxa" w:w="70"/>
              <w:right w:type="dxa" w:w="110"/>
            </w:tcMar>
            <w:vAlign w:val="center"/>
          </w:tcPr>
          <w:p>
            <w:pPr>
              <w:spacing w:after="0" w:line="240"/>
            </w:pPr>
            <w:r>
              <w:rPr>
                <w:b/>
                <w:bCs/>
                <w:sz w:val="19"/>
                <w:szCs w:val="19"/>
              </w:rPr>
              <w:t xml:space="preserve">Zbiór syntetyczny</w:t>
            </w:r>
          </w:p>
        </w:tc>
        <w:tc>
          <w:tcPr>
            <w:tcW w:type="dxa" w:w="2926"/>
            <w:shd w:fill="E8EDF2" w:color="auto" w:val="clear"/>
            <w:tcMar>
              <w:top w:type="dxa" w:w="70"/>
              <w:left w:type="dxa" w:w="110"/>
              <w:bottom w:type="dxa" w:w="70"/>
              <w:right w:type="dxa" w:w="110"/>
            </w:tcMar>
            <w:vAlign w:val="center"/>
          </w:tcPr>
          <w:p>
            <w:pPr>
              <w:spacing w:after="0" w:line="240"/>
            </w:pPr>
            <w:r>
              <w:rPr>
                <w:b/>
                <w:bCs/>
                <w:sz w:val="19"/>
                <w:szCs w:val="19"/>
              </w:rPr>
              <w:t xml:space="preserve">Dane rzeczywiste (8.3, 8.6)</w:t>
            </w:r>
          </w:p>
        </w:tc>
      </w:tr>
      <w:tr>
        <w:tc>
          <w:tcPr>
            <w:tcW w:type="dxa" w:w="3200"/>
            <w:tcMar>
              <w:top w:type="dxa" w:w="70"/>
              <w:left w:type="dxa" w:w="110"/>
              <w:bottom w:type="dxa" w:w="70"/>
              <w:right w:type="dxa" w:w="110"/>
            </w:tcMar>
            <w:vAlign w:val="center"/>
          </w:tcPr>
          <w:p>
            <w:pPr>
              <w:spacing w:after="0" w:line="240"/>
            </w:pPr>
            <w:r>
              <w:rPr>
                <w:sz w:val="19"/>
                <w:szCs w:val="19"/>
              </w:rPr>
              <w:t xml:space="preserve">Mediana czasu odpowiedzi</w:t>
            </w:r>
          </w:p>
        </w:tc>
        <w:tc>
          <w:tcPr>
            <w:tcW w:type="dxa" w:w="2900"/>
            <w:tcMar>
              <w:top w:type="dxa" w:w="70"/>
              <w:left w:type="dxa" w:w="110"/>
              <w:bottom w:type="dxa" w:w="70"/>
              <w:right w:type="dxa" w:w="110"/>
            </w:tcMar>
            <w:vAlign w:val="center"/>
          </w:tcPr>
          <w:p>
            <w:pPr>
              <w:spacing w:after="0" w:line="240"/>
            </w:pPr>
            <w:r>
              <w:rPr>
                <w:sz w:val="19"/>
                <w:szCs w:val="19"/>
              </w:rPr>
              <w:t xml:space="preserve">0,49 ms</w:t>
            </w:r>
          </w:p>
        </w:tc>
        <w:tc>
          <w:tcPr>
            <w:tcW w:type="dxa" w:w="2926"/>
            <w:tcMar>
              <w:top w:type="dxa" w:w="70"/>
              <w:left w:type="dxa" w:w="110"/>
              <w:bottom w:type="dxa" w:w="70"/>
              <w:right w:type="dxa" w:w="110"/>
            </w:tcMar>
            <w:vAlign w:val="center"/>
          </w:tcPr>
          <w:p>
            <w:pPr>
              <w:spacing w:after="0" w:line="240"/>
            </w:pPr>
            <w:r>
              <w:rPr>
                <w:sz w:val="19"/>
                <w:szCs w:val="19"/>
              </w:rPr>
              <w:t xml:space="preserve">0,81 ms (silnik)</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95. percentyl</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1,11 ms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4,63 ms (silnik)</w:t>
            </w:r>
          </w:p>
        </w:tc>
      </w:tr>
      <w:tr>
        <w:tc>
          <w:tcPr>
            <w:tcW w:type="dxa" w:w="3200"/>
            <w:tcMar>
              <w:top w:type="dxa" w:w="70"/>
              <w:left w:type="dxa" w:w="110"/>
              <w:bottom w:type="dxa" w:w="70"/>
              <w:right w:type="dxa" w:w="110"/>
            </w:tcMar>
            <w:vAlign w:val="center"/>
          </w:tcPr>
          <w:p>
            <w:pPr>
              <w:spacing w:after="0" w:line="240"/>
            </w:pPr>
            <w:r>
              <w:rPr>
                <w:sz w:val="19"/>
                <w:szCs w:val="19"/>
              </w:rPr>
              <w:t xml:space="preserve">99. percentyl</w:t>
            </w:r>
          </w:p>
        </w:tc>
        <w:tc>
          <w:tcPr>
            <w:tcW w:type="dxa" w:w="2900"/>
            <w:tcMar>
              <w:top w:type="dxa" w:w="70"/>
              <w:left w:type="dxa" w:w="110"/>
              <w:bottom w:type="dxa" w:w="70"/>
              <w:right w:type="dxa" w:w="110"/>
            </w:tcMar>
            <w:vAlign w:val="center"/>
          </w:tcPr>
          <w:p>
            <w:pPr>
              <w:spacing w:after="0" w:line="240"/>
            </w:pPr>
            <w:r>
              <w:rPr>
                <w:sz w:val="19"/>
                <w:szCs w:val="19"/>
              </w:rPr>
              <w:t xml:space="preserve">1,84 ms</w:t>
            </w:r>
          </w:p>
        </w:tc>
        <w:tc>
          <w:tcPr>
            <w:tcW w:type="dxa" w:w="2926"/>
            <w:tcMar>
              <w:top w:type="dxa" w:w="70"/>
              <w:left w:type="dxa" w:w="110"/>
              <w:bottom w:type="dxa" w:w="70"/>
              <w:right w:type="dxa" w:w="110"/>
            </w:tcMar>
            <w:vAlign w:val="center"/>
          </w:tcPr>
          <w:p>
            <w:pPr>
              <w:spacing w:after="0" w:line="240"/>
            </w:pPr>
            <w:r>
              <w:rPr>
                <w:sz w:val="19"/>
                <w:szCs w:val="19"/>
              </w:rPr>
              <w:t xml:space="preserve">9,38 ms (silnik)</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Rozmiar artefaktu indeksu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53 MB</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54,5 MB</w:t>
            </w:r>
          </w:p>
        </w:tc>
      </w:tr>
      <w:tr>
        <w:tc>
          <w:tcPr>
            <w:tcW w:type="dxa" w:w="3200"/>
            <w:tcMar>
              <w:top w:type="dxa" w:w="70"/>
              <w:left w:type="dxa" w:w="110"/>
              <w:bottom w:type="dxa" w:w="70"/>
              <w:right w:type="dxa" w:w="110"/>
            </w:tcMar>
            <w:vAlign w:val="center"/>
          </w:tcPr>
          <w:p>
            <w:pPr>
              <w:spacing w:after="0" w:line="240"/>
            </w:pPr>
            <w:r>
              <w:rPr>
                <w:sz w:val="19"/>
                <w:szCs w:val="19"/>
              </w:rPr>
              <w:t xml:space="preserve">Liczba pozycji w indeksie</w:t>
            </w:r>
          </w:p>
        </w:tc>
        <w:tc>
          <w:tcPr>
            <w:tcW w:type="dxa" w:w="2900"/>
            <w:tcMar>
              <w:top w:type="dxa" w:w="70"/>
              <w:left w:type="dxa" w:w="110"/>
              <w:bottom w:type="dxa" w:w="70"/>
              <w:right w:type="dxa" w:w="110"/>
            </w:tcMar>
            <w:vAlign w:val="center"/>
          </w:tcPr>
          <w:p>
            <w:pPr>
              <w:spacing w:after="0" w:line="240"/>
            </w:pPr>
            <w:r>
              <w:rPr>
                <w:sz w:val="19"/>
                <w:szCs w:val="19"/>
              </w:rPr>
              <w:t xml:space="preserve">373 tys.</w:t>
            </w:r>
          </w:p>
        </w:tc>
        <w:tc>
          <w:tcPr>
            <w:tcW w:type="dxa" w:w="2926"/>
            <w:tcMar>
              <w:top w:type="dxa" w:w="70"/>
              <w:left w:type="dxa" w:w="110"/>
              <w:bottom w:type="dxa" w:w="70"/>
              <w:right w:type="dxa" w:w="110"/>
            </w:tcMar>
            <w:vAlign w:val="center"/>
          </w:tcPr>
          <w:p>
            <w:pPr>
              <w:spacing w:after="0" w:line="240"/>
            </w:pPr>
            <w:r>
              <w:rPr>
                <w:sz w:val="19"/>
                <w:szCs w:val="19"/>
              </w:rPr>
              <w:t xml:space="preserve">378 399</w:t>
            </w:r>
          </w:p>
        </w:tc>
      </w:tr>
      <w:tr>
        <w:tc>
          <w:tcPr>
            <w:tcW w:type="dxa" w:w="3200"/>
            <w:shd w:fill="F5F7F9" w:color="auto" w:val="clear"/>
            <w:tcMar>
              <w:top w:type="dxa" w:w="70"/>
              <w:left w:type="dxa" w:w="110"/>
              <w:bottom w:type="dxa" w:w="70"/>
              <w:right w:type="dxa" w:w="110"/>
            </w:tcMar>
            <w:vAlign w:val="center"/>
          </w:tcPr>
          <w:p>
            <w:pPr>
              <w:spacing w:after="0" w:line="240"/>
            </w:pPr>
            <w:r>
              <w:rPr>
                <w:sz w:val="19"/>
                <w:szCs w:val="19"/>
              </w:rPr>
              <w:t xml:space="preserve">Czas budowy artefaktu</w:t>
            </w:r>
          </w:p>
        </w:tc>
        <w:tc>
          <w:tcPr>
            <w:tcW w:type="dxa" w:w="2900"/>
            <w:shd w:fill="F5F7F9" w:color="auto" w:val="clear"/>
            <w:tcMar>
              <w:top w:type="dxa" w:w="70"/>
              <w:left w:type="dxa" w:w="110"/>
              <w:bottom w:type="dxa" w:w="70"/>
              <w:right w:type="dxa" w:w="110"/>
            </w:tcMar>
            <w:vAlign w:val="center"/>
          </w:tcPr>
          <w:p>
            <w:pPr>
              <w:spacing w:after="0" w:line="240"/>
            </w:pPr>
            <w:r>
              <w:rPr>
                <w:sz w:val="19"/>
                <w:szCs w:val="19"/>
              </w:rPr>
              <w:t xml:space="preserve">12 s</w:t>
            </w:r>
          </w:p>
        </w:tc>
        <w:tc>
          <w:tcPr>
            <w:tcW w:type="dxa" w:w="2926"/>
            <w:shd w:fill="F5F7F9" w:color="auto" w:val="clear"/>
            <w:tcMar>
              <w:top w:type="dxa" w:w="70"/>
              <w:left w:type="dxa" w:w="110"/>
              <w:bottom w:type="dxa" w:w="70"/>
              <w:right w:type="dxa" w:w="110"/>
            </w:tcMar>
            <w:vAlign w:val="center"/>
          </w:tcPr>
          <w:p>
            <w:pPr>
              <w:spacing w:after="0" w:line="240"/>
            </w:pPr>
            <w:r>
              <w:rPr>
                <w:sz w:val="19"/>
                <w:szCs w:val="19"/>
              </w:rPr>
              <w:t xml:space="preserve">55 s</w:t>
            </w:r>
          </w:p>
        </w:tc>
      </w:tr>
      <w:tr>
        <w:tc>
          <w:tcPr>
            <w:tcW w:type="dxa" w:w="3200"/>
            <w:tcMar>
              <w:top w:type="dxa" w:w="70"/>
              <w:left w:type="dxa" w:w="110"/>
              <w:bottom w:type="dxa" w:w="70"/>
              <w:right w:type="dxa" w:w="110"/>
            </w:tcMar>
            <w:vAlign w:val="center"/>
          </w:tcPr>
          <w:p>
            <w:pPr>
              <w:spacing w:after="0" w:line="240"/>
            </w:pPr>
            <w:r>
              <w:rPr>
                <w:sz w:val="19"/>
                <w:szCs w:val="19"/>
              </w:rPr>
              <w:t xml:space="preserve">Odporność na literówki</w:t>
            </w:r>
          </w:p>
        </w:tc>
        <w:tc>
          <w:tcPr>
            <w:tcW w:type="dxa" w:w="2900"/>
            <w:tcMar>
              <w:top w:type="dxa" w:w="70"/>
              <w:left w:type="dxa" w:w="110"/>
              <w:bottom w:type="dxa" w:w="70"/>
              <w:right w:type="dxa" w:w="110"/>
            </w:tcMar>
            <w:vAlign w:val="center"/>
          </w:tcPr>
          <w:p>
            <w:pPr>
              <w:spacing w:after="0" w:line="240"/>
            </w:pPr>
            <w:r>
              <w:rPr>
                <w:sz w:val="19"/>
                <w:szCs w:val="19"/>
              </w:rPr>
              <w:t xml:space="preserve">Zapytanie „mickievicza” zwraca „Mickiewicza”</w:t>
            </w:r>
          </w:p>
        </w:tc>
        <w:tc>
          <w:tcPr>
            <w:tcW w:type="dxa" w:w="2926"/>
            <w:tcMar>
              <w:top w:type="dxa" w:w="70"/>
              <w:left w:type="dxa" w:w="110"/>
              <w:bottom w:type="dxa" w:w="70"/>
              <w:right w:type="dxa" w:w="110"/>
            </w:tcMar>
            <w:vAlign w:val="center"/>
          </w:tcPr>
          <w:p>
            <w:pPr>
              <w:spacing w:after="0" w:line="240"/>
            </w:pPr>
            <w:r>
              <w:rPr>
                <w:sz w:val="19"/>
                <w:szCs w:val="19"/>
              </w:rPr>
              <w:t xml:space="preserve">Zachowana, koszt 27 ms</w:t>
            </w:r>
          </w:p>
        </w:tc>
      </w:tr>
    </w:tbl>
    <w:p>
      <w:pPr>
        <w:spacing w:after="160"/>
      </w:pPr>
    </w:p>
    <w:p>
      <w:pPr>
        <w:spacing w:after="120" w:line="276"/>
      </w:pPr>
      <w:r>
        <w:rPr>
          <w:b/>
          <w:bCs/>
          <w:sz w:val="21"/>
          <w:szCs w:val="21"/>
        </w:rPr>
        <w:t xml:space="preserve">Wniosek metodyczny: </w:t>
      </w:r>
      <w:r>
        <w:rPr>
          <w:sz w:val="21"/>
          <w:szCs w:val="21"/>
        </w:rPr>
        <w:t xml:space="preserve">o wydajności decyduje nie wybrana technologia, lecz liczba kandydatów, których zapytanie musi uszeregować. Dlatego indeksowane są miejscowości i ulice, a numery budynków pobierane są z bazy dopiero po wyborze ulicy, gdy jest ich od kilkudziesięciu do kilkuset. Rozwinięcie tej obserwacji na danych rzeczywistych znajduje się w 8.6.</w:t>
      </w:r>
    </w:p>
    <w:p>
      <w:pPr>
        <w:pStyle w:val="Heading2"/>
        <w:spacing w:after="140" w:before="280"/>
      </w:pPr>
      <w:r>
        <w:t xml:space="preserve">8.3. Uruchomienie na pełnym zbiorze krajowym</w:t>
      </w:r>
    </w:p>
    <w:p>
      <w:pPr>
        <w:spacing w:after="120" w:line="276"/>
      </w:pPr>
      <w:r>
        <w:rPr>
          <w:sz w:val="21"/>
          <w:szCs w:val="21"/>
        </w:rPr>
        <w:t xml:space="preserve">Wyniki wydań 1.0–1.1 pochodziły z próbek i zbiorów syntetycznych, wydania 1.2–1.3 z czterech województw. 9 sierpnia 2026 cała ścieżka przeszła na komplecie danych krajowych — wszystkie 16 województw w jednej publikacji.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Element</w:t>
            </w:r>
          </w:p>
        </w:tc>
        <w:tc>
          <w:tcPr>
            <w:tcW w:type="dxa" w:w="3400"/>
            <w:shd w:fill="E8EDF2" w:color="auto" w:val="clear"/>
            <w:tcMar>
              <w:top w:type="dxa" w:w="70"/>
              <w:left w:type="dxa" w:w="110"/>
              <w:bottom w:type="dxa" w:w="70"/>
              <w:right w:type="dxa" w:w="110"/>
            </w:tcMar>
            <w:vAlign w:val="center"/>
          </w:tcPr>
          <w:p>
            <w:pPr>
              <w:spacing w:after="0" w:line="240"/>
            </w:pPr>
            <w:r>
              <w:rPr>
                <w:b/>
                <w:bCs/>
                <w:sz w:val="19"/>
                <w:szCs w:val="19"/>
              </w:rPr>
              <w:t xml:space="preserve">Wynik</w:t>
            </w:r>
          </w:p>
        </w:tc>
        <w:tc>
          <w:tcPr>
            <w:tcW w:type="dxa" w:w="3026"/>
            <w:shd w:fill="E8EDF2" w:color="auto" w:val="clear"/>
            <w:tcMar>
              <w:top w:type="dxa" w:w="70"/>
              <w:left w:type="dxa" w:w="110"/>
              <w:bottom w:type="dxa" w:w="70"/>
              <w:right w:type="dxa" w:w="110"/>
            </w:tcMar>
            <w:vAlign w:val="center"/>
          </w:tcPr>
          <w:p>
            <w:pPr>
              <w:spacing w:after="0" w:line="240"/>
            </w:pPr>
            <w:r>
              <w:rPr>
                <w:b/>
                <w:bCs/>
                <w:sz w:val="19"/>
                <w:szCs w:val="19"/>
              </w:rPr>
              <w:t xml:space="preserve">Wydanie 1.3 (4 województwa)</w:t>
            </w:r>
          </w:p>
        </w:tc>
      </w:tr>
      <w:tr>
        <w:tc>
          <w:tcPr>
            <w:tcW w:type="dxa" w:w="2600"/>
            <w:tcMar>
              <w:top w:type="dxa" w:w="70"/>
              <w:left w:type="dxa" w:w="110"/>
              <w:bottom w:type="dxa" w:w="70"/>
              <w:right w:type="dxa" w:w="110"/>
            </w:tcMar>
            <w:vAlign w:val="center"/>
          </w:tcPr>
          <w:p>
            <w:pPr>
              <w:spacing w:after="0" w:line="240"/>
            </w:pPr>
            <w:r>
              <w:rPr>
                <w:sz w:val="19"/>
                <w:szCs w:val="19"/>
              </w:rPr>
              <w:t xml:space="preserve">Punkty adresowe opublikowane</w:t>
            </w:r>
          </w:p>
        </w:tc>
        <w:tc>
          <w:tcPr>
            <w:tcW w:type="dxa" w:w="3400"/>
            <w:tcMar>
              <w:top w:type="dxa" w:w="70"/>
              <w:left w:type="dxa" w:w="110"/>
              <w:bottom w:type="dxa" w:w="70"/>
              <w:right w:type="dxa" w:w="110"/>
            </w:tcMar>
            <w:vAlign w:val="center"/>
          </w:tcPr>
          <w:p>
            <w:pPr>
              <w:spacing w:after="0" w:line="240"/>
            </w:pPr>
            <w:r>
              <w:rPr>
                <w:sz w:val="19"/>
                <w:szCs w:val="19"/>
              </w:rPr>
              <w:t xml:space="preserve">8 605 682</w:t>
            </w:r>
          </w:p>
        </w:tc>
        <w:tc>
          <w:tcPr>
            <w:tcW w:type="dxa" w:w="3026"/>
            <w:tcMar>
              <w:top w:type="dxa" w:w="70"/>
              <w:left w:type="dxa" w:w="110"/>
              <w:bottom w:type="dxa" w:w="70"/>
              <w:right w:type="dxa" w:w="110"/>
            </w:tcMar>
            <w:vAlign w:val="center"/>
          </w:tcPr>
          <w:p>
            <w:pPr>
              <w:spacing w:after="0" w:line="240"/>
            </w:pPr>
            <w:r>
              <w:rPr>
                <w:sz w:val="19"/>
                <w:szCs w:val="19"/>
              </w:rPr>
              <w:t xml:space="preserve">1 990 483</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Punkty z przypisaną ulicą</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5 532 383 (64,3%)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1 324 563</w:t>
            </w:r>
          </w:p>
        </w:tc>
      </w:tr>
      <w:tr>
        <w:tc>
          <w:tcPr>
            <w:tcW w:type="dxa" w:w="2600"/>
            <w:tcMar>
              <w:top w:type="dxa" w:w="70"/>
              <w:left w:type="dxa" w:w="110"/>
              <w:bottom w:type="dxa" w:w="70"/>
              <w:right w:type="dxa" w:w="110"/>
            </w:tcMar>
            <w:vAlign w:val="center"/>
          </w:tcPr>
          <w:p>
            <w:pPr>
              <w:spacing w:after="0" w:line="240"/>
            </w:pPr>
            <w:r>
              <w:rPr>
                <w:sz w:val="19"/>
                <w:szCs w:val="19"/>
              </w:rPr>
              <w:t xml:space="preserve">Punkty z kodem pocztowym</w:t>
            </w:r>
          </w:p>
        </w:tc>
        <w:tc>
          <w:tcPr>
            <w:tcW w:type="dxa" w:w="3400"/>
            <w:tcMar>
              <w:top w:type="dxa" w:w="70"/>
              <w:left w:type="dxa" w:w="110"/>
              <w:bottom w:type="dxa" w:w="70"/>
              <w:right w:type="dxa" w:w="110"/>
            </w:tcMar>
            <w:vAlign w:val="center"/>
          </w:tcPr>
          <w:p>
            <w:pPr>
              <w:spacing w:after="0" w:line="240"/>
            </w:pPr>
            <w:r>
              <w:rPr>
                <w:sz w:val="19"/>
                <w:szCs w:val="19"/>
              </w:rPr>
              <w:t xml:space="preserve">8 604 962 (99,99%)</w:t>
            </w:r>
          </w:p>
        </w:tc>
        <w:tc>
          <w:tcPr>
            <w:tcW w:type="dxa" w:w="3026"/>
            <w:tcMar>
              <w:top w:type="dxa" w:w="70"/>
              <w:left w:type="dxa" w:w="110"/>
              <w:bottom w:type="dxa" w:w="70"/>
              <w:right w:type="dxa" w:w="110"/>
            </w:tcMar>
            <w:vAlign w:val="center"/>
          </w:tcPr>
          <w:p>
            <w:pPr>
              <w:spacing w:after="0" w:line="240"/>
            </w:pPr>
            <w:r>
              <w:rPr>
                <w:sz w:val="19"/>
                <w:szCs w:val="19"/>
              </w:rPr>
              <w:t xml:space="preserve">—</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Miejscowości w słowniku</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101 883</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101 865</w:t>
            </w:r>
          </w:p>
        </w:tc>
      </w:tr>
      <w:tr>
        <w:tc>
          <w:tcPr>
            <w:tcW w:type="dxa" w:w="2600"/>
            <w:tcMar>
              <w:top w:type="dxa" w:w="70"/>
              <w:left w:type="dxa" w:w="110"/>
              <w:bottom w:type="dxa" w:w="70"/>
              <w:right w:type="dxa" w:w="110"/>
            </w:tcMar>
            <w:vAlign w:val="center"/>
          </w:tcPr>
          <w:p>
            <w:pPr>
              <w:spacing w:after="0" w:line="240"/>
            </w:pPr>
            <w:r>
              <w:rPr>
                <w:sz w:val="19"/>
                <w:szCs w:val="19"/>
              </w:rPr>
              <w:t xml:space="preserve">Ulice w katalogu</w:t>
            </w:r>
          </w:p>
        </w:tc>
        <w:tc>
          <w:tcPr>
            <w:tcW w:type="dxa" w:w="3400"/>
            <w:tcMar>
              <w:top w:type="dxa" w:w="70"/>
              <w:left w:type="dxa" w:w="110"/>
              <w:bottom w:type="dxa" w:w="70"/>
              <w:right w:type="dxa" w:w="110"/>
            </w:tcMar>
            <w:vAlign w:val="center"/>
          </w:tcPr>
          <w:p>
            <w:pPr>
              <w:spacing w:after="0" w:line="240"/>
            </w:pPr>
            <w:r>
              <w:rPr>
                <w:sz w:val="19"/>
                <w:szCs w:val="19"/>
              </w:rPr>
              <w:t xml:space="preserve">325 595 — po scaleniu duplikatów, przed nim 689 328</w:t>
            </w:r>
          </w:p>
        </w:tc>
        <w:tc>
          <w:tcPr>
            <w:tcW w:type="dxa" w:w="3026"/>
            <w:tcMar>
              <w:top w:type="dxa" w:w="70"/>
              <w:left w:type="dxa" w:w="110"/>
              <w:bottom w:type="dxa" w:w="70"/>
              <w:right w:type="dxa" w:w="110"/>
            </w:tcMar>
            <w:vAlign w:val="center"/>
          </w:tcPr>
          <w:p>
            <w:pPr>
              <w:spacing w:after="0" w:line="240"/>
            </w:pPr>
            <w:r>
              <w:rPr>
                <w:sz w:val="19"/>
                <w:szCs w:val="19"/>
              </w:rPr>
              <w:t xml:space="preserve">385 436</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Artefakt wyszukiwania</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378 399 pozycji, 54,5 MB</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487 301 pozycji, 66,4 MB</w:t>
            </w:r>
          </w:p>
        </w:tc>
      </w:tr>
      <w:tr>
        <w:tc>
          <w:tcPr>
            <w:tcW w:type="dxa" w:w="2600"/>
            <w:tcMar>
              <w:top w:type="dxa" w:w="70"/>
              <w:left w:type="dxa" w:w="110"/>
              <w:bottom w:type="dxa" w:w="70"/>
              <w:right w:type="dxa" w:w="110"/>
            </w:tcMar>
            <w:vAlign w:val="center"/>
          </w:tcPr>
          <w:p>
            <w:pPr>
              <w:spacing w:after="0" w:line="240"/>
            </w:pPr>
            <w:r>
              <w:rPr>
                <w:sz w:val="19"/>
                <w:szCs w:val="19"/>
              </w:rPr>
              <w:t xml:space="preserve">Rozmiar bazy danych</w:t>
            </w:r>
          </w:p>
        </w:tc>
        <w:tc>
          <w:tcPr>
            <w:tcW w:type="dxa" w:w="3400"/>
            <w:tcMar>
              <w:top w:type="dxa" w:w="70"/>
              <w:left w:type="dxa" w:w="110"/>
              <w:bottom w:type="dxa" w:w="70"/>
              <w:right w:type="dxa" w:w="110"/>
            </w:tcMar>
            <w:vAlign w:val="center"/>
          </w:tcPr>
          <w:p>
            <w:pPr>
              <w:spacing w:after="0" w:line="240"/>
            </w:pPr>
            <w:r>
              <w:rPr>
                <w:sz w:val="19"/>
                <w:szCs w:val="19"/>
              </w:rPr>
              <w:t xml:space="preserve">12 GB</w:t>
            </w:r>
          </w:p>
        </w:tc>
        <w:tc>
          <w:tcPr>
            <w:tcW w:type="dxa" w:w="3026"/>
            <w:tcMar>
              <w:top w:type="dxa" w:w="70"/>
              <w:left w:type="dxa" w:w="110"/>
              <w:bottom w:type="dxa" w:w="70"/>
              <w:right w:type="dxa" w:w="110"/>
            </w:tcMar>
            <w:vAlign w:val="center"/>
          </w:tcPr>
          <w:p>
            <w:pPr>
              <w:spacing w:after="0" w:line="240"/>
            </w:pPr>
            <w:r>
              <w:rPr>
                <w:sz w:val="19"/>
                <w:szCs w:val="19"/>
              </w:rPr>
              <w:t xml:space="preserve">3 GB</w:t>
            </w:r>
          </w:p>
        </w:tc>
      </w:tr>
      <w:tr>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Zakres</w:t>
            </w:r>
          </w:p>
        </w:tc>
        <w:tc>
          <w:tcPr>
            <w:tcW w:type="dxa" w:w="3400"/>
            <w:shd w:fill="F5F7F9" w:color="auto" w:val="clear"/>
            <w:tcMar>
              <w:top w:type="dxa" w:w="70"/>
              <w:left w:type="dxa" w:w="110"/>
              <w:bottom w:type="dxa" w:w="70"/>
              <w:right w:type="dxa" w:w="110"/>
            </w:tcMar>
            <w:vAlign w:val="center"/>
          </w:tcPr>
          <w:p>
            <w:pPr>
              <w:spacing w:after="0" w:line="240"/>
            </w:pPr>
            <w:r>
              <w:rPr>
                <w:sz w:val="19"/>
                <w:szCs w:val="19"/>
              </w:rPr>
              <w:t xml:space="preserve">16 województw z 16 — cały kraj</w:t>
            </w:r>
          </w:p>
        </w:tc>
        <w:tc>
          <w:tcPr>
            <w:tcW w:type="dxa" w:w="3026"/>
            <w:shd w:fill="F5F7F9" w:color="auto" w:val="clear"/>
            <w:tcMar>
              <w:top w:type="dxa" w:w="70"/>
              <w:left w:type="dxa" w:w="110"/>
              <w:bottom w:type="dxa" w:w="70"/>
              <w:right w:type="dxa" w:w="110"/>
            </w:tcMar>
            <w:vAlign w:val="center"/>
          </w:tcPr>
          <w:p>
            <w:pPr>
              <w:spacing w:after="0" w:line="240"/>
            </w:pPr>
            <w:r>
              <w:rPr>
                <w:sz w:val="19"/>
                <w:szCs w:val="19"/>
              </w:rPr>
              <w:t xml:space="preserve">4 z 16, ok. 23% kraju</w:t>
            </w:r>
          </w:p>
        </w:tc>
      </w:tr>
    </w:tbl>
    <w:p>
      <w:pPr>
        <w:spacing w:after="160"/>
      </w:pPr>
    </w:p>
    <w:p>
      <w:pPr>
        <w:spacing w:after="120" w:line="276"/>
      </w:pPr>
      <w:r>
        <w:rPr>
          <w:b/>
          <w:bCs/>
          <w:sz w:val="21"/>
          <w:szCs w:val="21"/>
        </w:rPr>
        <w:t xml:space="preserve">Zgodność z zapowiedzią rejestru. </w:t>
      </w:r>
      <w:r>
        <w:rPr>
          <w:sz w:val="21"/>
          <w:szCs w:val="21"/>
        </w:rPr>
        <w:t xml:space="preserve">Rejestr PRG podaje 8 560 617 punktów według stanu na 31 marca 2026. Opublikowany zbiór liczy 8 605 682, czyli o 45 tys. więcej — różnica odpowiada przyrostowi za cztery miesiące i potwierdza kompletność zrzutu z 6 sierpnia.</w:t>
      </w:r>
    </w:p>
    <w:p>
      <w:pPr>
        <w:spacing w:after="120" w:line="276"/>
      </w:pPr>
      <w:r>
        <w:rPr>
          <w:b/>
          <w:bCs/>
          <w:sz w:val="21"/>
          <w:szCs w:val="21"/>
        </w:rPr>
        <w:t xml:space="preserve">Wiszące referencje w źródle. </w:t>
      </w:r>
      <w:r>
        <w:rPr>
          <w:sz w:val="21"/>
          <w:szCs w:val="21"/>
        </w:rPr>
        <w:t xml:space="preserve">Z 8 605 908 punktów w obszarze przejściowym 226 (0,003%) miało odwołanie do miejscowości, której nie ma w tym samym pliku wojewódzkim. Skupiają się w czterech województwach, najwięcej w lubelskim. Punkty te nie trafiły do zbioru produktowego. Jest to wada danych źródłowych, nie przetwarzania.</w:t>
      </w:r>
    </w:p>
    <w:p>
      <w:pPr>
        <w:spacing w:after="120" w:line="276"/>
      </w:pPr>
      <w:r>
        <w:rPr>
          <w:b/>
          <w:bCs/>
          <w:sz w:val="21"/>
          <w:szCs w:val="21"/>
        </w:rPr>
        <w:t xml:space="preserve">Zabezpieczenie zrzutu. </w:t>
      </w:r>
      <w:r>
        <w:rPr>
          <w:sz w:val="21"/>
          <w:szCs w:val="21"/>
        </w:rPr>
        <w:t xml:space="preserve">Pobrano komplet 16 województw (1,8 GB) z sumą kontrolną każdego pliku. Realizuje to decyzję o archiwizacji przed 1 września 2026. Sierpniowa paczka zawiera równolegle plik w strukturze dotychczasowej i nowej, więc zabezpieczono obie — łącznie z atrybutami, które po tej dacie znikną.</w:t>
      </w:r>
    </w:p>
    <w:p>
      <w:pPr>
        <w:spacing w:after="120" w:line="276"/>
      </w:pPr>
      <w:r>
        <w:rPr>
          <w:b/>
          <w:bCs/>
          <w:sz w:val="21"/>
          <w:szCs w:val="21"/>
        </w:rPr>
        <w:t xml:space="preserve">Słowniki TERYT pobrano bez konta w GUS. </w:t>
      </w:r>
      <w:r>
        <w:rPr>
          <w:sz w:val="21"/>
          <w:szCs w:val="21"/>
        </w:rPr>
        <w:t xml:space="preserve">Usługa sieciowa nie odpowiadała na żadne zapytanie, ale te same katalogi są udostępniane jako pliki bez rejestracji. Pozycja „Import słowników TERYT” z planu prac jest zamknięta, a zależność od rejestracji w GUS — nieaktualna.</w:t>
      </w: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Najważniejszy wynik dla oceny ryzyka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Parser przeszedł przez rzeczywisty plik w strukturze obowiązującej od 1 września 2026 i nie odrzucił ani jednego rekordu. Wrześniowa zmiana formatu — dotąd największe ryzyko w tym opracowaniu — jest potwierdzona jako opanowana na danych, a nie tylko deklarowana.</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Publikacja całego kraju przeszła kontrole jakości przy progu minimalnej liczby rekordów ustawionym na wartość domyślną, czyli tę przewidzianą dla produkcji. Wcześniejsze publikacje częściowe wymagały jego obniżania; ta potrzeba znika wraz z pełnym zakresem danych.</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Jednorazowo podniesiono natomiast próg kontroli wielkości zmiany. Przejście z 1,99 mln na 8,61 mln punktów to wzrost o 332%, wobec domyślnych 2% przewidzianych dla cyklu tygodniowego. Przy kolejnym przebiegu próg wraca do wartości domyślnej — patrz 7.2.</w:t>
      </w:r>
    </w:p>
    <w:p>
      <w:pPr>
        <w:spacing w:after="180"/>
      </w:pPr>
    </w:p>
    <w:p>
      <w:pPr>
        <w:pStyle w:val="Heading2"/>
        <w:spacing w:after="140" w:before="280"/>
      </w:pPr>
      <w:r>
        <w:t xml:space="preserve">8.4. Usterki wykryte na danych rzeczywistych</w:t>
      </w:r>
    </w:p>
    <w:p>
      <w:pPr>
        <w:spacing w:after="120" w:line="276"/>
      </w:pPr>
      <w:r>
        <w:rPr>
          <w:sz w:val="21"/>
          <w:szCs w:val="21"/>
        </w:rPr>
        <w:t xml:space="preserve">Czternaście usterek ujawniło się dopiero na danych rzeczywistych i na działającej usłudze. Wszystkie naprawiono. Podział poniżej jest istotny dla planowania, ponieważ każda grupa wymagała innego warunku, żeby w ogóle stać się widoczna — i każda daje inny wniosek dla harmonogramu wdrożenia.</w:t>
      </w:r>
    </w:p>
    <w:p>
      <w:pPr>
        <w:pStyle w:val="Heading3"/>
        <w:spacing w:after="110" w:before="220"/>
      </w:pPr>
      <w:r>
        <w:t xml:space="preserve">Wykryte przy pierwszym uruchomieniu (4 województwa)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Dekodowanie porcji strumienia osobno rozcinało polskie znaki</w:t>
            </w:r>
          </w:p>
        </w:tc>
        <w:tc>
          <w:tcPr>
            <w:tcW w:type="dxa" w:w="4826"/>
            <w:tcMar>
              <w:top w:type="dxa" w:w="70"/>
              <w:left w:type="dxa" w:w="110"/>
              <w:bottom w:type="dxa" w:w="70"/>
              <w:right w:type="dxa" w:w="110"/>
            </w:tcMar>
            <w:vAlign w:val="center"/>
          </w:tcPr>
          <w:p>
            <w:pPr>
              <w:spacing w:after="0" w:line="240"/>
            </w:pPr>
            <w:r>
              <w:rPr>
                <w:sz w:val="19"/>
                <w:szCs w:val="19"/>
              </w:rPr>
              <w:t xml:space="preserve">Uszkodzone nazwy ulic — jedna na województwo, bez ostrzeżenia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Błędne wiązanie punktów z miejscowościami w nowej strukturze</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Publikacja przerywana; przy szerszej kolumnie — ciche śmieci zamiast identyfikatorów</w:t>
            </w:r>
          </w:p>
        </w:tc>
      </w:tr>
      <w:tr>
        <w:tc>
          <w:tcPr>
            <w:tcW w:type="dxa" w:w="4200"/>
            <w:tcMar>
              <w:top w:type="dxa" w:w="70"/>
              <w:left w:type="dxa" w:w="110"/>
              <w:bottom w:type="dxa" w:w="70"/>
              <w:right w:type="dxa" w:w="110"/>
            </w:tcMar>
            <w:vAlign w:val="center"/>
          </w:tcPr>
          <w:p>
            <w:pPr>
              <w:spacing w:after="0" w:line="240"/>
            </w:pPr>
            <w:r>
              <w:rPr>
                <w:sz w:val="19"/>
                <w:szCs w:val="19"/>
              </w:rPr>
              <w:t xml:space="preserve">Zdublowane pozycje w słownikach źródłowych</w:t>
            </w:r>
          </w:p>
        </w:tc>
        <w:tc>
          <w:tcPr>
            <w:tcW w:type="dxa" w:w="4826"/>
            <w:tcMar>
              <w:top w:type="dxa" w:w="70"/>
              <w:left w:type="dxa" w:w="110"/>
              <w:bottom w:type="dxa" w:w="70"/>
              <w:right w:type="dxa" w:w="110"/>
            </w:tcMar>
            <w:vAlign w:val="center"/>
          </w:tcPr>
          <w:p>
            <w:pPr>
              <w:spacing w:after="0" w:line="240"/>
            </w:pPr>
            <w:r>
              <w:rPr>
                <w:sz w:val="19"/>
                <w:szCs w:val="19"/>
              </w:rPr>
              <w:t xml:space="preserve">Jeden zdublowany rekord wstrzymywał publikację całego kraju</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Zapytanie wiążące punkty z ulicami bez możliwości użycia indeksu</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Ponad 100 mld porównań — przebieg przerwany po 8 godzinach bez wyniku</w:t>
            </w:r>
          </w:p>
        </w:tc>
      </w:tr>
      <w:tr>
        <w:tc>
          <w:tcPr>
            <w:tcW w:type="dxa" w:w="4200"/>
            <w:tcMar>
              <w:top w:type="dxa" w:w="70"/>
              <w:left w:type="dxa" w:w="110"/>
              <w:bottom w:type="dxa" w:w="70"/>
              <w:right w:type="dxa" w:w="110"/>
            </w:tcMar>
            <w:vAlign w:val="center"/>
          </w:tcPr>
          <w:p>
            <w:pPr>
              <w:spacing w:after="0" w:line="240"/>
            </w:pPr>
            <w:r>
              <w:rPr>
                <w:sz w:val="19"/>
                <w:szCs w:val="19"/>
              </w:rPr>
              <w:t xml:space="preserve">Słowniki TERYT wstawiane rekord po rekordzie</w:t>
            </w:r>
          </w:p>
        </w:tc>
        <w:tc>
          <w:tcPr>
            <w:tcW w:type="dxa" w:w="4826"/>
            <w:tcMar>
              <w:top w:type="dxa" w:w="70"/>
              <w:left w:type="dxa" w:w="110"/>
              <w:bottom w:type="dxa" w:w="70"/>
              <w:right w:type="dxa" w:w="110"/>
            </w:tcMar>
            <w:vAlign w:val="center"/>
          </w:tcPr>
          <w:p>
            <w:pPr>
              <w:spacing w:after="0" w:line="240"/>
            </w:pPr>
            <w:r>
              <w:rPr>
                <w:sz w:val="19"/>
                <w:szCs w:val="19"/>
              </w:rPr>
              <w:t xml:space="preserve">Ponad 20 minut i zerwane połączenie; po zmianie — 8 minut</w:t>
            </w:r>
          </w:p>
        </w:tc>
      </w:tr>
    </w:tbl>
    <w:p>
      <w:pPr>
        <w:spacing w:after="160"/>
      </w:pPr>
    </w:p>
    <w:p>
      <w:pPr>
        <w:pStyle w:val="Heading3"/>
        <w:spacing w:after="110" w:before="220"/>
      </w:pPr>
      <w:r>
        <w:t xml:space="preserve">Wykryte przy przejściu na pełny kraj (16 województw)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Kontrola „spadek w gminie” liczona przed rozwiązaniem referencji do miejscowości</w:t>
            </w:r>
          </w:p>
        </w:tc>
        <w:tc>
          <w:tcPr>
            <w:tcW w:type="dxa" w:w="4826"/>
            <w:tcMar>
              <w:top w:type="dxa" w:w="70"/>
              <w:left w:type="dxa" w:w="110"/>
              <w:bottom w:type="dxa" w:w="70"/>
              <w:right w:type="dxa" w:w="110"/>
            </w:tcMar>
            <w:vAlign w:val="center"/>
          </w:tcPr>
          <w:p>
            <w:pPr>
              <w:spacing w:after="0" w:line="240"/>
            </w:pPr>
            <w:r>
              <w:rPr>
                <w:sz w:val="19"/>
                <w:szCs w:val="19"/>
              </w:rPr>
              <w:t xml:space="preserve">Kontrola blokująca nie działała nigdy poza pustą bazą i przy każdej kolejnej publikacji dawała fałszywe wstrzymanie — patrz ramka poniżej</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Pamięć dzielona kontenera bazy ograniczona do domyślnych 64 MB</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Przy 8,6 mln wierszy planer wchodzi w tryb równoległy i przebieg przerywa się komunikatem o braku miejsca, niezwiązanym z dyskiem</w:t>
            </w:r>
          </w:p>
        </w:tc>
      </w:tr>
      <w:tr>
        <w:tc>
          <w:tcPr>
            <w:tcW w:type="dxa" w:w="4200"/>
            <w:tcMar>
              <w:top w:type="dxa" w:w="70"/>
              <w:left w:type="dxa" w:w="110"/>
              <w:bottom w:type="dxa" w:w="70"/>
              <w:right w:type="dxa" w:w="110"/>
            </w:tcMar>
            <w:vAlign w:val="center"/>
          </w:tcPr>
          <w:p>
            <w:pPr>
              <w:spacing w:after="0" w:line="240"/>
            </w:pPr>
            <w:r>
              <w:rPr>
                <w:sz w:val="19"/>
                <w:szCs w:val="19"/>
              </w:rPr>
              <w:t xml:space="preserve">Rozwiązywanie referencji wykonywane poza oknem ładowania masowego</w:t>
            </w:r>
          </w:p>
        </w:tc>
        <w:tc>
          <w:tcPr>
            <w:tcW w:type="dxa" w:w="4826"/>
            <w:tcMar>
              <w:top w:type="dxa" w:w="70"/>
              <w:left w:type="dxa" w:w="110"/>
              <w:bottom w:type="dxa" w:w="70"/>
              <w:right w:type="dxa" w:w="110"/>
            </w:tcMar>
            <w:vAlign w:val="center"/>
          </w:tcPr>
          <w:p>
            <w:pPr>
              <w:spacing w:after="0" w:line="240"/>
            </w:pPr>
            <w:r>
              <w:rPr>
                <w:sz w:val="19"/>
                <w:szCs w:val="19"/>
              </w:rPr>
              <w:t xml:space="preserve">Aktualizacja 8,6 mln wierszy przy trzech nałożonych indeksach: 49 minut zamiast kilku i trzydziestokrotne wzmocnienie zapisu</w:t>
            </w:r>
          </w:p>
        </w:tc>
      </w:tr>
    </w:tbl>
    <w:p>
      <w:pPr>
        <w:spacing w:after="160"/>
      </w:pPr>
    </w:p>
    <w:p>
      <w:pPr>
        <w:pBdr>
          <w:top w:val="single" w:color="D5DBE0" w:sz="4"/>
          <w:bottom w:val="single" w:color="D5DBE0" w:sz="0"/>
          <w:left w:val="single" w:color="D5DBE0" w:sz="4"/>
          <w:right w:val="single" w:color="D5DBE0" w:sz="4"/>
        </w:pBdr>
        <w:shd w:fill="FBEAEA" w:color="auto" w:val="clear"/>
        <w:spacing w:after="0" w:before="160" w:line="276"/>
        <w:ind w:left="120" w:right="120"/>
      </w:pPr>
      <w:r>
        <w:rPr>
          <w:b/>
          <w:bCs/>
          <w:sz w:val="21"/>
          <w:szCs w:val="21"/>
        </w:rPr>
        <w:t xml:space="preserve">Kontrola jakości, która nigdy nie zadziałała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Najpoważniejsza z trzech nowych usterek nie powodowała błędnych danych — powodowała fałszywe poczucie zabezpieczenia.</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Kontrola „spadek w pojedynczej gminie” pilnuje wzorca „zrzut bez miasta”, czyli incydentu z Wrocławiem z 2016 roku, i jest jednym z dwóch uzasadnień dla całego zestawu kontroli. Łączy dane przejściowe ze słownikiem miejscowości po identyfikatorze, który jednak wypełniany był dopiero wewnątrz publikacji — czyli już po kontrolach. W chwili liczenia identyfikator był pusty dla wszystkich rekordów.</w:t>
      </w:r>
    </w:p>
    <w:p>
      <w:pPr>
        <w:pBdr>
          <w:top w:val="single" w:color="D5DBE0" w:sz="0"/>
          <w:bottom w:val="single" w:color="D5DBE0" w:sz="0"/>
          <w:left w:val="single" w:color="D5DBE0" w:sz="4"/>
          <w:right w:val="single" w:color="D5DBE0" w:sz="4"/>
        </w:pBdr>
        <w:shd w:fill="FBEAEA" w:color="auto" w:val="clear"/>
        <w:spacing w:after="60" w:line="276"/>
        <w:ind w:left="120" w:right="120"/>
      </w:pPr>
      <w:r>
        <w:rPr>
          <w:sz w:val="20"/>
          <w:szCs w:val="20"/>
        </w:rPr>
        <w:t xml:space="preserve">Przy pierwszej publikacji baza była pusta, więc kontrola nie miała czego porównywać i przechodziła. Przy drugiej — 20 gmin z Warszawą na czele „straciło” komplet punktów, które w rzeczywistości były na miejscu.</w:t>
      </w:r>
    </w:p>
    <w:p>
      <w:pPr>
        <w:pBdr>
          <w:top w:val="single" w:color="D5DBE0" w:sz="0"/>
          <w:bottom w:val="single" w:color="D5DBE0" w:sz="4"/>
          <w:left w:val="single" w:color="D5DBE0" w:sz="4"/>
          <w:right w:val="single" w:color="D5DBE0" w:sz="4"/>
        </w:pBdr>
        <w:shd w:fill="FBEAEA" w:color="auto" w:val="clear"/>
        <w:spacing w:after="0" w:line="276"/>
        <w:ind w:left="120" w:right="120"/>
      </w:pPr>
      <w:r>
        <w:rPr>
          <w:sz w:val="20"/>
          <w:szCs w:val="20"/>
        </w:rPr>
        <w:t xml:space="preserve">W produkcji oznaczałoby to jedno z dwojga: albo wstrzymanie każdej aktualizacji, albo — po obejściu kontroli przez operatora zmęczonego fałszywymi alarmami — brak ochrony przed rzeczywistym niekompletnym zrzutem.</w:t>
      </w:r>
    </w:p>
    <w:p>
      <w:pPr>
        <w:spacing w:after="180"/>
      </w:pPr>
    </w:p>
    <w:p>
      <w:pPr>
        <w:pStyle w:val="Heading3"/>
        <w:spacing w:after="110" w:before="220"/>
      </w:pPr>
      <w:r>
        <w:t xml:space="preserve">Wykryte w pierwszej godzinie po uruchomieniu monitoringu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Instancja porównywała wersję danych z nazwą pliku wskaźnika — wartości, które nigdy nie mogą być równe</w:t>
            </w:r>
          </w:p>
        </w:tc>
        <w:tc>
          <w:tcPr>
            <w:tcW w:type="dxa" w:w="4826"/>
            <w:tcMar>
              <w:top w:type="dxa" w:w="70"/>
              <w:left w:type="dxa" w:w="110"/>
              <w:bottom w:type="dxa" w:w="70"/>
              <w:right w:type="dxa" w:w="110"/>
            </w:tcMar>
            <w:vAlign w:val="center"/>
          </w:tcPr>
          <w:p>
            <w:pPr>
              <w:spacing w:after="0" w:line="240"/>
            </w:pPr>
            <w:r>
              <w:rPr>
                <w:sz w:val="19"/>
                <w:szCs w:val="19"/>
              </w:rPr>
              <w:t xml:space="preserve">Warunek „nic się nie zmieniło” nie zatrzymywał niczego: każda instancja wczytywała i przetwarzała cały artefakt (109 MB) co 60 sekund, mimo braku nowej wersji</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Funkcja metryk przeliczała liczebności pełnym skanem tabel produkcyjnych</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Odpowiedź 4,4 s przy dziesięciosekundowym limicie zbierania — punkt stale na granicy przekroczenia, a każde zbieranie obciążało bazę skanem 8,6 mln wierszy. Po wprowadzeniu pamięci podręcznej: 0,05–0,12 s</w:t>
            </w:r>
          </w:p>
        </w:tc>
      </w:tr>
    </w:tbl>
    <w:p>
      <w:pPr>
        <w:spacing w:after="160"/>
      </w:pPr>
    </w:p>
    <w:p>
      <w:pPr>
        <w:pStyle w:val="Heading3"/>
        <w:spacing w:after="110" w:before="220"/>
      </w:pPr>
      <w:r>
        <w:t xml:space="preserve">Wykryte przez zbiór wzorcowy jakości wyszukiwania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shd w:fill="E8EDF2" w:color="auto" w:val="clear"/>
            <w:tcMar>
              <w:top w:type="dxa" w:w="70"/>
              <w:left w:type="dxa" w:w="110"/>
              <w:bottom w:type="dxa" w:w="70"/>
              <w:right w:type="dxa" w:w="110"/>
            </w:tcMar>
            <w:vAlign w:val="center"/>
          </w:tcPr>
          <w:p>
            <w:pPr>
              <w:spacing w:after="0" w:line="240"/>
            </w:pPr>
            <w:r>
              <w:rPr>
                <w:b/>
                <w:bCs/>
                <w:sz w:val="19"/>
                <w:szCs w:val="19"/>
              </w:rPr>
              <w:t xml:space="preserve">Usterka</w:t>
            </w:r>
          </w:p>
        </w:tc>
        <w:tc>
          <w:tcPr>
            <w:tcW w:type="dxa" w:w="4826"/>
            <w:shd w:fill="E8EDF2" w:color="auto" w:val="clear"/>
            <w:tcMar>
              <w:top w:type="dxa" w:w="70"/>
              <w:left w:type="dxa" w:w="110"/>
              <w:bottom w:type="dxa" w:w="70"/>
              <w:right w:type="dxa" w:w="110"/>
            </w:tcMar>
            <w:vAlign w:val="center"/>
          </w:tcPr>
          <w:p>
            <w:pPr>
              <w:spacing w:after="0" w:line="240"/>
            </w:pPr>
            <w:r>
              <w:rPr>
                <w:b/>
                <w:bCs/>
                <w:sz w:val="19"/>
                <w:szCs w:val="19"/>
              </w:rPr>
              <w:t xml:space="preserve">Skutek przed naprawą</w:t>
            </w:r>
          </w:p>
        </w:tc>
      </w:tr>
      <w:tr>
        <w:tc>
          <w:tcPr>
            <w:tcW w:type="dxa" w:w="4200"/>
            <w:tcMar>
              <w:top w:type="dxa" w:w="70"/>
              <w:left w:type="dxa" w:w="110"/>
              <w:bottom w:type="dxa" w:w="70"/>
              <w:right w:type="dxa" w:w="110"/>
            </w:tcMar>
            <w:vAlign w:val="center"/>
          </w:tcPr>
          <w:p>
            <w:pPr>
              <w:spacing w:after="0" w:line="240"/>
            </w:pPr>
            <w:r>
              <w:rPr>
                <w:sz w:val="19"/>
                <w:szCs w:val="19"/>
              </w:rPr>
              <w:t xml:space="preserve">Typ ulicy wtopiony w jej nazwę — dotyczy 20 586 ulic, w tym 97% ulic Warszawy</w:t>
            </w:r>
          </w:p>
        </w:tc>
        <w:tc>
          <w:tcPr>
            <w:tcW w:type="dxa" w:w="4826"/>
            <w:tcMar>
              <w:top w:type="dxa" w:w="70"/>
              <w:left w:type="dxa" w:w="110"/>
              <w:bottom w:type="dxa" w:w="70"/>
              <w:right w:type="dxa" w:w="110"/>
            </w:tcMar>
            <w:vAlign w:val="center"/>
          </w:tcPr>
          <w:p>
            <w:pPr>
              <w:spacing w:after="0" w:line="240"/>
            </w:pPr>
            <w:r>
              <w:rPr>
                <w:sz w:val="19"/>
                <w:szCs w:val="19"/>
              </w:rPr>
              <w:t xml:space="preserve">Zapytanie o samą nazwę nie zwracało Warszawy nawet wśród dwudziestu pięciu pierwszych podpowiedzi. Wyszukiwanie adresów w największym mieście kraju było niesprawne dla naturalnego sposobu wpisywania</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Skrytka pocztowa rozpoznawana jako zwykły adres</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Numer skrytki trafiał w pole numeru budynku i adres otrzymywał najwyższy poziom pewności — „zweryfikowany wobec rejestru” dla miejsca, którego w rejestrze nie ma. Przesyłka szła do wysyłki bez przeglądu</w:t>
            </w:r>
          </w:p>
        </w:tc>
      </w:tr>
      <w:tr>
        <w:tc>
          <w:tcPr>
            <w:tcW w:type="dxa" w:w="4200"/>
            <w:tcMar>
              <w:top w:type="dxa" w:w="70"/>
              <w:left w:type="dxa" w:w="110"/>
              <w:bottom w:type="dxa" w:w="70"/>
              <w:right w:type="dxa" w:w="110"/>
            </w:tcMar>
            <w:vAlign w:val="center"/>
          </w:tcPr>
          <w:p>
            <w:pPr>
              <w:spacing w:after="0" w:line="240"/>
            </w:pPr>
            <w:r>
              <w:rPr>
                <w:sz w:val="19"/>
                <w:szCs w:val="19"/>
              </w:rPr>
              <w:t xml:space="preserve">Przecinek jako jedyny separator pól adresu</w:t>
            </w:r>
          </w:p>
        </w:tc>
        <w:tc>
          <w:tcPr>
            <w:tcW w:type="dxa" w:w="4826"/>
            <w:tcMar>
              <w:top w:type="dxa" w:w="70"/>
              <w:left w:type="dxa" w:w="110"/>
              <w:bottom w:type="dxa" w:w="70"/>
              <w:right w:type="dxa" w:w="110"/>
            </w:tcMar>
            <w:vAlign w:val="center"/>
          </w:tcPr>
          <w:p>
            <w:pPr>
              <w:spacing w:after="0" w:line="240"/>
            </w:pPr>
            <w:r>
              <w:rPr>
                <w:sz w:val="19"/>
                <w:szCs w:val="19"/>
              </w:rPr>
              <w:t xml:space="preserve">Zapis bez przecinków — częsty przy danych wklejanych z faktur i przy adresach z rejestru REGON — trafiał w całości do jednego pola i nie dawał się dopasować</w:t>
            </w:r>
          </w:p>
        </w:tc>
      </w:tr>
      <w:tr>
        <w:tc>
          <w:tcPr>
            <w:tcW w:type="dxa" w:w="4200"/>
            <w:shd w:fill="F5F7F9" w:color="auto" w:val="clear"/>
            <w:tcMar>
              <w:top w:type="dxa" w:w="70"/>
              <w:left w:type="dxa" w:w="110"/>
              <w:bottom w:type="dxa" w:w="70"/>
              <w:right w:type="dxa" w:w="110"/>
            </w:tcMar>
            <w:vAlign w:val="center"/>
          </w:tcPr>
          <w:p>
            <w:pPr>
              <w:spacing w:after="0" w:line="240"/>
            </w:pPr>
            <w:r>
              <w:rPr>
                <w:sz w:val="19"/>
                <w:szCs w:val="19"/>
              </w:rPr>
              <w:t xml:space="preserve">Pięciocyfrowy numer budynku odczytywany jako kod pocztowy</w:t>
            </w:r>
          </w:p>
        </w:tc>
        <w:tc>
          <w:tcPr>
            <w:tcW w:type="dxa" w:w="4826"/>
            <w:shd w:fill="F5F7F9" w:color="auto" w:val="clear"/>
            <w:tcMar>
              <w:top w:type="dxa" w:w="70"/>
              <w:left w:type="dxa" w:w="110"/>
              <w:bottom w:type="dxa" w:w="70"/>
              <w:right w:type="dxa" w:w="110"/>
            </w:tcMar>
            <w:vAlign w:val="center"/>
          </w:tcPr>
          <w:p>
            <w:pPr>
              <w:spacing w:after="0" w:line="240"/>
            </w:pPr>
            <w:r>
              <w:rPr>
                <w:sz w:val="19"/>
                <w:szCs w:val="19"/>
              </w:rPr>
              <w:t xml:space="preserve">Numer znikał, a w jego miejsce pojawiał się kod będący znanym oznaczeniem braku danych. Dane były po cichu przeinaczane zamiast odrzucone</w:t>
            </w:r>
          </w:p>
        </w:tc>
      </w:tr>
    </w:tbl>
    <w:p>
      <w:pPr>
        <w:spacing w:after="160"/>
      </w:pPr>
    </w:p>
    <w:p>
      <w:pPr>
        <w:pBdr>
          <w:top w:val="single" w:color="D5DBE0" w:sz="4"/>
          <w:bottom w:val="single" w:color="D5DBE0" w:sz="0"/>
          <w:left w:val="single" w:color="D5DBE0" w:sz="4"/>
          <w:right w:val="single" w:color="D5DBE0" w:sz="4"/>
        </w:pBdr>
        <w:shd w:fill="EDF5EE" w:color="auto" w:val="clear"/>
        <w:spacing w:after="0" w:before="160" w:line="276"/>
        <w:ind w:left="120" w:right="120"/>
      </w:pPr>
      <w:r>
        <w:rPr>
          <w:b/>
          <w:bCs/>
          <w:sz w:val="21"/>
          <w:szCs w:val="21"/>
        </w:rPr>
        <w:t xml:space="preserve">Monitorowanie zwróciło się, zanim skończyło się jego wdrażanie</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Obie powyższe usterki istniały od miesięcy i nie objawiały się niczym, co dałoby się zauważyć bez obserwacji: usługa odpowiadała poprawnie, wyniki były prawidłowe, nic się nie przewracało.</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Pierwsza oznaczała, że każda instancja w produkcji wykonywałaby bezużyteczną pracę co minutę, przez cały czas działania — koszt rosnący liniowo z liczbą instancji i wielkością artefaktu.</w:t>
      </w:r>
    </w:p>
    <w:p>
      <w:pPr>
        <w:pBdr>
          <w:top w:val="single" w:color="D5DBE0" w:sz="0"/>
          <w:bottom w:val="single" w:color="D5DBE0" w:sz="0"/>
          <w:left w:val="single" w:color="D5DBE0" w:sz="4"/>
          <w:right w:val="single" w:color="D5DBE0" w:sz="4"/>
        </w:pBdr>
        <w:shd w:fill="EDF5EE" w:color="auto" w:val="clear"/>
        <w:spacing w:after="60" w:line="276"/>
        <w:ind w:left="120" w:right="120"/>
      </w:pPr>
      <w:r>
        <w:rPr>
          <w:sz w:val="20"/>
          <w:szCs w:val="20"/>
        </w:rPr>
        <w:t xml:space="preserve">Druga jest groźniejsza w skutkach pośrednich: punkt metryk na granicy limitu czasu oznacza, że przy pierwszym wzroście obciążenia monitoring zamilkłby dokładnie wtedy, gdy jest najbardziej potrzebny.</w:t>
      </w:r>
    </w:p>
    <w:p>
      <w:pPr>
        <w:pBdr>
          <w:top w:val="single" w:color="D5DBE0" w:sz="0"/>
          <w:bottom w:val="single" w:color="D5DBE0" w:sz="4"/>
          <w:left w:val="single" w:color="D5DBE0" w:sz="4"/>
          <w:right w:val="single" w:color="D5DBE0" w:sz="4"/>
        </w:pBdr>
        <w:shd w:fill="EDF5EE" w:color="auto" w:val="clear"/>
        <w:spacing w:after="0" w:line="276"/>
        <w:ind w:left="120" w:right="120"/>
      </w:pPr>
      <w:r>
        <w:rPr>
          <w:sz w:val="20"/>
          <w:szCs w:val="20"/>
        </w:rPr>
        <w:t xml:space="preserve">Wnioskiem z wydania 1.3 było, że monitorowanie warto zacząć wcześnie. Wydanie 1.5 to potwierdza wynikiem: dwie realne usterki w pierwszej godzinie, przy nakładzie liczonym w dniach.</w:t>
      </w:r>
    </w:p>
    <w:p>
      <w:pPr>
        <w:spacing w:after="18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Wniosek metodyczny — najważniejszy w tym opracowaniu</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Żadnej z czternastu usterek nie wykryłyby testy na danych próbnych. Każda grupa wymagała innego warunku, żeby w ogóle stać się widoczna, i to właśnie ta klasyfikacja, a nie sama liczba, ma znaczenie dla planowania.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Skala — pięć usterek. Ujawnia je dopiero objętość danych. Wniosek: przebieg na komplecie danych przed produkcją.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Druga publikacja — trzy usterki. Pierwsze uruchomienie zawsze odbywa się na pustej bazie, więc cała klasa błędów porównania „stan poprzedni wobec nowego” jest wtedy niewidoczna. Tak przeszła kontrola jakości, która nie zadziałałaby w produkcji ani razu. Wniosek: co najmniej dwie pełne publikacje pod obserwacją.</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Obserwacja działającej usługi — dwie usterki, obie w pierwszej godzinie po uruchomieniu monitorowania. Wniosek: monitorowanie nie jest czynnością porządkową wykonywaną na koniec, lecz narzędziem wykrywania usterek.</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Porównanie z oczekiwaniem — cztery usterki. Usługa odpowiadała poprawnie i szybko, tyle że nie to, co trzeba. Bez zapisanego zbioru poprawnych odpowiedzi nic tego nie wykryje. Wniosek: zbiór wzorcowy jest warunkiem, a nie ozdobą — i musi opisywać odpowiedź poprawną, nie bieżącą, bo inaczej utrwala błędy.</w:t>
      </w:r>
    </w:p>
    <w:p>
      <w:pPr>
        <w:spacing w:after="180"/>
      </w:pPr>
    </w:p>
    <w:p>
      <w:pPr>
        <w:pStyle w:val="Heading2"/>
        <w:spacing w:after="140" w:before="280"/>
      </w:pPr>
      <w:r>
        <w:t xml:space="preserve">8.5. Wydajność przetwarzania</w:t>
      </w:r>
    </w:p>
    <w:p>
      <w:pPr>
        <w:spacing w:after="120" w:line="276"/>
      </w:pPr>
      <w:r>
        <w:rPr>
          <w:sz w:val="21"/>
          <w:szCs w:val="21"/>
        </w:rPr>
        <w:t xml:space="preserve">Pomiary na komputerze przenośnym: 8 rdzeni, przetwarzanie w kontenerach, archiwum na dysku hosta. Na serwerze wyniki będą lepsze, proporcje pozostaną.</w:t>
      </w:r>
    </w:p>
    <w:p>
      <w:pPr>
        <w:spacing w:after="120" w:line="276"/>
      </w:pPr>
      <w:r>
        <w:rPr>
          <w:sz w:val="21"/>
          <w:szCs w:val="21"/>
        </w:rPr>
        <w:t xml:space="preserve">Zmierzony przebieg dla całego kraju, 9 sierpnia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tblHeader/>
        </w:trPr>
        <w:tc>
          <w:tcPr>
            <w:tcW w:type="dxa" w:w="30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Czas</w:t>
            </w:r>
          </w:p>
        </w:tc>
        <w:tc>
          <w:tcPr>
            <w:tcW w:type="dxa" w:w="4226"/>
            <w:shd w:fill="E8EDF2" w:color="auto" w:val="clear"/>
            <w:tcMar>
              <w:top w:type="dxa" w:w="70"/>
              <w:left w:type="dxa" w:w="110"/>
              <w:bottom w:type="dxa" w:w="70"/>
              <w:right w:type="dxa" w:w="110"/>
            </w:tcMar>
            <w:vAlign w:val="center"/>
          </w:tcPr>
          <w:p>
            <w:pPr>
              <w:spacing w:after="0" w:line="240"/>
            </w:pPr>
            <w:r>
              <w:rPr>
                <w:b/>
                <w:bCs/>
                <w:sz w:val="19"/>
                <w:szCs w:val="19"/>
              </w:rPr>
              <w:t xml:space="preserve">Uwagi</w:t>
            </w:r>
          </w:p>
        </w:tc>
      </w:tr>
      <w:tr>
        <w:tc>
          <w:tcPr>
            <w:tcW w:type="dxa" w:w="3000"/>
            <w:tcMar>
              <w:top w:type="dxa" w:w="70"/>
              <w:left w:type="dxa" w:w="110"/>
              <w:bottom w:type="dxa" w:w="70"/>
              <w:right w:type="dxa" w:w="110"/>
            </w:tcMar>
            <w:vAlign w:val="center"/>
          </w:tcPr>
          <w:p>
            <w:pPr>
              <w:spacing w:after="0" w:line="240"/>
            </w:pPr>
            <w:r>
              <w:rPr>
                <w:sz w:val="19"/>
                <w:szCs w:val="19"/>
              </w:rPr>
              <w:t xml:space="preserve">Pobranie z archiwum</w:t>
            </w:r>
          </w:p>
        </w:tc>
        <w:tc>
          <w:tcPr>
            <w:tcW w:type="dxa" w:w="1800"/>
            <w:tcMar>
              <w:top w:type="dxa" w:w="70"/>
              <w:left w:type="dxa" w:w="110"/>
              <w:bottom w:type="dxa" w:w="70"/>
              <w:right w:type="dxa" w:w="110"/>
            </w:tcMar>
            <w:vAlign w:val="center"/>
          </w:tcPr>
          <w:p>
            <w:pPr>
              <w:spacing w:after="0" w:line="240"/>
            </w:pPr>
            <w:r>
              <w:rPr>
                <w:sz w:val="19"/>
                <w:szCs w:val="19"/>
              </w:rPr>
              <w:t xml:space="preserve">—</w:t>
            </w:r>
          </w:p>
        </w:tc>
        <w:tc>
          <w:tcPr>
            <w:tcW w:type="dxa" w:w="4226"/>
            <w:tcMar>
              <w:top w:type="dxa" w:w="70"/>
              <w:left w:type="dxa" w:w="110"/>
              <w:bottom w:type="dxa" w:w="70"/>
              <w:right w:type="dxa" w:w="110"/>
            </w:tcMar>
            <w:vAlign w:val="center"/>
          </w:tcPr>
          <w:p>
            <w:pPr>
              <w:spacing w:after="0" w:line="240"/>
            </w:pPr>
            <w:r>
              <w:rPr>
                <w:sz w:val="19"/>
                <w:szCs w:val="19"/>
              </w:rPr>
              <w:t xml:space="preserve">Pliki na dysku, bez pobierania z sieci</w:t>
            </w:r>
          </w:p>
        </w:tc>
      </w:tr>
      <w:tr>
        <w:tc>
          <w:tcPr>
            <w:tcW w:type="dxa" w:w="3000"/>
            <w:tcMar>
              <w:top w:type="dxa" w:w="70"/>
              <w:left w:type="dxa" w:w="110"/>
              <w:bottom w:type="dxa" w:w="70"/>
              <w:right w:type="dxa" w:w="110"/>
            </w:tcMar>
            <w:vAlign w:val="center"/>
          </w:tcPr>
          <w:p>
            <w:pPr>
              <w:spacing w:after="0" w:line="240"/>
            </w:pPr>
            <w:r>
              <w:rPr>
                <w:sz w:val="19"/>
                <w:szCs w:val="19"/>
              </w:rPr>
              <w:t xml:space="preserve">Ładowanie 16 województw</w:t>
            </w:r>
          </w:p>
        </w:tc>
        <w:tc>
          <w:tcPr>
            <w:tcW w:type="dxa" w:w="1800"/>
            <w:tcMar>
              <w:top w:type="dxa" w:w="70"/>
              <w:left w:type="dxa" w:w="110"/>
              <w:bottom w:type="dxa" w:w="70"/>
              <w:right w:type="dxa" w:w="110"/>
            </w:tcMar>
            <w:vAlign w:val="center"/>
          </w:tcPr>
          <w:p>
            <w:pPr>
              <w:spacing w:after="0" w:line="240"/>
            </w:pPr>
            <w:r>
              <w:rPr>
                <w:sz w:val="19"/>
                <w:szCs w:val="19"/>
              </w:rPr>
              <w:t xml:space="preserve">~17 minut</w:t>
            </w:r>
          </w:p>
        </w:tc>
        <w:tc>
          <w:tcPr>
            <w:tcW w:type="dxa" w:w="4226"/>
            <w:tcMar>
              <w:top w:type="dxa" w:w="70"/>
              <w:left w:type="dxa" w:w="110"/>
              <w:bottom w:type="dxa" w:w="70"/>
              <w:right w:type="dxa" w:w="110"/>
            </w:tcMar>
            <w:vAlign w:val="center"/>
          </w:tcPr>
          <w:p>
            <w:pPr>
              <w:spacing w:after="0" w:line="240"/>
            </w:pPr>
            <w:r>
              <w:rPr>
                <w:sz w:val="19"/>
                <w:szCs w:val="19"/>
              </w:rPr>
              <w:t xml:space="preserve">Cztery procesy równolegle, 8 605 908 punktów</w:t>
            </w:r>
          </w:p>
        </w:tc>
      </w:tr>
      <w:tr>
        <w:tc>
          <w:tcPr>
            <w:tcW w:type="dxa" w:w="3000"/>
            <w:tcMar>
              <w:top w:type="dxa" w:w="70"/>
              <w:left w:type="dxa" w:w="110"/>
              <w:bottom w:type="dxa" w:w="70"/>
              <w:right w:type="dxa" w:w="110"/>
            </w:tcMar>
            <w:vAlign w:val="center"/>
          </w:tcPr>
          <w:p>
            <w:pPr>
              <w:spacing w:after="0" w:line="240"/>
            </w:pPr>
            <w:r>
              <w:rPr>
                <w:sz w:val="19"/>
                <w:szCs w:val="19"/>
              </w:rPr>
              <w:t xml:space="preserve">Rozwiązanie referencji</w:t>
            </w:r>
          </w:p>
        </w:tc>
        <w:tc>
          <w:tcPr>
            <w:tcW w:type="dxa" w:w="1800"/>
            <w:tcMar>
              <w:top w:type="dxa" w:w="70"/>
              <w:left w:type="dxa" w:w="110"/>
              <w:bottom w:type="dxa" w:w="70"/>
              <w:right w:type="dxa" w:w="110"/>
            </w:tcMar>
            <w:vAlign w:val="center"/>
          </w:tcPr>
          <w:p>
            <w:pPr>
              <w:spacing w:after="0" w:line="240"/>
            </w:pPr>
            <w:r>
              <w:rPr>
                <w:sz w:val="19"/>
                <w:szCs w:val="19"/>
              </w:rPr>
              <w:t xml:space="preserve">~49 minut</w:t>
            </w:r>
          </w:p>
        </w:tc>
        <w:tc>
          <w:tcPr>
            <w:tcW w:type="dxa" w:w="4226"/>
            <w:tcMar>
              <w:top w:type="dxa" w:w="70"/>
              <w:left w:type="dxa" w:w="110"/>
              <w:bottom w:type="dxa" w:w="70"/>
              <w:right w:type="dxa" w:w="110"/>
            </w:tcMar>
            <w:vAlign w:val="center"/>
          </w:tcPr>
          <w:p>
            <w:pPr>
              <w:spacing w:after="0" w:line="240"/>
            </w:pPr>
            <w:r>
              <w:rPr>
                <w:sz w:val="19"/>
                <w:szCs w:val="19"/>
              </w:rPr>
              <w:t xml:space="preserve">Do naprawy — patrz uwaga poniżej</w:t>
            </w:r>
          </w:p>
        </w:tc>
      </w:tr>
      <w:tr>
        <w:tc>
          <w:tcPr>
            <w:tcW w:type="dxa" w:w="3000"/>
            <w:tcMar>
              <w:top w:type="dxa" w:w="70"/>
              <w:left w:type="dxa" w:w="110"/>
              <w:bottom w:type="dxa" w:w="70"/>
              <w:right w:type="dxa" w:w="110"/>
            </w:tcMar>
            <w:vAlign w:val="center"/>
          </w:tcPr>
          <w:p>
            <w:pPr>
              <w:spacing w:after="0" w:line="240"/>
            </w:pPr>
            <w:r>
              <w:rPr>
                <w:sz w:val="19"/>
                <w:szCs w:val="19"/>
              </w:rPr>
              <w:t xml:space="preserve">Kontrole jakości</w:t>
            </w:r>
          </w:p>
        </w:tc>
        <w:tc>
          <w:tcPr>
            <w:tcW w:type="dxa" w:w="1800"/>
            <w:tcMar>
              <w:top w:type="dxa" w:w="70"/>
              <w:left w:type="dxa" w:w="110"/>
              <w:bottom w:type="dxa" w:w="70"/>
              <w:right w:type="dxa" w:w="110"/>
            </w:tcMar>
            <w:vAlign w:val="center"/>
          </w:tcPr>
          <w:p>
            <w:pPr>
              <w:spacing w:after="0" w:line="240"/>
            </w:pPr>
            <w:r>
              <w:rPr>
                <w:sz w:val="19"/>
                <w:szCs w:val="19"/>
              </w:rPr>
              <w:t xml:space="preserve">~2 minuty</w:t>
            </w:r>
          </w:p>
        </w:tc>
        <w:tc>
          <w:tcPr>
            <w:tcW w:type="dxa" w:w="4226"/>
            <w:tcMar>
              <w:top w:type="dxa" w:w="70"/>
              <w:left w:type="dxa" w:w="110"/>
              <w:bottom w:type="dxa" w:w="70"/>
              <w:right w:type="dxa" w:w="110"/>
            </w:tcMar>
            <w:vAlign w:val="center"/>
          </w:tcPr>
          <w:p>
            <w:pPr>
              <w:spacing w:after="0" w:line="240"/>
            </w:pPr>
            <w:r>
              <w:rPr>
                <w:sz w:val="19"/>
                <w:szCs w:val="19"/>
              </w:rPr>
              <w:t xml:space="preserve">Pięć kontroli na pełnym zbiorze</w:t>
            </w:r>
          </w:p>
        </w:tc>
      </w:tr>
      <w:tr>
        <w:tc>
          <w:tcPr>
            <w:tcW w:type="dxa" w:w="3000"/>
            <w:tcMar>
              <w:top w:type="dxa" w:w="70"/>
              <w:left w:type="dxa" w:w="110"/>
              <w:bottom w:type="dxa" w:w="70"/>
              <w:right w:type="dxa" w:w="110"/>
            </w:tcMar>
            <w:vAlign w:val="center"/>
          </w:tcPr>
          <w:p>
            <w:pPr>
              <w:spacing w:after="0" w:line="240"/>
            </w:pPr>
            <w:r>
              <w:rPr>
                <w:sz w:val="19"/>
                <w:szCs w:val="19"/>
              </w:rPr>
              <w:t xml:space="preserve">Publikacja transakcyjna</w:t>
            </w:r>
          </w:p>
        </w:tc>
        <w:tc>
          <w:tcPr>
            <w:tcW w:type="dxa" w:w="1800"/>
            <w:tcMar>
              <w:top w:type="dxa" w:w="70"/>
              <w:left w:type="dxa" w:w="110"/>
              <w:bottom w:type="dxa" w:w="70"/>
              <w:right w:type="dxa" w:w="110"/>
            </w:tcMar>
            <w:vAlign w:val="center"/>
          </w:tcPr>
          <w:p>
            <w:pPr>
              <w:spacing w:after="0" w:line="240"/>
            </w:pPr>
            <w:r>
              <w:rPr>
                <w:sz w:val="19"/>
                <w:szCs w:val="19"/>
              </w:rPr>
              <w:t xml:space="preserve">2 godz. 16 minut</w:t>
            </w:r>
          </w:p>
        </w:tc>
        <w:tc>
          <w:tcPr>
            <w:tcW w:type="dxa" w:w="4226"/>
            <w:tcMar>
              <w:top w:type="dxa" w:w="70"/>
              <w:left w:type="dxa" w:w="110"/>
              <w:bottom w:type="dxa" w:w="70"/>
              <w:right w:type="dxa" w:w="110"/>
            </w:tcMar>
            <w:vAlign w:val="center"/>
          </w:tcPr>
          <w:p>
            <w:pPr>
              <w:spacing w:after="0" w:line="240"/>
            </w:pPr>
            <w:r>
              <w:rPr>
                <w:sz w:val="19"/>
                <w:szCs w:val="19"/>
              </w:rPr>
              <w:t xml:space="preserve">Dodane 6 615 199 punktów, wycofane 0</w:t>
            </w:r>
          </w:p>
        </w:tc>
      </w:tr>
      <w:tr>
        <w:tc>
          <w:tcPr>
            <w:tcW w:type="dxa" w:w="3000"/>
            <w:tcMar>
              <w:top w:type="dxa" w:w="70"/>
              <w:left w:type="dxa" w:w="110"/>
              <w:bottom w:type="dxa" w:w="70"/>
              <w:right w:type="dxa" w:w="110"/>
            </w:tcMar>
            <w:vAlign w:val="center"/>
          </w:tcPr>
          <w:p>
            <w:pPr>
              <w:spacing w:after="0" w:line="240"/>
            </w:pPr>
            <w:r>
              <w:rPr>
                <w:sz w:val="19"/>
                <w:szCs w:val="19"/>
              </w:rPr>
              <w:t xml:space="preserve">Budowa artefaktu wyszukiwania</w:t>
            </w:r>
          </w:p>
        </w:tc>
        <w:tc>
          <w:tcPr>
            <w:tcW w:type="dxa" w:w="1800"/>
            <w:tcMar>
              <w:top w:type="dxa" w:w="70"/>
              <w:left w:type="dxa" w:w="110"/>
              <w:bottom w:type="dxa" w:w="70"/>
              <w:right w:type="dxa" w:w="110"/>
            </w:tcMar>
            <w:vAlign w:val="center"/>
          </w:tcPr>
          <w:p>
            <w:pPr>
              <w:spacing w:after="0" w:line="240"/>
            </w:pPr>
            <w:r>
              <w:rPr>
                <w:sz w:val="19"/>
                <w:szCs w:val="19"/>
              </w:rPr>
              <w:t xml:space="preserve">55 sekund</w:t>
            </w:r>
          </w:p>
        </w:tc>
        <w:tc>
          <w:tcPr>
            <w:tcW w:type="dxa" w:w="4226"/>
            <w:tcMar>
              <w:top w:type="dxa" w:w="70"/>
              <w:left w:type="dxa" w:w="110"/>
              <w:bottom w:type="dxa" w:w="70"/>
              <w:right w:type="dxa" w:w="110"/>
            </w:tcMar>
            <w:vAlign w:val="center"/>
          </w:tcPr>
          <w:p>
            <w:pPr>
              <w:spacing w:after="0" w:line="240"/>
            </w:pPr>
            <w:r>
              <w:rPr>
                <w:sz w:val="19"/>
                <w:szCs w:val="19"/>
              </w:rPr>
              <w:t xml:space="preserve">378 399 pozycji, 54,5 MB</w:t>
            </w:r>
          </w:p>
        </w:tc>
      </w:tr>
      <w:tr>
        <w:tc>
          <w:tcPr>
            <w:tcW w:type="dxa" w:w="3000"/>
            <w:shd w:fill="E8EDF2" w:color="auto" w:val="clear"/>
            <w:tcMar>
              <w:top w:type="dxa" w:w="70"/>
              <w:left w:type="dxa" w:w="110"/>
              <w:bottom w:type="dxa" w:w="70"/>
              <w:right w:type="dxa" w:w="110"/>
            </w:tcMar>
            <w:vAlign w:val="center"/>
          </w:tcPr>
          <w:p>
            <w:pPr>
              <w:spacing w:after="0" w:line="240"/>
            </w:pPr>
            <w:r>
              <w:rPr>
                <w:sz w:val="19"/>
                <w:szCs w:val="19"/>
              </w:rPr>
              <w:t xml:space="preserve">RAZEM</w:t>
            </w:r>
          </w:p>
        </w:tc>
        <w:tc>
          <w:tcPr>
            <w:tcW w:type="dxa" w:w="1800"/>
            <w:shd w:fill="E8EDF2" w:color="auto" w:val="clear"/>
            <w:tcMar>
              <w:top w:type="dxa" w:w="70"/>
              <w:left w:type="dxa" w:w="110"/>
              <w:bottom w:type="dxa" w:w="70"/>
              <w:right w:type="dxa" w:w="110"/>
            </w:tcMar>
            <w:vAlign w:val="center"/>
          </w:tcPr>
          <w:p>
            <w:pPr>
              <w:spacing w:after="0" w:line="240"/>
            </w:pPr>
            <w:r>
              <w:rPr>
                <w:sz w:val="19"/>
                <w:szCs w:val="19"/>
              </w:rPr>
              <w:t xml:space="preserve">ok. 3 godz. 25 minut</w:t>
            </w:r>
          </w:p>
        </w:tc>
        <w:tc>
          <w:tcPr>
            <w:tcW w:type="dxa" w:w="4226"/>
            <w:shd w:fill="E8EDF2" w:color="auto" w:val="clear"/>
            <w:tcMar>
              <w:top w:type="dxa" w:w="70"/>
              <w:left w:type="dxa" w:w="110"/>
              <w:bottom w:type="dxa" w:w="70"/>
              <w:right w:type="dxa" w:w="110"/>
            </w:tcMar>
            <w:vAlign w:val="center"/>
          </w:tcPr>
          <w:p>
            <w:pPr>
              <w:spacing w:after="0" w:line="240"/>
            </w:pPr>
            <w:r>
              <w:rPr>
                <w:sz w:val="19"/>
                <w:szCs w:val="19"/>
              </w:rPr>
              <w:t xml:space="preserve">Komputer przenośny, 8 rdzeni, przetwarzanie w kontenerach</w:t>
            </w:r>
          </w:p>
        </w:tc>
      </w:tr>
    </w:tbl>
    <w:p>
      <w:pPr>
        <w:spacing w:after="160"/>
      </w:pPr>
    </w:p>
    <w:p>
      <w:pPr>
        <w:spacing w:after="120" w:line="276"/>
      </w:pPr>
      <w:r>
        <w:rPr>
          <w:b/>
          <w:bCs/>
          <w:sz w:val="21"/>
          <w:szCs w:val="21"/>
        </w:rPr>
        <w:t xml:space="preserve">Ładowanie okazało się znacznie szybsze od zakładanego. </w:t>
      </w:r>
      <w:r>
        <w:rPr>
          <w:sz w:val="21"/>
          <w:szCs w:val="21"/>
        </w:rPr>
        <w:t xml:space="preserve">Wydania 1.2–1.3 podawały ~38 minut na jedno województwo i ~4 godziny na kraj przy jednym procesie. Zmierzony przebieg to 17 minut na komplet 16 województw przy czterech procesach. Część różnicy tłumaczy zrównoleglenie, ale nie całą — poprzedni pomiar powstał w trakcie sesji, w której naprawiano jeszcze błędy wydajnościowe, i należy go uznać za nieaktualny.</w:t>
      </w: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Gdzie naprawdę uchodzi czas: dwie pełne aktualizacje obszaru przejściowego</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Ładowanie danych zajmuje 17 minut, ale cały przebieg — ponad trzy godziny. Różnicę pochłaniają dwie operacje aktualizujące wszystkie 8,6 mln wierszy naraz, każda przy trzech nałożonych indeksach, czyli po ponad 25 mln operacji na indeksach.</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Pierwsza to rozwiązanie referencji do miejscowości (49 minut). Wypada tuż po odtworzeniu indeksów, choć mogłaby wykonać się chwilę wcześniej, gdy indeksów jeszcze nie ma — poprawka jest przygotowana.</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Druga to wiązanie punktów z ulicami wewnątrz transakcji publikującej. Tam przenieść jej nie można i wymaga osobnego podejścia.</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Skala zjawiska: kontener bazy zaraportował 303 GB zapisów przy zbiorze ważącym 12 GB. Jest to wzmocnienie zapisu rzędu dwudziestopięciokrotnego i to ono, a nie parsowanie, wyznacza dziś czas pełnego cyklu.</w:t>
      </w:r>
    </w:p>
    <w:p>
      <w:pPr>
        <w:spacing w:after="180"/>
      </w:pPr>
    </w:p>
    <w:p>
      <w:pPr>
        <w:spacing w:after="120" w:line="276"/>
      </w:pPr>
      <w:r>
        <w:rPr>
          <w:b/>
          <w:bCs/>
          <w:sz w:val="21"/>
          <w:szCs w:val="21"/>
        </w:rPr>
        <w:t xml:space="preserve">Kosztem zrównoleglenia jest pamięć: </w:t>
      </w:r>
      <w:r>
        <w:rPr>
          <w:sz w:val="21"/>
          <w:szCs w:val="21"/>
        </w:rPr>
        <w:t xml:space="preserve">około 400 MB na proces. Liczbę procesów dobiera się do pamięci dostępnej dla zadania, nie do liczby rdzeni.</w:t>
      </w:r>
    </w:p>
    <w:p>
      <w:pPr>
        <w:spacing w:after="16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Powtórny przebieg z 10.08.2026: koszt cyklu jest stały, nie zależy od liczby zmian</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Pełne przetwarzanie uruchomiono ponownie na tym samym zestawie danych źródłowych, aby sprawdzić, czy publikacja nie odtwarza usuniętych wcześniej duplikatów katalogu ulic. Nie odtwarza — wynik jest pozytywny i zamyka tę wątpliwość.</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 okazji ujawniła się jednak istotna właściwość eksploatacyjna. Przebieg nie wprowadził ani jednej zmiany do danych opublikowanych — a mimo to trwał 3 godziny 57 minut, czyli dłużej niż pierwsza publikacja całego kraju, która wprowadzała 6,6 miliona punktów.</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Oznacza to, że koszt cyklu jest niemal w całości stały: wynika z przeładowania i przeliczenia całego zbioru, a nie z liczby faktycznych zmian. Przy zakładanym cyklu tygodniowym jest to możliwe do przyjęcia, ale wyklucza częstsze odświeżanie bez wcześniejszej optymalizacji.</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Rozbicia czasu na etapy nie da się dziś przedstawić dokładniej niż dwie pozycje — odtworzenie indeksów obszaru przejściowego (44,5 min) i budowa artefaktu (50 s). Pozostałe ponad trzy godziny nie są mierzone w rozbiciu, ponieważ rozwiązanie nie raportuje postępu etapów. Jest to osobna pozycja planu i warunek sensownej optymalizacji: bez niej skracanie cyklu byłoby zgadywaniem.</w:t>
      </w:r>
    </w:p>
    <w:p>
      <w:pPr>
        <w:spacing w:after="180"/>
      </w:pPr>
    </w:p>
    <w:p>
      <w:pPr>
        <w:pStyle w:val="Heading2"/>
        <w:spacing w:after="140" w:before="280"/>
      </w:pPr>
      <w:r>
        <w:t xml:space="preserve">8.6. Czasy odpowiedzi na pełnym kraju</w:t>
      </w:r>
    </w:p>
    <w:p>
      <w:pPr>
        <w:spacing w:after="120" w:line="276"/>
      </w:pPr>
      <w:r>
        <w:rPr>
          <w:sz w:val="21"/>
          <w:szCs w:val="21"/>
        </w:rPr>
        <w:t xml:space="preserve">Pomiar powtórzono na komplecie danych krajowych — 378 399 pozycji w indeksie wobec 487 301 w wydaniu 1.3; spadek liczby pozycji przy dwukrotnie większym zbiorze punktów wynika ze scalenia zduplikowanych ulic i usunięcia miejscowości bez adresów. Zastosowano dwie metody, ponieważ dają istotnie różne liczby i każda odpowiada na inne pytanie. Każde zapytanie wykonano wielokrotnie po rozgrzewce, a podane wartości to mediany i percentyle z serii pomiarów.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300"/>
        <w:gridCol w:w="2326"/>
      </w:tblGrid>
      <w:tr>
        <w:trPr>
          <w:tblHeader/>
        </w:trPr>
        <w:tc>
          <w:tcPr>
            <w:tcW w:type="dxa" w:w="1900"/>
            <w:shd w:fill="E8EDF2" w:color="auto" w:val="clear"/>
            <w:tcMar>
              <w:top w:type="dxa" w:w="70"/>
              <w:left w:type="dxa" w:w="110"/>
              <w:bottom w:type="dxa" w:w="70"/>
              <w:right w:type="dxa" w:w="110"/>
            </w:tcMar>
            <w:vAlign w:val="center"/>
          </w:tcPr>
          <w:p>
            <w:pPr>
              <w:spacing w:after="0" w:line="240"/>
            </w:pPr>
            <w:r>
              <w:rPr>
                <w:b/>
                <w:bCs/>
                <w:sz w:val="19"/>
                <w:szCs w:val="19"/>
              </w:rPr>
              <w:t xml:space="preserve">Zapytanie</w:t>
            </w:r>
          </w:p>
        </w:tc>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Rodzaj</w:t>
            </w:r>
          </w:p>
        </w:tc>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Silnik — mediana</w:t>
            </w:r>
          </w:p>
        </w:tc>
        <w:tc>
          <w:tcPr>
            <w:tcW w:type="dxa" w:w="2326"/>
            <w:shd w:fill="E8EDF2" w:color="auto" w:val="clear"/>
            <w:tcMar>
              <w:top w:type="dxa" w:w="70"/>
              <w:left w:type="dxa" w:w="110"/>
              <w:bottom w:type="dxa" w:w="70"/>
              <w:right w:type="dxa" w:w="110"/>
            </w:tcMar>
            <w:vAlign w:val="center"/>
          </w:tcPr>
          <w:p>
            <w:pPr>
              <w:spacing w:after="0" w:line="240"/>
            </w:pPr>
            <w:r>
              <w:rPr>
                <w:b/>
                <w:bCs/>
                <w:sz w:val="19"/>
                <w:szCs w:val="19"/>
              </w:rPr>
              <w:t xml:space="preserve">HTTP — mediana</w:t>
            </w:r>
          </w:p>
        </w:tc>
      </w:tr>
      <w:tr>
        <w:tc>
          <w:tcPr>
            <w:tcW w:type="dxa" w:w="1900"/>
            <w:tcMar>
              <w:top w:type="dxa" w:w="70"/>
              <w:left w:type="dxa" w:w="110"/>
              <w:bottom w:type="dxa" w:w="70"/>
              <w:right w:type="dxa" w:w="110"/>
            </w:tcMar>
            <w:vAlign w:val="center"/>
          </w:tcPr>
          <w:p>
            <w:pPr>
              <w:spacing w:after="0" w:line="240"/>
            </w:pPr>
            <w:r>
              <w:rPr>
                <w:sz w:val="19"/>
                <w:szCs w:val="19"/>
              </w:rPr>
              <w:t xml:space="preserve">grojecka</w:t>
            </w:r>
          </w:p>
        </w:tc>
        <w:tc>
          <w:tcPr>
            <w:tcW w:type="dxa" w:w="2500"/>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tcMar>
              <w:top w:type="dxa" w:w="70"/>
              <w:left w:type="dxa" w:w="110"/>
              <w:bottom w:type="dxa" w:w="70"/>
              <w:right w:type="dxa" w:w="110"/>
            </w:tcMar>
            <w:vAlign w:val="center"/>
          </w:tcPr>
          <w:p>
            <w:pPr>
              <w:spacing w:after="0" w:line="240"/>
            </w:pPr>
            <w:r>
              <w:rPr>
                <w:sz w:val="19"/>
                <w:szCs w:val="19"/>
              </w:rPr>
              <w:t xml:space="preserve">0,27 ms</w:t>
            </w:r>
          </w:p>
        </w:tc>
        <w:tc>
          <w:tcPr>
            <w:tcW w:type="dxa" w:w="2326"/>
            <w:tcMar>
              <w:top w:type="dxa" w:w="70"/>
              <w:left w:type="dxa" w:w="110"/>
              <w:bottom w:type="dxa" w:w="70"/>
              <w:right w:type="dxa" w:w="110"/>
            </w:tcMar>
            <w:vAlign w:val="center"/>
          </w:tcPr>
          <w:p>
            <w:pPr>
              <w:spacing w:after="0" w:line="240"/>
            </w:pPr>
            <w:r>
              <w:rPr>
                <w:sz w:val="19"/>
                <w:szCs w:val="19"/>
              </w:rPr>
              <w:t xml:space="preserve">0,93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pulawska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jednoznaczna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0,50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0,75 ms</w:t>
            </w:r>
          </w:p>
        </w:tc>
      </w:tr>
      <w:tr>
        <w:tc>
          <w:tcPr>
            <w:tcW w:type="dxa" w:w="1900"/>
            <w:tcMar>
              <w:top w:type="dxa" w:w="70"/>
              <w:left w:type="dxa" w:w="110"/>
              <w:bottom w:type="dxa" w:w="70"/>
              <w:right w:type="dxa" w:w="110"/>
            </w:tcMar>
            <w:vAlign w:val="center"/>
          </w:tcPr>
          <w:p>
            <w:pPr>
              <w:spacing w:after="0" w:line="240"/>
            </w:pPr>
            <w:r>
              <w:rPr>
                <w:sz w:val="19"/>
                <w:szCs w:val="19"/>
              </w:rPr>
              <w:t xml:space="preserve">polna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0,60 ms</w:t>
            </w:r>
          </w:p>
        </w:tc>
        <w:tc>
          <w:tcPr>
            <w:tcW w:type="dxa" w:w="2326"/>
            <w:tcMar>
              <w:top w:type="dxa" w:w="70"/>
              <w:left w:type="dxa" w:w="110"/>
              <w:bottom w:type="dxa" w:w="70"/>
              <w:right w:type="dxa" w:w="110"/>
            </w:tcMar>
            <w:vAlign w:val="center"/>
          </w:tcPr>
          <w:p>
            <w:pPr>
              <w:spacing w:after="0" w:line="240"/>
            </w:pPr>
            <w:r>
              <w:rPr>
                <w:sz w:val="19"/>
                <w:szCs w:val="19"/>
              </w:rPr>
              <w:t xml:space="preserve">1,10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3 maja</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częsta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1,30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2,10 ms</w:t>
            </w:r>
          </w:p>
        </w:tc>
      </w:tr>
      <w:tr>
        <w:tc>
          <w:tcPr>
            <w:tcW w:type="dxa" w:w="1900"/>
            <w:tcMar>
              <w:top w:type="dxa" w:w="70"/>
              <w:left w:type="dxa" w:w="110"/>
              <w:bottom w:type="dxa" w:w="70"/>
              <w:right w:type="dxa" w:w="110"/>
            </w:tcMar>
            <w:vAlign w:val="center"/>
          </w:tcPr>
          <w:p>
            <w:pPr>
              <w:spacing w:after="0" w:line="240"/>
            </w:pPr>
            <w:r>
              <w:rPr>
                <w:sz w:val="19"/>
                <w:szCs w:val="19"/>
              </w:rPr>
              <w:t xml:space="preserve">krakowska</w:t>
            </w:r>
          </w:p>
        </w:tc>
        <w:tc>
          <w:tcPr>
            <w:tcW w:type="dxa" w:w="2500"/>
            <w:tcMar>
              <w:top w:type="dxa" w:w="70"/>
              <w:left w:type="dxa" w:w="110"/>
              <w:bottom w:type="dxa" w:w="70"/>
              <w:right w:type="dxa" w:w="110"/>
            </w:tcMar>
            <w:vAlign w:val="center"/>
          </w:tcPr>
          <w:p>
            <w:pPr>
              <w:spacing w:after="0" w:line="240"/>
            </w:pPr>
            <w:r>
              <w:rPr>
                <w:sz w:val="19"/>
                <w:szCs w:val="19"/>
              </w:rPr>
              <w:t xml:space="preserve">nazwa częsta</w:t>
            </w:r>
          </w:p>
        </w:tc>
        <w:tc>
          <w:tcPr>
            <w:tcW w:type="dxa" w:w="2300"/>
            <w:tcMar>
              <w:top w:type="dxa" w:w="70"/>
              <w:left w:type="dxa" w:w="110"/>
              <w:bottom w:type="dxa" w:w="70"/>
              <w:right w:type="dxa" w:w="110"/>
            </w:tcMar>
            <w:vAlign w:val="center"/>
          </w:tcPr>
          <w:p>
            <w:pPr>
              <w:spacing w:after="0" w:line="240"/>
            </w:pPr>
            <w:r>
              <w:rPr>
                <w:sz w:val="19"/>
                <w:szCs w:val="19"/>
              </w:rPr>
              <w:t xml:space="preserve">0,58 ms</w:t>
            </w:r>
          </w:p>
        </w:tc>
        <w:tc>
          <w:tcPr>
            <w:tcW w:type="dxa" w:w="2326"/>
            <w:tcMar>
              <w:top w:type="dxa" w:w="70"/>
              <w:left w:type="dxa" w:w="110"/>
              <w:bottom w:type="dxa" w:w="70"/>
              <w:right w:type="dxa" w:w="110"/>
            </w:tcMar>
            <w:vAlign w:val="center"/>
          </w:tcPr>
          <w:p>
            <w:pPr>
              <w:spacing w:after="0" w:line="240"/>
            </w:pPr>
            <w:r>
              <w:rPr>
                <w:sz w:val="19"/>
                <w:szCs w:val="19"/>
              </w:rPr>
              <w:t xml:space="preserve">1,41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kosciuszki</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patronacka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0,87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2,55 ms</w:t>
            </w:r>
          </w:p>
        </w:tc>
      </w:tr>
      <w:tr>
        <w:tc>
          <w:tcPr>
            <w:tcW w:type="dxa" w:w="1900"/>
            <w:tcMar>
              <w:top w:type="dxa" w:w="70"/>
              <w:left w:type="dxa" w:w="110"/>
              <w:bottom w:type="dxa" w:w="70"/>
              <w:right w:type="dxa" w:w="110"/>
            </w:tcMar>
            <w:vAlign w:val="center"/>
          </w:tcPr>
          <w:p>
            <w:pPr>
              <w:spacing w:after="0" w:line="240"/>
            </w:pPr>
            <w:r>
              <w:rPr>
                <w:sz w:val="19"/>
                <w:szCs w:val="19"/>
              </w:rPr>
              <w:t xml:space="preserve">mickievicza</w:t>
            </w:r>
          </w:p>
        </w:tc>
        <w:tc>
          <w:tcPr>
            <w:tcW w:type="dxa" w:w="2500"/>
            <w:tcMar>
              <w:top w:type="dxa" w:w="70"/>
              <w:left w:type="dxa" w:w="110"/>
              <w:bottom w:type="dxa" w:w="70"/>
              <w:right w:type="dxa" w:w="110"/>
            </w:tcMar>
            <w:vAlign w:val="center"/>
          </w:tcPr>
          <w:p>
            <w:pPr>
              <w:spacing w:after="0" w:line="240"/>
            </w:pPr>
            <w:r>
              <w:rPr>
                <w:sz w:val="19"/>
                <w:szCs w:val="19"/>
              </w:rPr>
              <w:t xml:space="preserve">zapytanie z literówką</w:t>
            </w:r>
          </w:p>
        </w:tc>
        <w:tc>
          <w:tcPr>
            <w:tcW w:type="dxa" w:w="2300"/>
            <w:tcMar>
              <w:top w:type="dxa" w:w="70"/>
              <w:left w:type="dxa" w:w="110"/>
              <w:bottom w:type="dxa" w:w="70"/>
              <w:right w:type="dxa" w:w="110"/>
            </w:tcMar>
            <w:vAlign w:val="center"/>
          </w:tcPr>
          <w:p>
            <w:pPr>
              <w:spacing w:after="0" w:line="240"/>
            </w:pPr>
            <w:r>
              <w:rPr>
                <w:sz w:val="19"/>
                <w:szCs w:val="19"/>
              </w:rPr>
              <w:t xml:space="preserve">1,55 ms</w:t>
            </w:r>
          </w:p>
        </w:tc>
        <w:tc>
          <w:tcPr>
            <w:tcW w:type="dxa" w:w="2326"/>
            <w:tcMar>
              <w:top w:type="dxa" w:w="70"/>
              <w:left w:type="dxa" w:w="110"/>
              <w:bottom w:type="dxa" w:w="70"/>
              <w:right w:type="dxa" w:w="110"/>
            </w:tcMar>
            <w:vAlign w:val="center"/>
          </w:tcPr>
          <w:p>
            <w:pPr>
              <w:spacing w:after="0" w:line="240"/>
            </w:pPr>
            <w:r>
              <w:rPr>
                <w:sz w:val="19"/>
                <w:szCs w:val="19"/>
              </w:rPr>
              <w:t xml:space="preserve">3,54 ms</w:t>
            </w:r>
          </w:p>
        </w:tc>
      </w:tr>
      <w:tr>
        <w:tc>
          <w:tcPr>
            <w:tcW w:type="dxa" w:w="1900"/>
            <w:shd w:fill="F5F7F9" w:color="auto" w:val="clear"/>
            <w:tcMar>
              <w:top w:type="dxa" w:w="70"/>
              <w:left w:type="dxa" w:w="110"/>
              <w:bottom w:type="dxa" w:w="70"/>
              <w:right w:type="dxa" w:w="110"/>
            </w:tcMar>
            <w:vAlign w:val="center"/>
          </w:tcPr>
          <w:p>
            <w:pPr>
              <w:spacing w:after="0" w:line="240"/>
            </w:pPr>
            <w:r>
              <w:rPr>
                <w:sz w:val="19"/>
                <w:szCs w:val="19"/>
              </w:rPr>
              <w:t xml:space="preserve">nowa wies</w:t>
            </w:r>
          </w:p>
        </w:tc>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nazwa masowo powtarzalna</w:t>
            </w:r>
          </w:p>
        </w:tc>
        <w:tc>
          <w:tcPr>
            <w:tcW w:type="dxa" w:w="2300"/>
            <w:shd w:fill="F5F7F9" w:color="auto" w:val="clear"/>
            <w:tcMar>
              <w:top w:type="dxa" w:w="70"/>
              <w:left w:type="dxa" w:w="110"/>
              <w:bottom w:type="dxa" w:w="70"/>
              <w:right w:type="dxa" w:w="110"/>
            </w:tcMar>
            <w:vAlign w:val="center"/>
          </w:tcPr>
          <w:p>
            <w:pPr>
              <w:spacing w:after="0" w:line="240"/>
            </w:pPr>
            <w:r>
              <w:rPr>
                <w:sz w:val="19"/>
                <w:szCs w:val="19"/>
              </w:rPr>
              <w:t xml:space="preserve">0,96 ms</w:t>
            </w:r>
          </w:p>
        </w:tc>
        <w:tc>
          <w:tcPr>
            <w:tcW w:type="dxa" w:w="2326"/>
            <w:shd w:fill="F5F7F9" w:color="auto" w:val="clear"/>
            <w:tcMar>
              <w:top w:type="dxa" w:w="70"/>
              <w:left w:type="dxa" w:w="110"/>
              <w:bottom w:type="dxa" w:w="70"/>
              <w:right w:type="dxa" w:w="110"/>
            </w:tcMar>
            <w:vAlign w:val="center"/>
          </w:tcPr>
          <w:p>
            <w:pPr>
              <w:spacing w:after="0" w:line="240"/>
            </w:pPr>
            <w:r>
              <w:rPr>
                <w:sz w:val="19"/>
                <w:szCs w:val="19"/>
              </w:rPr>
              <w:t xml:space="preserve">1,55 ms</w:t>
            </w:r>
          </w:p>
        </w:tc>
      </w:tr>
    </w:tbl>
    <w:p>
      <w:pPr>
        <w:spacing w:after="1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1800"/>
        <w:gridCol w:w="1826"/>
      </w:tblGrid>
      <w:tr>
        <w:trPr>
          <w:tblHeader/>
        </w:trPr>
        <w:tc>
          <w:tcPr>
            <w:tcW w:type="dxa" w:w="3600"/>
            <w:shd w:fill="E8EDF2" w:color="auto" w:val="clear"/>
            <w:tcMar>
              <w:top w:type="dxa" w:w="70"/>
              <w:left w:type="dxa" w:w="110"/>
              <w:bottom w:type="dxa" w:w="70"/>
              <w:right w:type="dxa" w:w="110"/>
            </w:tcMar>
            <w:vAlign w:val="center"/>
          </w:tcPr>
          <w:p>
            <w:pPr>
              <w:spacing w:after="0" w:line="240"/>
            </w:pPr>
            <w:r>
              <w:rPr>
                <w:b/>
                <w:bCs/>
                <w:sz w:val="19"/>
                <w:szCs w:val="19"/>
              </w:rPr>
              <w:t xml:space="preserve">Metoda pomiaru</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Mediana</w:t>
            </w:r>
          </w:p>
        </w:tc>
        <w:tc>
          <w:tcPr>
            <w:tcW w:type="dxa" w:w="1800"/>
            <w:shd w:fill="E8EDF2" w:color="auto" w:val="clear"/>
            <w:tcMar>
              <w:top w:type="dxa" w:w="70"/>
              <w:left w:type="dxa" w:w="110"/>
              <w:bottom w:type="dxa" w:w="70"/>
              <w:right w:type="dxa" w:w="110"/>
            </w:tcMar>
            <w:vAlign w:val="center"/>
          </w:tcPr>
          <w:p>
            <w:pPr>
              <w:spacing w:after="0" w:line="240"/>
            </w:pPr>
            <w:r>
              <w:rPr>
                <w:b/>
                <w:bCs/>
                <w:sz w:val="19"/>
                <w:szCs w:val="19"/>
              </w:rPr>
              <w:t xml:space="preserve">95. percentyl</w:t>
            </w:r>
          </w:p>
        </w:tc>
        <w:tc>
          <w:tcPr>
            <w:tcW w:type="dxa" w:w="1826"/>
            <w:shd w:fill="E8EDF2" w:color="auto" w:val="clear"/>
            <w:tcMar>
              <w:top w:type="dxa" w:w="70"/>
              <w:left w:type="dxa" w:w="110"/>
              <w:bottom w:type="dxa" w:w="70"/>
              <w:right w:type="dxa" w:w="110"/>
            </w:tcMar>
            <w:vAlign w:val="center"/>
          </w:tcPr>
          <w:p>
            <w:pPr>
              <w:spacing w:after="0" w:line="240"/>
            </w:pPr>
            <w:r>
              <w:rPr>
                <w:b/>
                <w:bCs/>
                <w:sz w:val="19"/>
                <w:szCs w:val="19"/>
              </w:rPr>
              <w:t xml:space="preserve">99. percentyl</w:t>
            </w:r>
          </w:p>
        </w:tc>
      </w:tr>
      <w:tr>
        <w:tc>
          <w:tcPr>
            <w:tcW w:type="dxa" w:w="3600"/>
            <w:tcMar>
              <w:top w:type="dxa" w:w="70"/>
              <w:left w:type="dxa" w:w="110"/>
              <w:bottom w:type="dxa" w:w="70"/>
              <w:right w:type="dxa" w:w="110"/>
            </w:tcMar>
            <w:vAlign w:val="center"/>
          </w:tcPr>
          <w:p>
            <w:pPr>
              <w:spacing w:after="0" w:line="240"/>
            </w:pPr>
            <w:r>
              <w:rPr>
                <w:b/>
                <w:bCs/>
                <w:sz w:val="19"/>
                <w:szCs w:val="19"/>
              </w:rPr>
              <w:t xml:space="preserve">Silnik wyszukiwania bezpośrednio</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0,81 ms</w:t>
            </w:r>
          </w:p>
        </w:tc>
        <w:tc>
          <w:tcPr>
            <w:tcW w:type="dxa" w:w="1800"/>
            <w:tcMar>
              <w:top w:type="dxa" w:w="70"/>
              <w:left w:type="dxa" w:w="110"/>
              <w:bottom w:type="dxa" w:w="70"/>
              <w:right w:type="dxa" w:w="110"/>
            </w:tcMar>
            <w:vAlign w:val="center"/>
          </w:tcPr>
          <w:p>
            <w:pPr>
              <w:spacing w:after="0" w:line="240"/>
            </w:pPr>
            <w:r>
              <w:rPr>
                <w:b w:val="false"/>
                <w:bCs w:val="false"/>
                <w:sz w:val="19"/>
                <w:szCs w:val="19"/>
              </w:rPr>
              <w:t xml:space="preserve">4,63 ms</w:t>
            </w:r>
          </w:p>
        </w:tc>
        <w:tc>
          <w:tcPr>
            <w:tcW w:type="dxa" w:w="1826"/>
            <w:tcMar>
              <w:top w:type="dxa" w:w="70"/>
              <w:left w:type="dxa" w:w="110"/>
              <w:bottom w:type="dxa" w:w="70"/>
              <w:right w:type="dxa" w:w="110"/>
            </w:tcMar>
            <w:vAlign w:val="center"/>
          </w:tcPr>
          <w:p>
            <w:pPr>
              <w:spacing w:after="0" w:line="240"/>
            </w:pPr>
            <w:r>
              <w:rPr>
                <w:b w:val="false"/>
                <w:bCs w:val="false"/>
                <w:sz w:val="19"/>
                <w:szCs w:val="19"/>
              </w:rPr>
              <w:t xml:space="preserve">9,38 ms</w:t>
            </w:r>
          </w:p>
        </w:tc>
      </w:tr>
      <w:tr>
        <w:tc>
          <w:tcPr>
            <w:tcW w:type="dxa" w:w="3600"/>
            <w:shd w:fill="F5F7F9" w:color="auto" w:val="clear"/>
            <w:tcMar>
              <w:top w:type="dxa" w:w="70"/>
              <w:left w:type="dxa" w:w="110"/>
              <w:bottom w:type="dxa" w:w="70"/>
              <w:right w:type="dxa" w:w="110"/>
            </w:tcMar>
            <w:vAlign w:val="center"/>
          </w:tcPr>
          <w:p>
            <w:pPr>
              <w:spacing w:after="0" w:line="240"/>
            </w:pPr>
            <w:r>
              <w:rPr>
                <w:b/>
                <w:bCs/>
                <w:sz w:val="19"/>
                <w:szCs w:val="19"/>
              </w:rPr>
              <w:t xml:space="preserve">Pełna ścieżka HTTP mikroserwisu</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1,71 ms</w:t>
            </w:r>
          </w:p>
        </w:tc>
        <w:tc>
          <w:tcPr>
            <w:tcW w:type="dxa" w:w="18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9,41 ms</w:t>
            </w:r>
          </w:p>
        </w:tc>
        <w:tc>
          <w:tcPr>
            <w:tcW w:type="dxa" w:w="1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27,94 ms</w:t>
            </w:r>
          </w:p>
        </w:tc>
      </w:tr>
    </w:tbl>
    <w:p>
      <w:pPr>
        <w:spacing w:after="160"/>
      </w:pPr>
    </w:p>
    <w:p>
      <w:pPr>
        <w:spacing w:after="120" w:line="276"/>
      </w:pPr>
      <w:r>
        <w:rPr>
          <w:b/>
          <w:bCs/>
          <w:sz w:val="21"/>
          <w:szCs w:val="21"/>
        </w:rPr>
        <w:t xml:space="preserve">Która liczba jest właściwa: </w:t>
      </w:r>
      <w:r>
        <w:rPr>
          <w:sz w:val="21"/>
          <w:szCs w:val="21"/>
        </w:rPr>
        <w:t xml:space="preserve">dla oceny produktu — ta z wiersza HTTP, bo tyle czeka aplikacja kliencka. Pomiar samego silnika pokazuje natomiast, że ok. 0,9 ms z każdego zapytania zabiera obsługa żądania i złożenie odpowiedzi, nie wyszukiwanie. Przy dalszym strojeniu to tam, a nie w indeksie, jest dziś więcej do zyskania.</w:t>
      </w:r>
    </w:p>
    <w:p>
      <w:pPr>
        <w:spacing w:after="16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Sprostowanie do wiersza HTTP — wykryte 9.08.2026 przy pracach nad uwierzytelnianiem</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Wiersz „pełna ścieżka HTTP” był w dokumentacji technicznej i w konfiguracji alertów przypisany narzędziu pomiarowemu, które tej ścieżki nie mierzy: importuje ono silnik wyszukiwania i wywołuje go bezpośrednio, z pominięciem routingu, mechanizmów pośredniczących i składania odpowiedzi. Liczby pochodzą z pomiaru doraźnego, którego nie zachowano w repozytorium, więc nie da się ich odtworzyć.</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Wartości pozostają w raporcie jako orientacyjne — są zgodne z rzędem wielkości pomiarów wykonanych później — ale nie mają statusu pomiaru powtarzalnego. Wiersz „silnik bezpośrednio” jest odtwarzalny i pozostaje w mocy.</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Znaczenie praktyczne dotyczy planowanego uwierzytelniania: jego koszt powstaje dokładnie w tej warstwie, którą tamto narzędzie pomija. Porównanie „przed i po” wykonane nim pokazałoby różnicę zerową przy dowolnym rzeczywistym koszcie, a wymaganie „nie więcej niż +0,3 ms do 99. percentyla” zostałoby uznane za spełnione bez żadnego pomiaru.</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Przyrząd mierzący pełny cykl życia żądania powstał 9.08.2026 wraz z pomiarem własnej czułości — patrz rozdział 10, prace równoległe.</w:t>
      </w:r>
    </w:p>
    <w:p>
      <w:pPr>
        <w:spacing w:after="180"/>
      </w:pPr>
    </w:p>
    <w:p>
      <w:pPr>
        <w:spacing w:after="160"/>
      </w:pPr>
    </w:p>
    <w:p>
      <w:pPr>
        <w:pBdr>
          <w:top w:val="single" w:color="D5DBE0" w:sz="4"/>
          <w:bottom w:val="single" w:color="D5DBE0" w:sz="0"/>
          <w:left w:val="single" w:color="D5DBE0" w:sz="4"/>
          <w:right w:val="single" w:color="D5DBE0" w:sz="4"/>
        </w:pBdr>
        <w:shd w:fill="FDF1E7" w:color="auto" w:val="clear"/>
        <w:spacing w:after="0" w:before="160" w:line="276"/>
        <w:ind w:left="120" w:right="120"/>
      </w:pPr>
      <w:r>
        <w:rPr>
          <w:b/>
          <w:bCs/>
          <w:sz w:val="21"/>
          <w:szCs w:val="21"/>
        </w:rPr>
        <w:t xml:space="preserve">Dlaczego podane liczby należy traktować jako orientacyjne — pomiar z 10.08.2026</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Powtórzenie pomiaru na maszynie deweloperskiej bez obciążenia użytkownika dało sześć kolejnych wyników 99. percentyla: 33, 41, 49, 66, 99 i 129 milisekund. Mediana pozostawała przy tym stabilna, w granicach 1,1–1,3 ms. Rozrzut dotyczy więc wyłącznie przypadków skrajnych — ale to właśnie one wyznaczają progi alarmowe.</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Przyczyna jest znana i mierzalna: na tej samej maszynie działa równolegle osiem kontenerów rozwiązania, w tym pulpit operacyjny (31% procesora), baza danych (23%) i odbiorca metryk (10%). Warstwa uruchomieniowa kontenerów zajmowała w czasie pomiaru ponad pięć rdzeni z ośmiu.</w:t>
      </w:r>
    </w:p>
    <w:p>
      <w:pPr>
        <w:pBdr>
          <w:top w:val="single" w:color="D5DBE0" w:sz="0"/>
          <w:bottom w:val="single" w:color="D5DBE0" w:sz="0"/>
          <w:left w:val="single" w:color="D5DBE0" w:sz="4"/>
          <w:right w:val="single" w:color="D5DBE0" w:sz="4"/>
        </w:pBdr>
        <w:shd w:fill="FDF1E7" w:color="auto" w:val="clear"/>
        <w:spacing w:after="60" w:line="276"/>
        <w:ind w:left="120" w:right="120"/>
      </w:pPr>
      <w:r>
        <w:rPr>
          <w:sz w:val="20"/>
          <w:szCs w:val="20"/>
        </w:rPr>
        <w:t xml:space="preserve">Dwa z tych kontenerów — pamięć podręczna i magazyn obiektowy — nie są używane przez żadną część kodu, a zużywają zasoby. Zostały zadeklarowane w konfiguracji uruchomieniowej „na zapas”.</w:t>
      </w:r>
    </w:p>
    <w:p>
      <w:pPr>
        <w:pBdr>
          <w:top w:val="single" w:color="D5DBE0" w:sz="0"/>
          <w:bottom w:val="single" w:color="D5DBE0" w:sz="4"/>
          <w:left w:val="single" w:color="D5DBE0" w:sz="4"/>
          <w:right w:val="single" w:color="D5DBE0" w:sz="4"/>
        </w:pBdr>
        <w:shd w:fill="FDF1E7" w:color="auto" w:val="clear"/>
        <w:spacing w:after="0" w:line="276"/>
        <w:ind w:left="120" w:right="120"/>
      </w:pPr>
      <w:r>
        <w:rPr>
          <w:sz w:val="20"/>
          <w:szCs w:val="20"/>
        </w:rPr>
        <w:t xml:space="preserve">Wniosek dla odbioru prac: wiążący pomiar czasów odpowiedzi wymaga środowiska zbliżonego do docelowego, a nie maszyny deweloperskiej z pełnym zestawem narzędzi pomocniczych. Do tego czasu progi alarmowe należy traktować jako wstępne. Odpowiednia pozycja została dopisana do planu.</w:t>
      </w:r>
    </w:p>
    <w:p>
      <w:pPr>
        <w:spacing w:after="18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Wyniki są lepsze niż w wydaniu 1.3, mimo dwukrotnie większego zbioru — dlaczego</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Wydania 1.2–1.3 podawały medianę ok. 4 ms i najgorszy przypadek 42 ms dla nazwy „Nowa Wieś”, na zbiorze mniejszym o połowę. Pomiar na pełnym kraju daje medianę 1,71 ms, a „Nowa Wieś” wypada w środku stawki z wynikiem 1,55 ms.</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Wyjaśnieniem jest metodyka, nie poprawa silnika. Zmierzone tu pierwsze wywołanie po starcie procesu, bez rozgrzewki, daje 82 ms dla pierwszego zapytania i kilkadziesiąt milisekund dla kolejnych — czyli dokładnie ten rząd wielkości, który wydania 1.2–1.3 podawały jako koszt „nazw pospolitych”.</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Oznacza to, że wcześniejsze liczby mierzyły w znacznej części rozgrzewkę maszyny wykonującej kod, a nie koszt uszeregowania kandydatów. Teza z wydania 1.3, że o czasie decyduje liczba kandydatów, jest w świetle tego pomiaru co najmniej niepełna: przy dwukrotnie większym zbiorze i tych samych zapytaniach czasy spadły.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Praktyczny wniosek jest inny niż dotychczasowy: budżet czasu odpowiedzi trzeba przewidzieć nie pod nazwy pospolite, lecz pod pierwsze zapytania po starcie instancji. Uzasadnia to rozgrzewanie instancji przed skierowaniem na nią ruchu — pozycja do dopisania do prac nad skalowaniem poziomym.</w:t>
      </w:r>
    </w:p>
    <w:p>
      <w:pPr>
        <w:spacing w:after="180"/>
      </w:pPr>
    </w:p>
    <w:p>
      <w:pPr>
        <w:spacing w:after="120" w:line="276"/>
      </w:pPr>
      <w:r>
        <w:rPr>
          <w:b/>
          <w:bCs/>
          <w:sz w:val="21"/>
          <w:szCs w:val="21"/>
        </w:rPr>
        <w:t xml:space="preserve">Zużycie pamięci: </w:t>
      </w:r>
      <w:r>
        <w:rPr>
          <w:sz w:val="21"/>
          <w:szCs w:val="21"/>
        </w:rPr>
        <w:t xml:space="preserve">proces mikroserwisu z wczytanym artefaktem 54,5 MB zajmuje 55 MB pamięci operacyjnej ponad stan wyjściowy. Wydanie 1.0 szacowało 485 MB przy artefakcie 53 MB, a wydania 1.4–1.6 podawały 239 MB przy artefakcie 109,3 MB — obie liczby są nieaktualne po scaleniu katalogu ulic, które zmniejszyło artefakt o połowę.</w:t>
      </w:r>
    </w:p>
    <w:p>
      <w:r>
        <w:br w:type="page"/>
      </w:r>
    </w:p>
    <w:p>
      <w:pPr>
        <w:pStyle w:val="Heading1"/>
        <w:spacing w:after="180" w:before="360"/>
      </w:pPr>
      <w:r>
        <w:t xml:space="preserve">9. Warianty rozwiązania</w:t>
      </w:r>
    </w:p>
    <w:p>
      <w:pPr>
        <w:spacing w:after="120" w:line="276"/>
      </w:pPr>
      <w:r>
        <w:rPr>
          <w:sz w:val="21"/>
          <w:szCs w:val="21"/>
        </w:rPr>
        <w:t xml:space="preserve">Poniżej porównano trzy możliwe podejścia. Wariant A jest realizowany i opisany w poprzednich rozdziałach.</w:t>
      </w:r>
    </w:p>
    <w:p>
      <w:pPr>
        <w:pStyle w:val="Heading2"/>
        <w:spacing w:after="140" w:before="280"/>
      </w:pPr>
      <w:r>
        <w:t xml:space="preserve">9.1. Porównanie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42"/>
        <w:gridCol w:w="2242"/>
        <w:gridCol w:w="2242"/>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Kryterium</w:t>
            </w:r>
          </w:p>
        </w:tc>
        <w:tc>
          <w:tcPr>
            <w:tcW w:type="dxa" w:w="2542"/>
            <w:shd w:fill="E8EDF2" w:color="auto" w:val="clear"/>
            <w:tcMar>
              <w:top w:type="dxa" w:w="70"/>
              <w:left w:type="dxa" w:w="110"/>
              <w:bottom w:type="dxa" w:w="70"/>
              <w:right w:type="dxa" w:w="110"/>
            </w:tcMar>
            <w:vAlign w:val="center"/>
          </w:tcPr>
          <w:p>
            <w:pPr>
              <w:spacing w:after="0" w:line="240"/>
            </w:pPr>
            <w:r>
              <w:rPr>
                <w:b/>
                <w:bCs/>
                <w:sz w:val="19"/>
                <w:szCs w:val="19"/>
              </w:rPr>
              <w:t xml:space="preserve">A. Własna baza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B. Hybryda</w:t>
            </w:r>
          </w:p>
        </w:tc>
        <w:tc>
          <w:tcPr>
            <w:tcW w:type="dxa" w:w="2242"/>
            <w:shd w:fill="E8EDF2" w:color="auto" w:val="clear"/>
            <w:tcMar>
              <w:top w:type="dxa" w:w="70"/>
              <w:left w:type="dxa" w:w="110"/>
              <w:bottom w:type="dxa" w:w="70"/>
              <w:right w:type="dxa" w:w="110"/>
            </w:tcMar>
            <w:vAlign w:val="center"/>
          </w:tcPr>
          <w:p>
            <w:pPr>
              <w:spacing w:after="0" w:line="240"/>
            </w:pPr>
            <w:r>
              <w:rPr>
                <w:b/>
                <w:bCs/>
                <w:sz w:val="19"/>
                <w:szCs w:val="19"/>
              </w:rPr>
              <w:t xml:space="preserve">C. Zewnętrzne API</w:t>
            </w:r>
          </w:p>
        </w:tc>
      </w:tr>
      <w:tr>
        <w:tc>
          <w:tcPr>
            <w:tcW w:type="dxa" w:w="2000"/>
            <w:tcMar>
              <w:top w:type="dxa" w:w="70"/>
              <w:left w:type="dxa" w:w="110"/>
              <w:bottom w:type="dxa" w:w="70"/>
              <w:right w:type="dxa" w:w="110"/>
            </w:tcMar>
            <w:vAlign w:val="center"/>
          </w:tcPr>
          <w:p>
            <w:pPr>
              <w:spacing w:after="0" w:line="240"/>
            </w:pPr>
            <w:r>
              <w:rPr>
                <w:b/>
                <w:bCs/>
                <w:sz w:val="19"/>
                <w:szCs w:val="19"/>
              </w:rPr>
              <w:t xml:space="preserve">Nakład wdrożeniowy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Wysoki (11–15 tygodni do produkcji, rdzeń już zbudowany)</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Średni</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Niski (kilka dni)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Koszt bieżący</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utrzymanie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Infrastruktura + opłaty za część ruchu</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Opłata rosnąca liniowo z ruchem</w:t>
            </w:r>
          </w:p>
        </w:tc>
      </w:tr>
      <w:tr>
        <w:tc>
          <w:tcPr>
            <w:tcW w:type="dxa" w:w="2000"/>
            <w:tcMar>
              <w:top w:type="dxa" w:w="70"/>
              <w:left w:type="dxa" w:w="110"/>
              <w:bottom w:type="dxa" w:w="70"/>
              <w:right w:type="dxa" w:w="110"/>
            </w:tcMar>
            <w:vAlign w:val="center"/>
          </w:tcPr>
          <w:p>
            <w:pPr>
              <w:spacing w:after="0" w:line="240"/>
            </w:pPr>
            <w:r>
              <w:rPr>
                <w:b/>
                <w:bCs/>
                <w:sz w:val="19"/>
                <w:szCs w:val="19"/>
              </w:rPr>
              <w:t xml:space="preserve">Uzależnienie od dostawcy</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Brak</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Częściowe</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Pełne</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Dane osobowe poza organizacją</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Dla części zapytań</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r>
      <w:tr>
        <w:tc>
          <w:tcPr>
            <w:tcW w:type="dxa" w:w="2000"/>
            <w:tcMar>
              <w:top w:type="dxa" w:w="70"/>
              <w:left w:type="dxa" w:w="110"/>
              <w:bottom w:type="dxa" w:w="70"/>
              <w:right w:type="dxa" w:w="110"/>
            </w:tcMar>
            <w:vAlign w:val="center"/>
          </w:tcPr>
          <w:p>
            <w:pPr>
              <w:spacing w:after="0" w:line="240"/>
            </w:pPr>
            <w:r>
              <w:rPr>
                <w:b/>
                <w:bCs/>
                <w:sz w:val="19"/>
                <w:szCs w:val="19"/>
              </w:rPr>
              <w:t xml:space="preserve">Czas odpowiedzi</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ok. 4 ms (mediana), do 42 ms dla nazw masowo powtarzalnych — patrz 8.6</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ok. 4 ms lokalnie / opóźnienie sieci dla ruchu kierowanego na zewnątrz</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Opóźnienie sieci</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Identyfikatory rejestrowe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Tak</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Zwykle nie</w:t>
            </w:r>
          </w:p>
        </w:tc>
      </w:tr>
      <w:tr>
        <w:tc>
          <w:tcPr>
            <w:tcW w:type="dxa" w:w="2000"/>
            <w:tcMar>
              <w:top w:type="dxa" w:w="70"/>
              <w:left w:type="dxa" w:w="110"/>
              <w:bottom w:type="dxa" w:w="70"/>
              <w:right w:type="dxa" w:w="110"/>
            </w:tcMar>
            <w:vAlign w:val="center"/>
          </w:tcPr>
          <w:p>
            <w:pPr>
              <w:spacing w:after="0" w:line="240"/>
            </w:pPr>
            <w:r>
              <w:rPr>
                <w:b/>
                <w:bCs/>
                <w:sz w:val="19"/>
                <w:szCs w:val="19"/>
              </w:rPr>
              <w:t xml:space="preserve">Odporność na awarię źródła</w:t>
            </w:r>
          </w:p>
        </w:tc>
        <w:tc>
          <w:tcPr>
            <w:tcW w:type="dxa" w:w="2542"/>
            <w:tcMar>
              <w:top w:type="dxa" w:w="70"/>
              <w:left w:type="dxa" w:w="110"/>
              <w:bottom w:type="dxa" w:w="70"/>
              <w:right w:type="dxa" w:w="110"/>
            </w:tcMar>
            <w:vAlign w:val="center"/>
          </w:tcPr>
          <w:p>
            <w:pPr>
              <w:spacing w:after="0" w:line="240"/>
            </w:pPr>
            <w:r>
              <w:rPr>
                <w:b w:val="false"/>
                <w:bCs w:val="false"/>
                <w:sz w:val="19"/>
                <w:szCs w:val="19"/>
              </w:rPr>
              <w:t xml:space="preserve">Cztery poziomy w projekcie, dwa uruchomione — patrz 7.3</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Dwa źródła</w:t>
            </w:r>
          </w:p>
        </w:tc>
        <w:tc>
          <w:tcPr>
            <w:tcW w:type="dxa" w:w="2242"/>
            <w:tcMar>
              <w:top w:type="dxa" w:w="70"/>
              <w:left w:type="dxa" w:w="110"/>
              <w:bottom w:type="dxa" w:w="70"/>
              <w:right w:type="dxa" w:w="110"/>
            </w:tcMar>
            <w:vAlign w:val="center"/>
          </w:tcPr>
          <w:p>
            <w:pPr>
              <w:spacing w:after="0" w:line="240"/>
            </w:pPr>
            <w:r>
              <w:rPr>
                <w:b w:val="false"/>
                <w:bCs w:val="false"/>
                <w:sz w:val="19"/>
                <w:szCs w:val="19"/>
              </w:rPr>
              <w:t xml:space="preserve">Usługa działa nadal, ale dane dostawcy też pochodzą z PRG i przestaną się aktualizować — patrz 3.2</w:t>
            </w:r>
          </w:p>
        </w:tc>
      </w:tr>
      <w:tr>
        <w:tc>
          <w:tcPr>
            <w:tcW w:type="dxa" w:w="2000"/>
            <w:shd w:fill="F5F7F9" w:color="auto" w:val="clear"/>
            <w:tcMar>
              <w:top w:type="dxa" w:w="70"/>
              <w:left w:type="dxa" w:w="110"/>
              <w:bottom w:type="dxa" w:w="70"/>
              <w:right w:type="dxa" w:w="110"/>
            </w:tcMar>
            <w:vAlign w:val="center"/>
          </w:tcPr>
          <w:p>
            <w:pPr>
              <w:spacing w:after="0" w:line="240"/>
            </w:pPr>
            <w:r>
              <w:rPr>
                <w:b/>
                <w:bCs/>
                <w:sz w:val="19"/>
                <w:szCs w:val="19"/>
              </w:rPr>
              <w:t xml:space="preserve">Utrzymanie</w:t>
            </w:r>
          </w:p>
        </w:tc>
        <w:tc>
          <w:tcPr>
            <w:tcW w:type="dxa" w:w="25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 po stronie Zamawiającego</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Konieczne</w:t>
            </w:r>
          </w:p>
        </w:tc>
        <w:tc>
          <w:tcPr>
            <w:tcW w:type="dxa" w:w="2242"/>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Po stronie dostawcy</w:t>
            </w:r>
          </w:p>
        </w:tc>
      </w:tr>
    </w:tbl>
    <w:p>
      <w:pPr>
        <w:spacing w:after="160"/>
      </w:pPr>
    </w:p>
    <w:p>
      <w:pPr>
        <w:pStyle w:val="Heading2"/>
        <w:spacing w:after="140" w:before="280"/>
      </w:pPr>
      <w:r>
        <w:t xml:space="preserve">9.2. Charakterystyka wariantów</w:t>
      </w:r>
    </w:p>
    <w:p>
      <w:pPr>
        <w:pStyle w:val="Heading3"/>
        <w:spacing w:after="110" w:before="220"/>
      </w:pPr>
      <w:r>
        <w:t xml:space="preserve">Wariant A — własna baza (rekomendowany)</w:t>
      </w:r>
    </w:p>
    <w:p>
      <w:pPr>
        <w:spacing w:after="120" w:line="276"/>
      </w:pPr>
      <w:r>
        <w:rPr>
          <w:sz w:val="21"/>
          <w:szCs w:val="21"/>
        </w:rPr>
        <w:t xml:space="preserve">Pełna kontrola nad danymi i wynikami. Koszt danych zerowy, koszt wyłącznie po stronie infrastruktury i utrzymania. Wymaga stałej obserwacji komunikatów instytucji prowadzącej rejestr — zmiana formatu z 1 września 2026 jest tego przykładem. Zapewnia identyfikatory rejestrowe umożliwiające trwałe powiązanie danych między aktualizacjami.</w:t>
      </w:r>
    </w:p>
    <w:p>
      <w:pPr>
        <w:pStyle w:val="Heading3"/>
        <w:spacing w:after="110" w:before="220"/>
      </w:pPr>
      <w:r>
        <w:t xml:space="preserve">Wariant B — hybryda</w:t>
      </w:r>
    </w:p>
    <w:p>
      <w:pPr>
        <w:spacing w:after="120" w:line="276"/>
      </w:pPr>
      <w:r>
        <w:rPr>
          <w:sz w:val="21"/>
          <w:szCs w:val="21"/>
        </w:rPr>
        <w:t xml:space="preserve">Własna baza obsługuje ruch podstawowy, a zapytania niedopasowane kierowane są do zewnętrznego dostawcy. Sensowne jako uzupełnienie wariantu A, gdy istotna jest skuteczność automatycznej korekty danych wprowadzanych ręcznie. Wymaga świadomej decyzji dotyczącej przekazywania danych osobowych poza infrastrukturę Zamawiającego oraz odpowiednich zapisów w rejestrze czynności przetwarzania.</w:t>
      </w:r>
    </w:p>
    <w:p>
      <w:pPr>
        <w:pStyle w:val="Heading3"/>
        <w:spacing w:after="110" w:before="220"/>
      </w:pPr>
      <w:r>
        <w:t xml:space="preserve">Wariant C — wyłącznie zewnętrzne API</w:t>
      </w:r>
    </w:p>
    <w:p>
      <w:pPr>
        <w:spacing w:after="120" w:line="276"/>
      </w:pPr>
      <w:r>
        <w:rPr>
          <w:sz w:val="21"/>
          <w:szCs w:val="21"/>
        </w:rPr>
        <w:t xml:space="preserve">Najszybszy we wdrożeniu. Koszt rośnie liniowo z ruchem, a organizacja nie ma wpływu na cennik ani na dostępność usługi. Nie zapewnia identyfikatorów rejestrowych, co utrudnia utrzymanie spójności danych historycznych. W analizie rynku napotkano również dostawców, których wiarygodności nie udało się potwierdzić — rekomendujemy weryfikację danych rejestrowych operatora przed podpisaniem umowy.</w:t>
      </w:r>
    </w:p>
    <w:p>
      <w:r>
        <w:br w:type="page"/>
      </w:r>
    </w:p>
    <w:p>
      <w:pPr>
        <w:pStyle w:val="Heading1"/>
        <w:spacing w:after="180" w:before="360"/>
      </w:pPr>
      <w:r>
        <w:t xml:space="preserve">10. Plan dalszych prac</w:t>
      </w:r>
    </w:p>
    <w:p>
      <w:pPr>
        <w:spacing w:after="120" w:line="276"/>
      </w:pPr>
      <w:r>
        <w:rPr>
          <w:sz w:val="21"/>
          <w:szCs w:val="21"/>
        </w:rPr>
        <w:t xml:space="preserve">Plan przepisano w wydaniu 1.3. Poprzednia wersja wyceniała pracę już wykonaną i pomijała obszary ujawnione podczas uruchomienia na danych rzeczywistych. Nakłady podano w dniach roboczych jednej osoby.</w:t>
      </w:r>
    </w:p>
    <w:p>
      <w:pPr>
        <w:pStyle w:val="Heading2"/>
        <w:spacing w:after="140" w:before="280"/>
      </w:pPr>
      <w:r>
        <w:t xml:space="preserve">10.1. Pozycje zamknięte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shd w:fill="E8EDF2" w:color="auto" w:val="clear"/>
            <w:tcMar>
              <w:top w:type="dxa" w:w="70"/>
              <w:left w:type="dxa" w:w="110"/>
              <w:bottom w:type="dxa" w:w="70"/>
              <w:right w:type="dxa" w:w="110"/>
            </w:tcMar>
            <w:vAlign w:val="center"/>
          </w:tcPr>
          <w:p>
            <w:pPr>
              <w:spacing w:after="0" w:line="240"/>
            </w:pPr>
            <w:r>
              <w:rPr>
                <w:b/>
                <w:bCs/>
                <w:sz w:val="19"/>
                <w:szCs w:val="19"/>
              </w:rPr>
              <w:t xml:space="preserve">Pozycja z poprzednich wydań</w:t>
            </w:r>
          </w:p>
        </w:tc>
        <w:tc>
          <w:tcPr>
            <w:tcW w:type="dxa" w:w="5026"/>
            <w:shd w:fill="E8EDF2" w:color="auto" w:val="clear"/>
            <w:tcMar>
              <w:top w:type="dxa" w:w="70"/>
              <w:left w:type="dxa" w:w="110"/>
              <w:bottom w:type="dxa" w:w="70"/>
              <w:right w:type="dxa" w:w="110"/>
            </w:tcMar>
            <w:vAlign w:val="center"/>
          </w:tcPr>
          <w:p>
            <w:pPr>
              <w:spacing w:after="0" w:line="240"/>
            </w:pPr>
            <w:r>
              <w:rPr>
                <w:b/>
                <w:bCs/>
                <w:sz w:val="19"/>
                <w:szCs w:val="19"/>
              </w:rPr>
              <w:t xml:space="preserve">Stan</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Archiwizacja danych w dotychczasowej strukturze</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komplet 16 województw, 1,8 GB, sumy kontrolne</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Weryfikacja nowej struktury danych</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rozpoznanie i odwzorowanie pól potwierdzone na rzeczywistym pliku, zero odrzuconych rekordów</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Import słowników TERYT</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6.08.2026 — pliki pełne, bez konta w GUS. Zależność od rejestracji w GUS nieaktualna</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Uruchomienie na pełnym zbiorze krajowym</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16 województw, 8 605 682 punkty, artefakt 54,5 MB</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Zamknięcie luki w limitowaniu zapytań</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8.08.2026 — limitowanie po adresie klienta, test regresji</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Odbiorca metryk i pulpit operacyjny</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zbieranie metryk, 7 reguł alertów, jeden ekran stanu usługi</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Formalny kontrakt interfejsu (OpenAPI)</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15 tras, test zgodności ze stanem kodu</w:t>
            </w:r>
          </w:p>
        </w:tc>
      </w:tr>
      <w:tr>
        <w:tc>
          <w:tcPr>
            <w:tcW w:type="dxa" w:w="4000"/>
            <w:shd w:fill="EDF5EE" w:color="auto" w:val="clear"/>
            <w:tcMar>
              <w:top w:type="dxa" w:w="70"/>
              <w:left w:type="dxa" w:w="110"/>
              <w:bottom w:type="dxa" w:w="70"/>
              <w:right w:type="dxa" w:w="110"/>
            </w:tcMar>
            <w:vAlign w:val="center"/>
          </w:tcPr>
          <w:p>
            <w:pPr>
              <w:spacing w:after="0" w:line="240"/>
            </w:pPr>
            <w:r>
              <w:rPr>
                <w:sz w:val="19"/>
                <w:szCs w:val="19"/>
              </w:rPr>
              <w:t xml:space="preserve">Zbiór wzorcowy jakości wyszukiwania</w:t>
            </w:r>
          </w:p>
        </w:tc>
        <w:tc>
          <w:tcPr>
            <w:tcW w:type="dxa" w:w="5026"/>
            <w:shd w:fill="EDF5EE" w:color="auto" w:val="clear"/>
            <w:tcMar>
              <w:top w:type="dxa" w:w="70"/>
              <w:left w:type="dxa" w:w="110"/>
              <w:bottom w:type="dxa" w:w="70"/>
              <w:right w:type="dxa" w:w="110"/>
            </w:tcMar>
            <w:vAlign w:val="center"/>
          </w:tcPr>
          <w:p>
            <w:pPr>
              <w:spacing w:after="0" w:line="240"/>
            </w:pPr>
            <w:r>
              <w:rPr>
                <w:sz w:val="19"/>
                <w:szCs w:val="19"/>
              </w:rPr>
              <w:t xml:space="preserve">WYKONANE 9.08.2026 — 28 przypadków; ujawnił sześć wad, wszystkie naprawione</w:t>
            </w:r>
          </w:p>
        </w:tc>
      </w:tr>
    </w:tbl>
    <w:p>
      <w:pPr>
        <w:spacing w:after="160"/>
      </w:pPr>
    </w:p>
    <w:p>
      <w:pPr>
        <w:pStyle w:val="Heading2"/>
        <w:spacing w:after="140" w:before="280"/>
      </w:pPr>
      <w:r>
        <w:t xml:space="preserve">10.2. Etapy do wykonania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926"/>
        <w:gridCol w:w="1600"/>
      </w:tblGrid>
      <w:tr>
        <w:trPr>
          <w:tblHeader/>
        </w:trPr>
        <w:tc>
          <w:tcPr>
            <w:tcW w:type="dxa" w:w="2500"/>
            <w:shd w:fill="E8EDF2" w:color="auto" w:val="clear"/>
            <w:tcMar>
              <w:top w:type="dxa" w:w="70"/>
              <w:left w:type="dxa" w:w="110"/>
              <w:bottom w:type="dxa" w:w="70"/>
              <w:right w:type="dxa" w:w="110"/>
            </w:tcMar>
            <w:vAlign w:val="center"/>
          </w:tcPr>
          <w:p>
            <w:pPr>
              <w:spacing w:after="0" w:line="240"/>
            </w:pPr>
            <w:r>
              <w:rPr>
                <w:b/>
                <w:bCs/>
                <w:sz w:val="19"/>
                <w:szCs w:val="19"/>
              </w:rPr>
              <w:t xml:space="preserve">Etap</w:t>
            </w:r>
          </w:p>
        </w:tc>
        <w:tc>
          <w:tcPr>
            <w:tcW w:type="dxa" w:w="4926"/>
            <w:shd w:fill="E8EDF2" w:color="auto" w:val="clear"/>
            <w:tcMar>
              <w:top w:type="dxa" w:w="70"/>
              <w:left w:type="dxa" w:w="110"/>
              <w:bottom w:type="dxa" w:w="70"/>
              <w:right w:type="dxa" w:w="110"/>
            </w:tcMar>
            <w:vAlign w:val="center"/>
          </w:tcPr>
          <w:p>
            <w:pPr>
              <w:spacing w:after="0" w:line="240"/>
            </w:pPr>
            <w:r>
              <w:rPr>
                <w:b/>
                <w:bCs/>
                <w:sz w:val="19"/>
                <w:szCs w:val="19"/>
              </w:rPr>
              <w:t xml:space="preserve">Zakres</w:t>
            </w:r>
          </w:p>
        </w:tc>
        <w:tc>
          <w:tcPr>
            <w:tcW w:type="dxa" w:w="1600"/>
            <w:shd w:fill="E8EDF2" w:color="auto" w:val="clear"/>
            <w:tcMar>
              <w:top w:type="dxa" w:w="70"/>
              <w:left w:type="dxa" w:w="110"/>
              <w:bottom w:type="dxa" w:w="70"/>
              <w:right w:type="dxa" w:w="110"/>
            </w:tcMar>
            <w:vAlign w:val="center"/>
          </w:tcPr>
          <w:p>
            <w:pPr>
              <w:spacing w:after="0" w:line="240"/>
            </w:pPr>
            <w:r>
              <w:rPr>
                <w:b/>
                <w:bCs/>
                <w:sz w:val="19"/>
                <w:szCs w:val="19"/>
              </w:rPr>
              <w:t xml:space="preserve">Nakład</w:t>
            </w:r>
          </w:p>
        </w:tc>
      </w:tr>
      <w:tr>
        <w:tc>
          <w:tcPr>
            <w:tcW w:type="dxa" w:w="2500"/>
            <w:tcMar>
              <w:top w:type="dxa" w:w="70"/>
              <w:left w:type="dxa" w:w="110"/>
              <w:bottom w:type="dxa" w:w="70"/>
              <w:right w:type="dxa" w:w="110"/>
            </w:tcMar>
            <w:vAlign w:val="center"/>
          </w:tcPr>
          <w:p>
            <w:pPr>
              <w:spacing w:after="0" w:line="240"/>
            </w:pPr>
            <w:r>
              <w:rPr>
                <w:sz w:val="19"/>
                <w:szCs w:val="19"/>
              </w:rPr>
              <w:t xml:space="preserve">1. Dokończenie bazy produkcyjnej</w:t>
            </w:r>
          </w:p>
        </w:tc>
        <w:tc>
          <w:tcPr>
            <w:tcW w:type="dxa" w:w="4926"/>
            <w:tcMar>
              <w:top w:type="dxa" w:w="70"/>
              <w:left w:type="dxa" w:w="110"/>
              <w:bottom w:type="dxa" w:w="70"/>
              <w:right w:type="dxa" w:w="110"/>
            </w:tcMar>
            <w:vAlign w:val="center"/>
          </w:tcPr>
          <w:p>
            <w:pPr>
              <w:spacing w:after="0" w:line="240"/>
            </w:pPr>
            <w:r>
              <w:rPr>
                <w:sz w:val="19"/>
                <w:szCs w:val="19"/>
              </w:rPr>
              <w:t xml:space="preserve">Publikacja pełnego kraju i pomiary na komplecie danych — WYKONANE 9.08.2026. Archiwum wyniesione poza maszynę i zweryfikowane — WYKONANE 9.08.2026. Pozostaje jednorazowe odtworzenie z kopii, potwierdzające jej przydatność, oraz kopie zapasowe bazy z harmonogramem</w:t>
            </w:r>
          </w:p>
        </w:tc>
        <w:tc>
          <w:tcPr>
            <w:tcW w:type="dxa" w:w="1600"/>
            <w:tcMar>
              <w:top w:type="dxa" w:w="70"/>
              <w:left w:type="dxa" w:w="110"/>
              <w:bottom w:type="dxa" w:w="70"/>
              <w:right w:type="dxa" w:w="110"/>
            </w:tcMar>
            <w:vAlign w:val="center"/>
          </w:tcPr>
          <w:p>
            <w:pPr>
              <w:spacing w:after="0" w:line="240"/>
            </w:pPr>
            <w:r>
              <w:rPr>
                <w:sz w:val="19"/>
                <w:szCs w:val="19"/>
              </w:rPr>
              <w:t xml:space="preserve">2–3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2. Wydajność i przetwarzanie równoległe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Raportowanie postępu, wznawianie przerwanych przebiegów, limit czasu i wykrywanie zawieszenia, strojenie bazy pod ładowanie masowe, testy regresji wydajności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6–8 dni</w:t>
            </w:r>
          </w:p>
        </w:tc>
      </w:tr>
      <w:tr>
        <w:tc>
          <w:tcPr>
            <w:tcW w:type="dxa" w:w="2500"/>
            <w:tcMar>
              <w:top w:type="dxa" w:w="70"/>
              <w:left w:type="dxa" w:w="110"/>
              <w:bottom w:type="dxa" w:w="70"/>
              <w:right w:type="dxa" w:w="110"/>
            </w:tcMar>
            <w:vAlign w:val="center"/>
          </w:tcPr>
          <w:p>
            <w:pPr>
              <w:spacing w:after="0" w:line="240"/>
            </w:pPr>
            <w:r>
              <w:rPr>
                <w:sz w:val="19"/>
                <w:szCs w:val="19"/>
              </w:rPr>
              <w:t xml:space="preserve">3. Podział na dwa serwisy</w:t>
            </w:r>
          </w:p>
        </w:tc>
        <w:tc>
          <w:tcPr>
            <w:tcW w:type="dxa" w:w="4926"/>
            <w:tcMar>
              <w:top w:type="dxa" w:w="70"/>
              <w:left w:type="dxa" w:w="110"/>
              <w:bottom w:type="dxa" w:w="70"/>
              <w:right w:type="dxa" w:w="110"/>
            </w:tcMar>
            <w:vAlign w:val="center"/>
          </w:tcPr>
          <w:p>
            <w:pPr>
              <w:spacing w:after="0" w:line="240"/>
            </w:pPr>
            <w:r>
              <w:rPr>
                <w:sz w:val="19"/>
                <w:szCs w:val="19"/>
              </w:rPr>
              <w:t xml:space="preserve">Rozdzielenie ról w bazie, osobne potoki budowania, kontrakt między serwisami, test skalowania poziomego</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4. Wersjonowanie wydań</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Rejestr wydań, wersja danych w każdej odpowiedzi, procedura wycofania, wydanie kanarkowe, przypięcie klienta do wersji</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5. Audyt zmian i kontrola nadpisywania</w:t>
            </w:r>
          </w:p>
        </w:tc>
        <w:tc>
          <w:tcPr>
            <w:tcW w:type="dxa" w:w="4926"/>
            <w:tcMar>
              <w:top w:type="dxa" w:w="70"/>
              <w:left w:type="dxa" w:w="110"/>
              <w:bottom w:type="dxa" w:w="70"/>
              <w:right w:type="dxa" w:w="110"/>
            </w:tcMar>
            <w:vAlign w:val="center"/>
          </w:tcPr>
          <w:p>
            <w:pPr>
              <w:spacing w:after="0" w:line="240"/>
            </w:pPr>
            <w:r>
              <w:rPr>
                <w:sz w:val="19"/>
                <w:szCs w:val="19"/>
              </w:rPr>
              <w:t xml:space="preserve">Dziennik zmian rekordów, raport różnic między wydaniami, jawne reguły precedencji źródeł, ochrona zmian ręcznych przed nadpisaniem przez automat</w:t>
            </w:r>
          </w:p>
        </w:tc>
        <w:tc>
          <w:tcPr>
            <w:tcW w:type="dxa" w:w="1600"/>
            <w:tcMar>
              <w:top w:type="dxa" w:w="70"/>
              <w:left w:type="dxa" w:w="110"/>
              <w:bottom w:type="dxa" w:w="70"/>
              <w:right w:type="dxa" w:w="110"/>
            </w:tcMar>
            <w:vAlign w:val="center"/>
          </w:tcPr>
          <w:p>
            <w:pPr>
              <w:spacing w:after="0" w:line="240"/>
            </w:pPr>
            <w:r>
              <w:rPr>
                <w:sz w:val="19"/>
                <w:szCs w:val="19"/>
              </w:rPr>
              <w:t xml:space="preserve">5–7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6. Braki blokujące wdrożenie</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Specyfikacja OpenAPI oraz zbiór wzorcowy jakości — WYKONANE 9.08.2026. Pozostaje retencja i anonimizacja logów zapytań, rejestr czynności przetwarzania, cele dostępności, procedura przy awarii źródła</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4–5 dni</w:t>
            </w:r>
          </w:p>
        </w:tc>
      </w:tr>
      <w:tr>
        <w:tc>
          <w:tcPr>
            <w:tcW w:type="dxa" w:w="2500"/>
            <w:tcMar>
              <w:top w:type="dxa" w:w="70"/>
              <w:left w:type="dxa" w:w="110"/>
              <w:bottom w:type="dxa" w:w="70"/>
              <w:right w:type="dxa" w:w="110"/>
            </w:tcMar>
            <w:vAlign w:val="center"/>
          </w:tcPr>
          <w:p>
            <w:pPr>
              <w:spacing w:after="0" w:line="240"/>
            </w:pPr>
            <w:r>
              <w:rPr>
                <w:sz w:val="19"/>
                <w:szCs w:val="19"/>
              </w:rPr>
              <w:t xml:space="preserve">7. Monitorowanie i obserwowalność</w:t>
            </w:r>
          </w:p>
        </w:tc>
        <w:tc>
          <w:tcPr>
            <w:tcW w:type="dxa" w:w="4926"/>
            <w:tcMar>
              <w:top w:type="dxa" w:w="70"/>
              <w:left w:type="dxa" w:w="110"/>
              <w:bottom w:type="dxa" w:w="70"/>
              <w:right w:type="dxa" w:w="110"/>
            </w:tcMar>
            <w:vAlign w:val="center"/>
          </w:tcPr>
          <w:p>
            <w:pPr>
              <w:spacing w:after="0" w:line="240"/>
            </w:pPr>
            <w:r>
              <w:rPr>
                <w:sz w:val="19"/>
                <w:szCs w:val="19"/>
              </w:rPr>
              <w:t xml:space="preserve">Odbiorca metryk i pulpit operacyjny — WYKONANE 9.08.2026. Pozostaje kanał powiadomień, sonda syntetyczna, centralne logi, cele poziomu usługi i zasady eskalacji</w:t>
            </w:r>
          </w:p>
        </w:tc>
        <w:tc>
          <w:tcPr>
            <w:tcW w:type="dxa" w:w="1600"/>
            <w:tcMar>
              <w:top w:type="dxa" w:w="70"/>
              <w:left w:type="dxa" w:w="110"/>
              <w:bottom w:type="dxa" w:w="70"/>
              <w:right w:type="dxa" w:w="110"/>
            </w:tcMar>
            <w:vAlign w:val="center"/>
          </w:tcPr>
          <w:p>
            <w:pPr>
              <w:spacing w:after="0" w:line="240"/>
            </w:pPr>
            <w:r>
              <w:rPr>
                <w:sz w:val="19"/>
                <w:szCs w:val="19"/>
              </w:rPr>
              <w:t xml:space="preserve">3–5 dni</w:t>
            </w:r>
          </w:p>
        </w:tc>
      </w:tr>
      <w:tr>
        <w:tc>
          <w:tcPr>
            <w:tcW w:type="dxa" w:w="2500"/>
            <w:shd w:fill="F5F7F9" w:color="auto" w:val="clear"/>
            <w:tcMar>
              <w:top w:type="dxa" w:w="70"/>
              <w:left w:type="dxa" w:w="110"/>
              <w:bottom w:type="dxa" w:w="70"/>
              <w:right w:type="dxa" w:w="110"/>
            </w:tcMar>
            <w:vAlign w:val="center"/>
          </w:tcPr>
          <w:p>
            <w:pPr>
              <w:spacing w:after="0" w:line="240"/>
            </w:pPr>
            <w:r>
              <w:rPr>
                <w:sz w:val="19"/>
                <w:szCs w:val="19"/>
              </w:rPr>
              <w:t xml:space="preserve">8. Komercjalizacja</w:t>
            </w:r>
          </w:p>
        </w:tc>
        <w:tc>
          <w:tcPr>
            <w:tcW w:type="dxa" w:w="4926"/>
            <w:shd w:fill="F5F7F9" w:color="auto" w:val="clear"/>
            <w:tcMar>
              <w:top w:type="dxa" w:w="70"/>
              <w:left w:type="dxa" w:w="110"/>
              <w:bottom w:type="dxa" w:w="70"/>
              <w:right w:type="dxa" w:w="110"/>
            </w:tcMar>
            <w:vAlign w:val="center"/>
          </w:tcPr>
          <w:p>
            <w:pPr>
              <w:spacing w:after="0" w:line="240"/>
            </w:pPr>
            <w:r>
              <w:rPr>
                <w:sz w:val="19"/>
                <w:szCs w:val="19"/>
              </w:rPr>
              <w:t xml:space="preserve">Klucze API z licencjami i limitami per klient, model wielodostępności, kopie zapasowe na osobną maszynę z cotygodniowym testem odtworzenia (zamrożenie archiwum wykonane 9.08.2026)</w:t>
            </w:r>
          </w:p>
        </w:tc>
        <w:tc>
          <w:tcPr>
            <w:tcW w:type="dxa" w:w="1600"/>
            <w:shd w:fill="F5F7F9" w:color="auto" w:val="clear"/>
            <w:tcMar>
              <w:top w:type="dxa" w:w="70"/>
              <w:left w:type="dxa" w:w="110"/>
              <w:bottom w:type="dxa" w:w="70"/>
              <w:right w:type="dxa" w:w="110"/>
            </w:tcMar>
            <w:vAlign w:val="center"/>
          </w:tcPr>
          <w:p>
            <w:pPr>
              <w:spacing w:after="0" w:line="240"/>
            </w:pPr>
            <w:r>
              <w:rPr>
                <w:sz w:val="19"/>
                <w:szCs w:val="19"/>
              </w:rPr>
              <w:t xml:space="preserve">17,5–23,5 dni</w:t>
            </w:r>
          </w:p>
        </w:tc>
      </w:tr>
      <w:tr>
        <w:tc>
          <w:tcPr>
            <w:tcW w:type="dxa" w:w="2500"/>
            <w:tcMar>
              <w:top w:type="dxa" w:w="70"/>
              <w:left w:type="dxa" w:w="110"/>
              <w:bottom w:type="dxa" w:w="70"/>
              <w:right w:type="dxa" w:w="110"/>
            </w:tcMar>
            <w:vAlign w:val="center"/>
          </w:tcPr>
          <w:p>
            <w:pPr>
              <w:spacing w:after="0" w:line="240"/>
            </w:pPr>
            <w:r>
              <w:rPr>
                <w:sz w:val="19"/>
                <w:szCs w:val="19"/>
              </w:rPr>
              <w:t xml:space="preserve">Narzędzie do migracji bazy (poza etapami)</w:t>
            </w:r>
          </w:p>
        </w:tc>
        <w:tc>
          <w:tcPr>
            <w:tcW w:type="dxa" w:w="4926"/>
            <w:tcMar>
              <w:top w:type="dxa" w:w="70"/>
              <w:left w:type="dxa" w:w="110"/>
              <w:bottom w:type="dxa" w:w="70"/>
              <w:right w:type="dxa" w:w="110"/>
            </w:tcMar>
            <w:vAlign w:val="center"/>
          </w:tcPr>
          <w:p>
            <w:pPr>
              <w:spacing w:after="0" w:line="240"/>
            </w:pPr>
            <w:r>
              <w:rPr>
                <w:sz w:val="19"/>
                <w:szCs w:val="19"/>
              </w:rPr>
              <w:t xml:space="preserve">Wersjonowanie schematu z rejestrem zastosowanych migracji</w:t>
            </w:r>
          </w:p>
        </w:tc>
        <w:tc>
          <w:tcPr>
            <w:tcW w:type="dxa" w:w="1600"/>
            <w:tcMar>
              <w:top w:type="dxa" w:w="70"/>
              <w:left w:type="dxa" w:w="110"/>
              <w:bottom w:type="dxa" w:w="70"/>
              <w:right w:type="dxa" w:w="110"/>
            </w:tcMar>
            <w:vAlign w:val="center"/>
          </w:tcPr>
          <w:p>
            <w:pPr>
              <w:spacing w:after="0" w:line="240"/>
            </w:pPr>
            <w:r>
              <w:rPr>
                <w:sz w:val="19"/>
                <w:szCs w:val="19"/>
              </w:rPr>
              <w:t xml:space="preserve">1,5 dnia</w:t>
            </w:r>
          </w:p>
        </w:tc>
      </w:tr>
    </w:tbl>
    <w:p>
      <w:pPr>
        <w:spacing w:after="160"/>
      </w:pPr>
    </w:p>
    <w:p>
      <w:pPr>
        <w:spacing w:after="120" w:line="276"/>
      </w:pPr>
      <w:r>
        <w:rPr>
          <w:sz w:val="21"/>
          <w:szCs w:val="21"/>
        </w:rPr>
        <w:t xml:space="preserve">Łącznie 55–73 dni roboczych, czyli około 11–15 tygodni pracy jednej osoby na sam back-end. Panel administracyjny i interfejs użytkownika doliczane osobno.</w:t>
      </w: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Co można odłożyć, a czego nie</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8 w całości dotyczy komercjalizacji. Jeśli nie jest ona celem pierwszego wdrożenia, można go odłożyć — jedyna pozycja pilna niezależnie od tej decyzji, zamknięcie luki w limitowaniu zapytań, została wykonana 8.08.2026 (rozdz. 5.5).</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Etapy 4 i 5 muszą poprzedzać prace nad panelem administracyjnym — bez rejestru wydań i dziennika zmian nie ma czym zarządzać.</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Z etapu 7 warto wykonać wcześnie dwie pierwsze pozycje (odbiorca metryk i pulpit operacyjny, ok. 3 dni). Zaczynają się zwracać już w trakcie etapów 1 i 2, bo dziś przebieg przetwarzania jest nieprzejrzysty.</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Etap 2 przed etapem 3, żeby nie przenosić problemów wydajnościowych do nowej struktury.</w:t>
      </w:r>
    </w:p>
    <w:p>
      <w:pPr>
        <w:spacing w:after="180"/>
      </w:pPr>
    </w:p>
    <w:p>
      <w:pPr>
        <w:spacing w:after="160"/>
      </w:pPr>
    </w:p>
    <w:p>
      <w:pPr>
        <w:pBdr>
          <w:top w:val="single" w:color="D5DBE0" w:sz="4"/>
          <w:bottom w:val="single" w:color="D5DBE0" w:sz="0"/>
          <w:left w:val="single" w:color="D5DBE0" w:sz="4"/>
          <w:right w:val="single" w:color="D5DBE0" w:sz="4"/>
        </w:pBdr>
        <w:shd w:fill="E8EDF2" w:color="auto" w:val="clear"/>
        <w:spacing w:after="0" w:before="160" w:line="276"/>
        <w:ind w:left="120" w:right="120"/>
      </w:pPr>
      <w:r>
        <w:rPr>
          <w:b/>
          <w:bCs/>
          <w:sz w:val="21"/>
          <w:szCs w:val="21"/>
        </w:rPr>
        <w:t xml:space="preserve">Prace równoległe — uwierzytelnianie klientów, rozpoczęte 9.08.2026</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Etap uwierzytelniania prowadzony jest na odrębnej gałęzi, z własną bazą danych, równolegle do prac nad danymi. Rozdzielenie jest celowe: obie linie dotykają tego samego serwisu, a łączenie ich w jednym przebiegu utrudniałoby ustalenie, co spowodowało ewentualną zmianę zachowania.</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Ukończono podstawę: model danych klientów i kluczy, postać klucza wraz z jego weryfikacją, sposób przechowywania sekretów oraz replikę rejestru kluczy w pamięci procesu. Szczegóły w rozdziale 5.5.</w:t>
      </w:r>
    </w:p>
    <w:p>
      <w:pPr>
        <w:pBdr>
          <w:top w:val="single" w:color="D5DBE0" w:sz="0"/>
          <w:bottom w:val="single" w:color="D5DBE0" w:sz="0"/>
          <w:left w:val="single" w:color="D5DBE0" w:sz="4"/>
          <w:right w:val="single" w:color="D5DBE0" w:sz="4"/>
        </w:pBdr>
        <w:shd w:fill="E8EDF2" w:color="auto" w:val="clear"/>
        <w:spacing w:after="60" w:line="276"/>
        <w:ind w:left="120" w:right="120"/>
      </w:pPr>
      <w:r>
        <w:rPr>
          <w:sz w:val="20"/>
          <w:szCs w:val="20"/>
        </w:rPr>
        <w:t xml:space="preserve">Nie ruszono jeszcze obsługi żądania — serwis zachowuje się identycznie jak przed rozpoczęciem tych prac i nadal nie weryfikuje tożsamości klienta. Zmiana zachowania nastąpi dopiero po wpięciu mechanizmu w ścieżkę żądania.</w:t>
      </w:r>
    </w:p>
    <w:p>
      <w:pPr>
        <w:pBdr>
          <w:top w:val="single" w:color="D5DBE0" w:sz="0"/>
          <w:bottom w:val="single" w:color="D5DBE0" w:sz="4"/>
          <w:left w:val="single" w:color="D5DBE0" w:sz="4"/>
          <w:right w:val="single" w:color="D5DBE0" w:sz="4"/>
        </w:pBdr>
        <w:shd w:fill="E8EDF2" w:color="auto" w:val="clear"/>
        <w:spacing w:after="0" w:line="276"/>
        <w:ind w:left="120" w:right="120"/>
      </w:pPr>
      <w:r>
        <w:rPr>
          <w:sz w:val="20"/>
          <w:szCs w:val="20"/>
        </w:rPr>
        <w:t xml:space="preserve">Z prac tych wynikło jedno ustalenie wykraczające poza ich zakres: dotychczasowe liczby czasu odpowiedzi dla pełnej ścieżki HTTP nie były odtwarzalne narzędziem, któremu je przypisywano. Sprostowanie w rozdziale 8.6.</w:t>
      </w:r>
    </w:p>
    <w:p>
      <w:pPr>
        <w:spacing w:after="180"/>
      </w:pPr>
    </w:p>
    <w:p>
      <w:pPr>
        <w:pStyle w:val="Heading2"/>
        <w:spacing w:after="140" w:before="280"/>
      </w:pPr>
      <w:r>
        <w:t xml:space="preserve">10.3. Zagadnienia otwarte</w:t>
      </w:r>
    </w:p>
    <w:p>
      <w:pPr>
        <w:spacing w:after="120" w:line="276"/>
      </w:pPr>
      <w:r>
        <w:rPr>
          <w:sz w:val="21"/>
          <w:szCs w:val="21"/>
        </w:rPr>
        <w:t xml:space="preserve">Poniższe kwestie wymagają potwierdzenia empirycznego lub decyzji poza zespołem wdrożeniowym. Żadna nie zagraża przyjętej architekturze.</w:t>
      </w:r>
    </w:p>
    <w:p>
      <w:pPr>
        <w:pStyle w:val="ListParagraph"/>
        <w:numPr>
          <w:ilvl w:val="0"/>
          <w:numId w:val="2"/>
        </w:numPr>
        <w:spacing w:after="80" w:line="276"/>
      </w:pPr>
      <w:r>
        <w:rPr>
          <w:b/>
          <w:bCs/>
          <w:sz w:val="21"/>
          <w:szCs w:val="21"/>
        </w:rPr>
        <w:t xml:space="preserve">ROZSTRZYGNIĘTE 6.08.2026: </w:t>
      </w:r>
      <w:r>
        <w:rPr>
          <w:sz w:val="21"/>
          <w:szCs w:val="21"/>
        </w:rPr>
        <w:t xml:space="preserve">serwer nie zwraca ani ETag, ani Last-Modified dla żadnego z 16 województw. Tani sondaż jest niemożliwy — obowiązuje harmonogram tygodniowy i porównywanie sumy kontrolnej pobranego pliku. Mechanizm jest już wbudowany.</w:t>
      </w:r>
    </w:p>
    <w:p>
      <w:pPr>
        <w:pStyle w:val="ListParagraph"/>
        <w:numPr>
          <w:ilvl w:val="0"/>
          <w:numId w:val="2"/>
        </w:numPr>
        <w:spacing w:after="80" w:line="276"/>
      </w:pPr>
      <w:r>
        <w:rPr>
          <w:b/>
          <w:bCs/>
          <w:sz w:val="21"/>
          <w:szCs w:val="21"/>
        </w:rPr>
        <w:t xml:space="preserve">ROZSTRZYGNIĘTE 6.08.2026: </w:t>
      </w:r>
      <w:r>
        <w:rPr>
          <w:sz w:val="21"/>
          <w:szCs w:val="21"/>
        </w:rPr>
        <w:t xml:space="preserve">nowa struktura zachowuje wersjonowanie obiektów, więc wykrywanie zmian może opierać się na wersjach, a nie wyłącznie na sumach kontrolnych.</w:t>
      </w:r>
    </w:p>
    <w:p>
      <w:pPr>
        <w:pStyle w:val="ListParagraph"/>
        <w:numPr>
          <w:ilvl w:val="0"/>
          <w:numId w:val="2"/>
        </w:numPr>
        <w:spacing w:after="80" w:line="276"/>
      </w:pPr>
      <w:r>
        <w:rPr>
          <w:b/>
          <w:bCs/>
          <w:sz w:val="21"/>
          <w:szCs w:val="21"/>
        </w:rPr>
        <w:t xml:space="preserve">CZĘŚCIOWO ROZSTRZYGNIĘTE 6.08.2026: </w:t>
      </w:r>
      <w:r>
        <w:rPr>
          <w:sz w:val="21"/>
          <w:szCs w:val="21"/>
        </w:rPr>
        <w:t xml:space="preserve">pliki w nowej strukturze z paczki sierpniowej zostały pobrane i przetworzone, więc nazewnictwo jest znane empirycznie. Pozostaje potwierdzenie, że nie zmieni się po wycofaniu struktury dotychczasowej 1 września.</w:t>
      </w:r>
    </w:p>
    <w:p>
      <w:pPr>
        <w:pStyle w:val="ListParagraph"/>
        <w:numPr>
          <w:ilvl w:val="0"/>
          <w:numId w:val="2"/>
        </w:numPr>
        <w:spacing w:after="80" w:line="276"/>
      </w:pPr>
      <w:r>
        <w:rPr>
          <w:b/>
          <w:bCs/>
          <w:sz w:val="21"/>
          <w:szCs w:val="21"/>
        </w:rPr>
        <w:t xml:space="preserve">OTWARTE: </w:t>
      </w:r>
      <w:r>
        <w:rPr>
          <w:sz w:val="21"/>
          <w:szCs w:val="21"/>
        </w:rPr>
        <w:t xml:space="preserve">warunki licencyjne źródła iMPA — wymagane wystąpienie pisemne do podmiotu prowadzącego. Blokuje poziom 2 odporności na awarię źródła.</w:t>
      </w:r>
    </w:p>
    <w:p>
      <w:pPr>
        <w:pStyle w:val="ListParagraph"/>
        <w:numPr>
          <w:ilvl w:val="0"/>
          <w:numId w:val="2"/>
        </w:numPr>
        <w:spacing w:after="80" w:line="276"/>
      </w:pPr>
      <w:r>
        <w:rPr>
          <w:b/>
          <w:bCs/>
          <w:sz w:val="21"/>
          <w:szCs w:val="21"/>
        </w:rPr>
        <w:t xml:space="preserve">OTWARTE: </w:t>
      </w:r>
      <w:r>
        <w:rPr>
          <w:sz w:val="21"/>
          <w:szCs w:val="21"/>
        </w:rPr>
        <w:t xml:space="preserve">czy mikroserwis ma zachować połączenie z bazą danych. Dziś potrzebuje go do numerów budynków, kodów pocztowych i geokodowania odwrotnego. Włączenie tych danych do artefaktu uniezależniłoby go całkowicie, ale powiększa artefakt i wydłuża budowę — wymaga oszacowania w etapie 3.</w:t>
      </w:r>
    </w:p>
    <w:p>
      <w:pPr>
        <w:pStyle w:val="Heading2"/>
        <w:spacing w:after="140" w:before="280"/>
      </w:pPr>
      <w:r>
        <w:t xml:space="preserve">10.4. Rozstrzygnięcia technologiczne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426"/>
      </w:tblGrid>
      <w:tr>
        <w:trPr>
          <w:tblHeader/>
        </w:trPr>
        <w:tc>
          <w:tcPr>
            <w:tcW w:type="dxa" w:w="2000"/>
            <w:shd w:fill="E8EDF2" w:color="auto" w:val="clear"/>
            <w:tcMar>
              <w:top w:type="dxa" w:w="70"/>
              <w:left w:type="dxa" w:w="110"/>
              <w:bottom w:type="dxa" w:w="70"/>
              <w:right w:type="dxa" w:w="110"/>
            </w:tcMar>
            <w:vAlign w:val="center"/>
          </w:tcPr>
          <w:p>
            <w:pPr>
              <w:spacing w:after="0" w:line="240"/>
            </w:pPr>
            <w:r>
              <w:rPr>
                <w:b/>
                <w:bCs/>
                <w:sz w:val="19"/>
                <w:szCs w:val="19"/>
              </w:rPr>
              <w:t xml:space="preserve">Pytanie</w:t>
            </w:r>
          </w:p>
        </w:tc>
        <w:tc>
          <w:tcPr>
            <w:tcW w:type="dxa" w:w="2600"/>
            <w:shd w:fill="E8EDF2" w:color="auto" w:val="clear"/>
            <w:tcMar>
              <w:top w:type="dxa" w:w="70"/>
              <w:left w:type="dxa" w:w="110"/>
              <w:bottom w:type="dxa" w:w="70"/>
              <w:right w:type="dxa" w:w="110"/>
            </w:tcMar>
            <w:vAlign w:val="center"/>
          </w:tcPr>
          <w:p>
            <w:pPr>
              <w:spacing w:after="0" w:line="240"/>
            </w:pPr>
            <w:r>
              <w:rPr>
                <w:b/>
                <w:bCs/>
                <w:sz w:val="19"/>
                <w:szCs w:val="19"/>
              </w:rPr>
              <w:t xml:space="preserve">Rozstrzygnięcie</w:t>
            </w:r>
          </w:p>
        </w:tc>
        <w:tc>
          <w:tcPr>
            <w:tcW w:type="dxa" w:w="4426"/>
            <w:shd w:fill="E8EDF2" w:color="auto" w:val="clear"/>
            <w:tcMar>
              <w:top w:type="dxa" w:w="70"/>
              <w:left w:type="dxa" w:w="110"/>
              <w:bottom w:type="dxa" w:w="70"/>
              <w:right w:type="dxa" w:w="110"/>
            </w:tcMar>
            <w:vAlign w:val="center"/>
          </w:tcPr>
          <w:p>
            <w:pPr>
              <w:spacing w:after="0" w:line="240"/>
            </w:pPr>
            <w:r>
              <w:rPr>
                <w:b/>
                <w:bCs/>
                <w:sz w:val="19"/>
                <w:szCs w:val="19"/>
              </w:rPr>
              <w:t xml:space="preserve">Uzasadnienie</w:t>
            </w:r>
          </w:p>
        </w:tc>
      </w:tr>
      <w:tr>
        <w:tc>
          <w:tcPr>
            <w:tcW w:type="dxa" w:w="2000"/>
            <w:tcMar>
              <w:top w:type="dxa" w:w="70"/>
              <w:left w:type="dxa" w:w="110"/>
              <w:bottom w:type="dxa" w:w="70"/>
              <w:right w:type="dxa" w:w="110"/>
            </w:tcMar>
            <w:vAlign w:val="center"/>
          </w:tcPr>
          <w:p>
            <w:pPr>
              <w:spacing w:after="0" w:line="240"/>
            </w:pPr>
            <w:r>
              <w:rPr>
                <w:sz w:val="19"/>
                <w:szCs w:val="19"/>
              </w:rPr>
              <w:t xml:space="preserve">Framework serwisu danych</w:t>
            </w:r>
          </w:p>
        </w:tc>
        <w:tc>
          <w:tcPr>
            <w:tcW w:type="dxa" w:w="2600"/>
            <w:tcMar>
              <w:top w:type="dxa" w:w="70"/>
              <w:left w:type="dxa" w:w="110"/>
              <w:bottom w:type="dxa" w:w="70"/>
              <w:right w:type="dxa" w:w="110"/>
            </w:tcMar>
            <w:vAlign w:val="center"/>
          </w:tcPr>
          <w:p>
            <w:pPr>
              <w:spacing w:after="0" w:line="240"/>
            </w:pPr>
            <w:r>
              <w:rPr>
                <w:sz w:val="19"/>
                <w:szCs w:val="19"/>
              </w:rPr>
              <w:t xml:space="preserve">Zostaje Fastify</w:t>
            </w:r>
          </w:p>
        </w:tc>
        <w:tc>
          <w:tcPr>
            <w:tcW w:type="dxa" w:w="4426"/>
            <w:tcMar>
              <w:top w:type="dxa" w:w="70"/>
              <w:left w:type="dxa" w:w="110"/>
              <w:bottom w:type="dxa" w:w="70"/>
              <w:right w:type="dxa" w:w="110"/>
            </w:tcMar>
            <w:vAlign w:val="center"/>
          </w:tcPr>
          <w:p>
            <w:pPr>
              <w:spacing w:after="0" w:line="240"/>
            </w:pPr>
            <w:r>
              <w:rPr>
                <w:sz w:val="19"/>
                <w:szCs w:val="19"/>
              </w:rPr>
              <w:t xml:space="preserve">Serwis to 11 punktów końcowych bezstanowych, w których liczy się czas odpowiedzi. Projekt działa bez kroku kompilacji; przejście na framework oparty na dekoratorach odwróciłoby tę decyzję bez zysku</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Framework serwisu administracyjnego</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Kandydat: NestJS</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Autoryzacja, role, walidacja wejścia i generowanie kontraktu przydają się tam, gdzie jest ich dużo, a ruch administracyjny jest znikomy, więc narzut nie ma znaczenia</w:t>
            </w:r>
          </w:p>
        </w:tc>
      </w:tr>
      <w:tr>
        <w:tc>
          <w:tcPr>
            <w:tcW w:type="dxa" w:w="2000"/>
            <w:tcMar>
              <w:top w:type="dxa" w:w="70"/>
              <w:left w:type="dxa" w:w="110"/>
              <w:bottom w:type="dxa" w:w="70"/>
              <w:right w:type="dxa" w:w="110"/>
            </w:tcMar>
            <w:vAlign w:val="center"/>
          </w:tcPr>
          <w:p>
            <w:pPr>
              <w:spacing w:after="0" w:line="240"/>
            </w:pPr>
            <w:r>
              <w:rPr>
                <w:sz w:val="19"/>
                <w:szCs w:val="19"/>
              </w:rPr>
              <w:t xml:space="preserve">Mapowanie obiektowo-relacyjne (ORM)</w:t>
            </w:r>
          </w:p>
        </w:tc>
        <w:tc>
          <w:tcPr>
            <w:tcW w:type="dxa" w:w="2600"/>
            <w:tcMar>
              <w:top w:type="dxa" w:w="70"/>
              <w:left w:type="dxa" w:w="110"/>
              <w:bottom w:type="dxa" w:w="70"/>
              <w:right w:type="dxa" w:w="110"/>
            </w:tcMar>
            <w:vAlign w:val="center"/>
          </w:tcPr>
          <w:p>
            <w:pPr>
              <w:spacing w:after="0" w:line="240"/>
            </w:pPr>
            <w:r>
              <w:rPr>
                <w:sz w:val="19"/>
                <w:szCs w:val="19"/>
              </w:rPr>
              <w:t xml:space="preserve">Nie w przetwarzaniu i w serwisie danych</w:t>
            </w:r>
          </w:p>
        </w:tc>
        <w:tc>
          <w:tcPr>
            <w:tcW w:type="dxa" w:w="4426"/>
            <w:tcMar>
              <w:top w:type="dxa" w:w="70"/>
              <w:left w:type="dxa" w:w="110"/>
              <w:bottom w:type="dxa" w:w="70"/>
              <w:right w:type="dxa" w:w="110"/>
            </w:tcMar>
            <w:vAlign w:val="center"/>
          </w:tcPr>
          <w:p>
            <w:pPr>
              <w:spacing w:after="0" w:line="240"/>
            </w:pPr>
            <w:r>
              <w:rPr>
                <w:sz w:val="19"/>
                <w:szCs w:val="19"/>
              </w:rPr>
              <w:t xml:space="preserve">Przetwarzanie opiera się na ładowaniu masowym, a zapytania serwisu są strojone pod konkretne indeksy, w tym przestrzenne. Ewentualnie w części administracyjnej — wtedy narzędzie leżące blisko SQL</w:t>
            </w:r>
          </w:p>
        </w:tc>
      </w:tr>
      <w:tr>
        <w:tc>
          <w:tcPr>
            <w:tcW w:type="dxa" w:w="2000"/>
            <w:shd w:fill="F5F7F9" w:color="auto" w:val="clear"/>
            <w:tcMar>
              <w:top w:type="dxa" w:w="70"/>
              <w:left w:type="dxa" w:w="110"/>
              <w:bottom w:type="dxa" w:w="70"/>
              <w:right w:type="dxa" w:w="110"/>
            </w:tcMar>
            <w:vAlign w:val="center"/>
          </w:tcPr>
          <w:p>
            <w:pPr>
              <w:spacing w:after="0" w:line="240"/>
            </w:pPr>
            <w:r>
              <w:rPr>
                <w:sz w:val="19"/>
                <w:szCs w:val="19"/>
              </w:rPr>
              <w:t xml:space="preserve">Wersjonowanie schematu bazy</w:t>
            </w:r>
          </w:p>
        </w:tc>
        <w:tc>
          <w:tcPr>
            <w:tcW w:type="dxa" w:w="2600"/>
            <w:shd w:fill="F5F7F9" w:color="auto" w:val="clear"/>
            <w:tcMar>
              <w:top w:type="dxa" w:w="70"/>
              <w:left w:type="dxa" w:w="110"/>
              <w:bottom w:type="dxa" w:w="70"/>
              <w:right w:type="dxa" w:w="110"/>
            </w:tcMar>
            <w:vAlign w:val="center"/>
          </w:tcPr>
          <w:p>
            <w:pPr>
              <w:spacing w:after="0" w:line="240"/>
            </w:pPr>
            <w:r>
              <w:rPr>
                <w:sz w:val="19"/>
                <w:szCs w:val="19"/>
              </w:rPr>
              <w:t xml:space="preserve">Wymagane, dziś brak</w:t>
            </w:r>
          </w:p>
        </w:tc>
        <w:tc>
          <w:tcPr>
            <w:tcW w:type="dxa" w:w="4426"/>
            <w:shd w:fill="F5F7F9" w:color="auto" w:val="clear"/>
            <w:tcMar>
              <w:top w:type="dxa" w:w="70"/>
              <w:left w:type="dxa" w:w="110"/>
              <w:bottom w:type="dxa" w:w="70"/>
              <w:right w:type="dxa" w:w="110"/>
            </w:tcMar>
            <w:vAlign w:val="center"/>
          </w:tcPr>
          <w:p>
            <w:pPr>
              <w:spacing w:after="0" w:line="240"/>
            </w:pPr>
            <w:r>
              <w:rPr>
                <w:sz w:val="19"/>
                <w:szCs w:val="19"/>
              </w:rPr>
              <w:t xml:space="preserve">Migracje wykonują się wyłącznie przy inicjalizacji kontenera bazy, a poprawki trzeba wgrywać ręcznie. Jest to kruche i wpływa na procedurę odtwarzania z kopii zapasowej</w:t>
            </w:r>
          </w:p>
        </w:tc>
      </w:tr>
    </w:tbl>
    <w:p>
      <w:r>
        <w:br w:type="page"/>
      </w:r>
    </w:p>
    <w:p>
      <w:pPr>
        <w:pStyle w:val="Heading1"/>
        <w:spacing w:after="180" w:before="360"/>
      </w:pPr>
      <w:r>
        <w:t xml:space="preserve">11. Decyzje wymagane od Zamawiającego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1500"/>
        <w:gridCol w:w="2826"/>
      </w:tblGrid>
      <w:tr>
        <w:trPr>
          <w:tblHeader/>
        </w:trPr>
        <w:tc>
          <w:tcPr>
            <w:tcW w:type="dxa" w:w="2300"/>
            <w:shd w:fill="E8EDF2" w:color="auto" w:val="clear"/>
            <w:tcMar>
              <w:top w:type="dxa" w:w="70"/>
              <w:left w:type="dxa" w:w="110"/>
              <w:bottom w:type="dxa" w:w="70"/>
              <w:right w:type="dxa" w:w="110"/>
            </w:tcMar>
            <w:vAlign w:val="center"/>
          </w:tcPr>
          <w:p>
            <w:pPr>
              <w:spacing w:after="0" w:line="240"/>
            </w:pPr>
            <w:r>
              <w:rPr>
                <w:b/>
                <w:bCs/>
                <w:sz w:val="19"/>
                <w:szCs w:val="19"/>
              </w:rPr>
              <w:t xml:space="preserve">Decyzja</w:t>
            </w:r>
          </w:p>
        </w:tc>
        <w:tc>
          <w:tcPr>
            <w:tcW w:type="dxa" w:w="2400"/>
            <w:shd w:fill="E8EDF2" w:color="auto" w:val="clear"/>
            <w:tcMar>
              <w:top w:type="dxa" w:w="70"/>
              <w:left w:type="dxa" w:w="110"/>
              <w:bottom w:type="dxa" w:w="70"/>
              <w:right w:type="dxa" w:w="110"/>
            </w:tcMar>
            <w:vAlign w:val="center"/>
          </w:tcPr>
          <w:p>
            <w:pPr>
              <w:spacing w:after="0" w:line="240"/>
            </w:pPr>
            <w:r>
              <w:rPr>
                <w:b/>
                <w:bCs/>
                <w:sz w:val="19"/>
                <w:szCs w:val="19"/>
              </w:rPr>
              <w:t xml:space="preserve">Rekomendacja</w:t>
            </w:r>
          </w:p>
        </w:tc>
        <w:tc>
          <w:tcPr>
            <w:tcW w:type="dxa" w:w="1500"/>
            <w:shd w:fill="E8EDF2" w:color="auto" w:val="clear"/>
            <w:tcMar>
              <w:top w:type="dxa" w:w="70"/>
              <w:left w:type="dxa" w:w="110"/>
              <w:bottom w:type="dxa" w:w="70"/>
              <w:right w:type="dxa" w:w="110"/>
            </w:tcMar>
            <w:vAlign w:val="center"/>
          </w:tcPr>
          <w:p>
            <w:pPr>
              <w:spacing w:after="0" w:line="240"/>
            </w:pPr>
            <w:r>
              <w:rPr>
                <w:b/>
                <w:bCs/>
                <w:sz w:val="19"/>
                <w:szCs w:val="19"/>
              </w:rPr>
              <w:t xml:space="preserve">Termin</w:t>
            </w:r>
          </w:p>
        </w:tc>
        <w:tc>
          <w:tcPr>
            <w:tcW w:type="dxa" w:w="2826"/>
            <w:shd w:fill="E8EDF2" w:color="auto" w:val="clear"/>
            <w:tcMar>
              <w:top w:type="dxa" w:w="70"/>
              <w:left w:type="dxa" w:w="110"/>
              <w:bottom w:type="dxa" w:w="70"/>
              <w:right w:type="dxa" w:w="110"/>
            </w:tcMar>
            <w:vAlign w:val="center"/>
          </w:tcPr>
          <w:p>
            <w:pPr>
              <w:spacing w:after="0" w:line="240"/>
            </w:pPr>
            <w:r>
              <w:rPr>
                <w:b/>
                <w:bCs/>
                <w:sz w:val="19"/>
                <w:szCs w:val="19"/>
              </w:rPr>
              <w:t xml:space="preserve">Konsekwencja zaniechania</w:t>
            </w:r>
          </w:p>
        </w:tc>
      </w:tr>
      <w:tr>
        <w:tc>
          <w:tcPr>
            <w:tcW w:type="dxa" w:w="2300"/>
            <w:tcMar>
              <w:top w:type="dxa" w:w="70"/>
              <w:left w:type="dxa" w:w="110"/>
              <w:bottom w:type="dxa" w:w="70"/>
              <w:right w:type="dxa" w:w="110"/>
            </w:tcMar>
            <w:vAlign w:val="center"/>
          </w:tcPr>
          <w:p>
            <w:pPr>
              <w:spacing w:after="0" w:line="240"/>
            </w:pPr>
            <w:r>
              <w:rPr>
                <w:b/>
                <w:bCs/>
                <w:sz w:val="19"/>
                <w:szCs w:val="19"/>
              </w:rPr>
              <w:t xml:space="preserve">Archiwizacja danych w dotychczasowej strukturze</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6.08.2026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Bezpowrotna utrata statusu budynku, numeru lokalu i przynależności administracyjnej</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Wyniesienie archiwum i kopii zapasowych poza maszynę roboczą</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Wykonać niezwłocznie</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Awaria dysku oznacza bezpowrotną utratę zrzutu w strukturze sprzed 1.09.2026, którego nie da się odtworzyć</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Zamknięcie luki w limitowaniu zapytań</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WYKONANE 8.08.2026</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Limitowanie dało się obejść losowaniem nagłówka — usługa bez ochrony przed nadużyciem</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Czy komercjalizacja jest celem pierwszego wdrożenia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Rozstrzygnąć przed etapem 4</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Etap 8 to 18–24 dni. Odłożenie go bez decyzji grozi budowaniem wersjonowania wydań bez uwzględnienia rozliczania klientów</w:t>
            </w:r>
          </w:p>
        </w:tc>
      </w:tr>
      <w:tr>
        <w:tc>
          <w:tcPr>
            <w:tcW w:type="dxa" w:w="2300"/>
            <w:tcMar>
              <w:top w:type="dxa" w:w="70"/>
              <w:left w:type="dxa" w:w="110"/>
              <w:bottom w:type="dxa" w:w="70"/>
              <w:right w:type="dxa" w:w="110"/>
            </w:tcMar>
            <w:vAlign w:val="center"/>
          </w:tcPr>
          <w:p>
            <w:pPr>
              <w:spacing w:after="0" w:line="240"/>
            </w:pPr>
            <w:r>
              <w:rPr>
                <w:b/>
                <w:bCs/>
                <w:sz w:val="19"/>
                <w:szCs w:val="19"/>
              </w:rPr>
              <w:t xml:space="preserve">Model udostępniania: wspólna instalacja czy instancja per klient</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Jedna wspólna instalacja</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Przed etapem 3</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Instancja per klient powiela ten sam artefakt w pamięci — przy 50 klientach to ponad 20 GB na dane identyczne dla wszystkich</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Wystąpienie o warunki licencyjne iMPA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Wystąpić teraz</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Najbliższe tygodnie</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Brak zabezpieczenia na wypadek awarii źródła podstawowego — poziom 2 pozostaje niedostępny</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Zakup licencji na spis kodów pocztowych</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Odłożyć</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Kody z rejestru pozostają przybliżeniem — akceptowalne</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Zewnętrzne API jako uzupełnienie</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Przewidzieć, uruchamiać warunkowo</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Niższa skuteczność korekty danych wprowadzanych ręcznie</w:t>
            </w:r>
          </w:p>
        </w:tc>
      </w:tr>
      <w:tr>
        <w:tc>
          <w:tcPr>
            <w:tcW w:type="dxa" w:w="2300"/>
            <w:tcMar>
              <w:top w:type="dxa" w:w="70"/>
              <w:left w:type="dxa" w:w="110"/>
              <w:bottom w:type="dxa" w:w="70"/>
              <w:right w:type="dxa" w:w="110"/>
            </w:tcMar>
            <w:vAlign w:val="center"/>
          </w:tcPr>
          <w:p>
            <w:pPr>
              <w:spacing w:after="0" w:line="240"/>
            </w:pPr>
            <w:r>
              <w:rPr>
                <w:b/>
                <w:bCs/>
                <w:sz w:val="19"/>
                <w:szCs w:val="19"/>
              </w:rPr>
              <w:t xml:space="preserve">Zakres pierwszego wdrożenia</w:t>
            </w:r>
          </w:p>
        </w:tc>
        <w:tc>
          <w:tcPr>
            <w:tcW w:type="dxa" w:w="2400"/>
            <w:tcMar>
              <w:top w:type="dxa" w:w="70"/>
              <w:left w:type="dxa" w:w="110"/>
              <w:bottom w:type="dxa" w:w="70"/>
              <w:right w:type="dxa" w:w="110"/>
            </w:tcMar>
            <w:vAlign w:val="center"/>
          </w:tcPr>
          <w:p>
            <w:pPr>
              <w:spacing w:after="0" w:line="240"/>
            </w:pPr>
            <w:r>
              <w:rPr>
                <w:b w:val="false"/>
                <w:bCs w:val="false"/>
                <w:sz w:val="19"/>
                <w:szCs w:val="19"/>
              </w:rPr>
              <w:t xml:space="preserve">ROZSTRZYGNIĘTE — cały kraj</w:t>
            </w:r>
          </w:p>
        </w:tc>
        <w:tc>
          <w:tcPr>
            <w:tcW w:type="dxa" w:w="1500"/>
            <w:tcMar>
              <w:top w:type="dxa" w:w="70"/>
              <w:left w:type="dxa" w:w="110"/>
              <w:bottom w:type="dxa" w:w="70"/>
              <w:right w:type="dxa" w:w="110"/>
            </w:tcMar>
            <w:vAlign w:val="center"/>
          </w:tcPr>
          <w:p>
            <w:pPr>
              <w:spacing w:after="0" w:line="240"/>
            </w:pPr>
            <w:r>
              <w:rPr>
                <w:b w:val="false"/>
                <w:bCs w:val="false"/>
                <w:sz w:val="19"/>
                <w:szCs w:val="19"/>
              </w:rPr>
              <w:t xml:space="preserve">Zamknięte</w:t>
            </w:r>
          </w:p>
        </w:tc>
        <w:tc>
          <w:tcPr>
            <w:tcW w:type="dxa" w:w="2826"/>
            <w:tcMar>
              <w:top w:type="dxa" w:w="70"/>
              <w:left w:type="dxa" w:w="110"/>
              <w:bottom w:type="dxa" w:w="70"/>
              <w:right w:type="dxa" w:w="110"/>
            </w:tcMar>
            <w:vAlign w:val="center"/>
          </w:tcPr>
          <w:p>
            <w:pPr>
              <w:spacing w:after="0" w:line="240"/>
            </w:pPr>
            <w:r>
              <w:rPr>
                <w:b w:val="false"/>
                <w:bCs w:val="false"/>
                <w:sz w:val="19"/>
                <w:szCs w:val="19"/>
              </w:rPr>
              <w:t xml:space="preserve">Komplet 16 województw opublikowany 9.08.2026</w:t>
            </w:r>
          </w:p>
        </w:tc>
      </w:tr>
      <w:tr>
        <w:tc>
          <w:tcPr>
            <w:tcW w:type="dxa" w:w="2300"/>
            <w:shd w:fill="F5F7F9" w:color="auto" w:val="clear"/>
            <w:tcMar>
              <w:top w:type="dxa" w:w="70"/>
              <w:left w:type="dxa" w:w="110"/>
              <w:bottom w:type="dxa" w:w="70"/>
              <w:right w:type="dxa" w:w="110"/>
            </w:tcMar>
            <w:vAlign w:val="center"/>
          </w:tcPr>
          <w:p>
            <w:pPr>
              <w:spacing w:after="0" w:line="240"/>
            </w:pPr>
            <w:r>
              <w:rPr>
                <w:b/>
                <w:bCs/>
                <w:sz w:val="19"/>
                <w:szCs w:val="19"/>
              </w:rPr>
              <w:t xml:space="preserve">Model utrzymania</w:t>
            </w:r>
          </w:p>
        </w:tc>
        <w:tc>
          <w:tcPr>
            <w:tcW w:type="dxa" w:w="24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Wskazać osobę odpowiedzialną za obserwację zmian po stronie rejestru</w:t>
            </w:r>
          </w:p>
        </w:tc>
        <w:tc>
          <w:tcPr>
            <w:tcW w:type="dxa" w:w="1500"/>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Przed produkcją</w:t>
            </w:r>
          </w:p>
        </w:tc>
        <w:tc>
          <w:tcPr>
            <w:tcW w:type="dxa" w:w="2826"/>
            <w:shd w:fill="F5F7F9" w:color="auto" w:val="clear"/>
            <w:tcMar>
              <w:top w:type="dxa" w:w="70"/>
              <w:left w:type="dxa" w:w="110"/>
              <w:bottom w:type="dxa" w:w="70"/>
              <w:right w:type="dxa" w:w="110"/>
            </w:tcMar>
            <w:vAlign w:val="center"/>
          </w:tcPr>
          <w:p>
            <w:pPr>
              <w:spacing w:after="0" w:line="240"/>
            </w:pPr>
            <w:r>
              <w:rPr>
                <w:b w:val="false"/>
                <w:bCs w:val="false"/>
                <w:sz w:val="19"/>
                <w:szCs w:val="19"/>
              </w:rPr>
              <w:t xml:space="preserve">Zmiana formatu może pozostać niezauważona</w:t>
            </w:r>
          </w:p>
        </w:tc>
      </w:tr>
    </w:tbl>
    <w:p>
      <w:r>
        <w:br w:type="page"/>
      </w:r>
    </w:p>
    <w:p>
      <w:pPr>
        <w:pStyle w:val="Heading1"/>
        <w:spacing w:after="180" w:before="360"/>
      </w:pPr>
      <w:r>
        <w:t xml:space="preserve">12. Słownik pojęć</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8EDF2" w:color="auto" w:val="clear"/>
            <w:tcMar>
              <w:top w:type="dxa" w:w="70"/>
              <w:left w:type="dxa" w:w="110"/>
              <w:bottom w:type="dxa" w:w="70"/>
              <w:right w:type="dxa" w:w="110"/>
            </w:tcMar>
            <w:vAlign w:val="center"/>
          </w:tcPr>
          <w:p>
            <w:pPr>
              <w:spacing w:after="0" w:line="240"/>
            </w:pPr>
            <w:r>
              <w:rPr>
                <w:b/>
                <w:bCs/>
                <w:sz w:val="19"/>
                <w:szCs w:val="19"/>
              </w:rPr>
              <w:t xml:space="preserve">Pojęcie</w:t>
            </w:r>
          </w:p>
        </w:tc>
        <w:tc>
          <w:tcPr>
            <w:tcW w:type="dxa" w:w="6826"/>
            <w:shd w:fill="E8EDF2" w:color="auto" w:val="clear"/>
            <w:tcMar>
              <w:top w:type="dxa" w:w="70"/>
              <w:left w:type="dxa" w:w="110"/>
              <w:bottom w:type="dxa" w:w="70"/>
              <w:right w:type="dxa" w:w="110"/>
            </w:tcMar>
            <w:vAlign w:val="center"/>
          </w:tcPr>
          <w:p>
            <w:pPr>
              <w:spacing w:after="0" w:line="240"/>
            </w:pPr>
            <w:r>
              <w:rPr>
                <w:b/>
                <w:bCs/>
                <w:sz w:val="19"/>
                <w:szCs w:val="19"/>
              </w:rPr>
              <w:t xml:space="preserve">Wyjaśnienie</w:t>
            </w:r>
          </w:p>
        </w:tc>
      </w:tr>
      <w:tr>
        <w:tc>
          <w:tcPr>
            <w:tcW w:type="dxa" w:w="2200"/>
            <w:tcMar>
              <w:top w:type="dxa" w:w="70"/>
              <w:left w:type="dxa" w:w="110"/>
              <w:bottom w:type="dxa" w:w="70"/>
              <w:right w:type="dxa" w:w="110"/>
            </w:tcMar>
            <w:vAlign w:val="center"/>
          </w:tcPr>
          <w:p>
            <w:pPr>
              <w:spacing w:after="0" w:line="240"/>
            </w:pPr>
            <w:r>
              <w:rPr>
                <w:sz w:val="19"/>
                <w:szCs w:val="19"/>
              </w:rPr>
              <w:t xml:space="preserve">PRG</w:t>
            </w:r>
          </w:p>
        </w:tc>
        <w:tc>
          <w:tcPr>
            <w:tcW w:type="dxa" w:w="6826"/>
            <w:tcMar>
              <w:top w:type="dxa" w:w="70"/>
              <w:left w:type="dxa" w:w="110"/>
              <w:bottom w:type="dxa" w:w="70"/>
              <w:right w:type="dxa" w:w="110"/>
            </w:tcMar>
            <w:vAlign w:val="center"/>
          </w:tcPr>
          <w:p>
            <w:pPr>
              <w:spacing w:after="0" w:line="240"/>
            </w:pPr>
            <w:r>
              <w:rPr>
                <w:sz w:val="19"/>
                <w:szCs w:val="19"/>
              </w:rPr>
              <w:t xml:space="preserve">Państwowy Rejestr Granic i Powierzchni Jednostek Podziałów Terytorialnych Kraju. Prowadzony przez GUGiK. Zawiera m.in. punkty adresowe — podstawowe źródło danych w projekcie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GUGiK</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Główny Urząd Geodezji i Kartografii</w:t>
            </w:r>
          </w:p>
        </w:tc>
      </w:tr>
      <w:tr>
        <w:tc>
          <w:tcPr>
            <w:tcW w:type="dxa" w:w="2200"/>
            <w:tcMar>
              <w:top w:type="dxa" w:w="70"/>
              <w:left w:type="dxa" w:w="110"/>
              <w:bottom w:type="dxa" w:w="70"/>
              <w:right w:type="dxa" w:w="110"/>
            </w:tcMar>
            <w:vAlign w:val="center"/>
          </w:tcPr>
          <w:p>
            <w:pPr>
              <w:spacing w:after="0" w:line="240"/>
            </w:pPr>
            <w:r>
              <w:rPr>
                <w:sz w:val="19"/>
                <w:szCs w:val="19"/>
              </w:rPr>
              <w:t xml:space="preserve">TERYT</w:t>
            </w:r>
          </w:p>
        </w:tc>
        <w:tc>
          <w:tcPr>
            <w:tcW w:type="dxa" w:w="6826"/>
            <w:tcMar>
              <w:top w:type="dxa" w:w="70"/>
              <w:left w:type="dxa" w:w="110"/>
              <w:bottom w:type="dxa" w:w="70"/>
              <w:right w:type="dxa" w:w="110"/>
            </w:tcMar>
            <w:vAlign w:val="center"/>
          </w:tcPr>
          <w:p>
            <w:pPr>
              <w:spacing w:after="0" w:line="240"/>
            </w:pPr>
            <w:r>
              <w:rPr>
                <w:sz w:val="19"/>
                <w:szCs w:val="19"/>
              </w:rPr>
              <w:t xml:space="preserve">Krajowy Rejestr Urzędowy Podziału Terytorialnego Kraju, prowadzony przez GUS</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TERC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Identyfikator jednostki podziału terytorialnego (województwo, powiat, gmina) w rejestrze TERYT</w:t>
            </w:r>
          </w:p>
        </w:tc>
      </w:tr>
      <w:tr>
        <w:tc>
          <w:tcPr>
            <w:tcW w:type="dxa" w:w="2200"/>
            <w:tcMar>
              <w:top w:type="dxa" w:w="70"/>
              <w:left w:type="dxa" w:w="110"/>
              <w:bottom w:type="dxa" w:w="70"/>
              <w:right w:type="dxa" w:w="110"/>
            </w:tcMar>
            <w:vAlign w:val="center"/>
          </w:tcPr>
          <w:p>
            <w:pPr>
              <w:spacing w:after="0" w:line="240"/>
            </w:pPr>
            <w:r>
              <w:rPr>
                <w:sz w:val="19"/>
                <w:szCs w:val="19"/>
              </w:rPr>
              <w:t xml:space="preserve">SIMC</w:t>
            </w:r>
          </w:p>
        </w:tc>
        <w:tc>
          <w:tcPr>
            <w:tcW w:type="dxa" w:w="6826"/>
            <w:tcMar>
              <w:top w:type="dxa" w:w="70"/>
              <w:left w:type="dxa" w:w="110"/>
              <w:bottom w:type="dxa" w:w="70"/>
              <w:right w:type="dxa" w:w="110"/>
            </w:tcMar>
            <w:vAlign w:val="center"/>
          </w:tcPr>
          <w:p>
            <w:pPr>
              <w:spacing w:after="0" w:line="240"/>
            </w:pPr>
            <w:r>
              <w:rPr>
                <w:sz w:val="19"/>
                <w:szCs w:val="19"/>
              </w:rPr>
              <w:t xml:space="preserve">Identyfikator miejscowości w rejestrze TERYT. Siedem znaków, wiodące zera są znaczące</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ULIC</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Centralny Katalog Ulic — część rejestru TERYT</w:t>
            </w:r>
          </w:p>
        </w:tc>
      </w:tr>
      <w:tr>
        <w:tc>
          <w:tcPr>
            <w:tcW w:type="dxa" w:w="2200"/>
            <w:tcMar>
              <w:top w:type="dxa" w:w="70"/>
              <w:left w:type="dxa" w:w="110"/>
              <w:bottom w:type="dxa" w:w="70"/>
              <w:right w:type="dxa" w:w="110"/>
            </w:tcMar>
            <w:vAlign w:val="center"/>
          </w:tcPr>
          <w:p>
            <w:pPr>
              <w:spacing w:after="0" w:line="240"/>
            </w:pPr>
            <w:r>
              <w:rPr>
                <w:sz w:val="19"/>
                <w:szCs w:val="19"/>
              </w:rPr>
              <w:t xml:space="preserve">EMUiA</w:t>
            </w:r>
          </w:p>
        </w:tc>
        <w:tc>
          <w:tcPr>
            <w:tcW w:type="dxa" w:w="6826"/>
            <w:tcMar>
              <w:top w:type="dxa" w:w="70"/>
              <w:left w:type="dxa" w:w="110"/>
              <w:bottom w:type="dxa" w:w="70"/>
              <w:right w:type="dxa" w:w="110"/>
            </w:tcMar>
            <w:vAlign w:val="center"/>
          </w:tcPr>
          <w:p>
            <w:pPr>
              <w:spacing w:after="0" w:line="240"/>
            </w:pPr>
            <w:r>
              <w:rPr>
                <w:sz w:val="19"/>
                <w:szCs w:val="19"/>
              </w:rPr>
              <w:t xml:space="preserve">Ewidencja Miejscowości, Ulic i Adresów prowadzona przez gminy. Źródło zasilające rejestr PRG</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iMPA</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Internetowy Manager Punktów Adresowych — system, w którym ok. 1400 gmin prowadzi ewidencję adresową</w:t>
            </w:r>
          </w:p>
        </w:tc>
      </w:tr>
      <w:tr>
        <w:tc>
          <w:tcPr>
            <w:tcW w:type="dxa" w:w="2200"/>
            <w:tcMar>
              <w:top w:type="dxa" w:w="70"/>
              <w:left w:type="dxa" w:w="110"/>
              <w:bottom w:type="dxa" w:w="70"/>
              <w:right w:type="dxa" w:w="110"/>
            </w:tcMar>
            <w:vAlign w:val="center"/>
          </w:tcPr>
          <w:p>
            <w:pPr>
              <w:spacing w:after="0" w:line="240"/>
            </w:pPr>
            <w:r>
              <w:rPr>
                <w:sz w:val="19"/>
                <w:szCs w:val="19"/>
              </w:rPr>
              <w:t xml:space="preserve">PNA</w:t>
            </w:r>
          </w:p>
        </w:tc>
        <w:tc>
          <w:tcPr>
            <w:tcW w:type="dxa" w:w="6826"/>
            <w:tcMar>
              <w:top w:type="dxa" w:w="70"/>
              <w:left w:type="dxa" w:w="110"/>
              <w:bottom w:type="dxa" w:w="70"/>
              <w:right w:type="dxa" w:w="110"/>
            </w:tcMar>
            <w:vAlign w:val="center"/>
          </w:tcPr>
          <w:p>
            <w:pPr>
              <w:spacing w:after="0" w:line="240"/>
            </w:pPr>
            <w:r>
              <w:rPr>
                <w:sz w:val="19"/>
                <w:szCs w:val="19"/>
              </w:rPr>
              <w:t xml:space="preserve">Pocztowy Numer Adresowy, potocznie kod pocztowy</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adresowy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w rejestrze: miejscowość, ewentualna ulica, numer porządkowy i współrzędne</w:t>
            </w:r>
          </w:p>
        </w:tc>
      </w:tr>
      <w:tr>
        <w:tc>
          <w:tcPr>
            <w:tcW w:type="dxa" w:w="2200"/>
            <w:tcMar>
              <w:top w:type="dxa" w:w="70"/>
              <w:left w:type="dxa" w:w="110"/>
              <w:bottom w:type="dxa" w:w="70"/>
              <w:right w:type="dxa" w:w="110"/>
            </w:tcMar>
            <w:vAlign w:val="center"/>
          </w:tcPr>
          <w:p>
            <w:pPr>
              <w:spacing w:after="0" w:line="240"/>
            </w:pPr>
            <w:r>
              <w:rPr>
                <w:sz w:val="19"/>
                <w:szCs w:val="19"/>
              </w:rPr>
              <w:t xml:space="preserve">GML</w:t>
            </w:r>
          </w:p>
        </w:tc>
        <w:tc>
          <w:tcPr>
            <w:tcW w:type="dxa" w:w="6826"/>
            <w:tcMar>
              <w:top w:type="dxa" w:w="70"/>
              <w:left w:type="dxa" w:w="110"/>
              <w:bottom w:type="dxa" w:w="70"/>
              <w:right w:type="dxa" w:w="110"/>
            </w:tcMar>
            <w:vAlign w:val="center"/>
          </w:tcPr>
          <w:p>
            <w:pPr>
              <w:spacing w:after="0" w:line="240"/>
            </w:pPr>
            <w:r>
              <w:rPr>
                <w:sz w:val="19"/>
                <w:szCs w:val="19"/>
              </w:rPr>
              <w:t xml:space="preserve">Format wymiany danych przestrzennych oparty na XML, stosowany przez GUGiK</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PL-1992</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Państwowy układ współrzędnych geodezyjnych stosowany w rejestrze PRG. Wymaga przeliczenia do układu stosowanego w mapach internetowych</w:t>
            </w:r>
          </w:p>
        </w:tc>
      </w:tr>
      <w:tr>
        <w:tc>
          <w:tcPr>
            <w:tcW w:type="dxa" w:w="2200"/>
            <w:tcMar>
              <w:top w:type="dxa" w:w="70"/>
              <w:left w:type="dxa" w:w="110"/>
              <w:bottom w:type="dxa" w:w="70"/>
              <w:right w:type="dxa" w:w="110"/>
            </w:tcMar>
            <w:vAlign w:val="center"/>
          </w:tcPr>
          <w:p>
            <w:pPr>
              <w:spacing w:after="0" w:line="240"/>
            </w:pPr>
            <w:r>
              <w:rPr>
                <w:sz w:val="19"/>
                <w:szCs w:val="19"/>
              </w:rPr>
              <w:t xml:space="preserve">ODbL</w:t>
            </w:r>
          </w:p>
        </w:tc>
        <w:tc>
          <w:tcPr>
            <w:tcW w:type="dxa" w:w="6826"/>
            <w:tcMar>
              <w:top w:type="dxa" w:w="70"/>
              <w:left w:type="dxa" w:w="110"/>
              <w:bottom w:type="dxa" w:w="70"/>
              <w:right w:type="dxa" w:w="110"/>
            </w:tcMar>
            <w:vAlign w:val="center"/>
          </w:tcPr>
          <w:p>
            <w:pPr>
              <w:spacing w:after="0" w:line="240"/>
            </w:pPr>
            <w:r>
              <w:rPr>
                <w:sz w:val="19"/>
                <w:szCs w:val="19"/>
              </w:rPr>
              <w:t xml:space="preserve">Licencja danych OpenStreetMap zawierająca klauzulę zobowiązującą do udostępnienia bazy pochodnej na tych samych warunkach</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Artefakt indeksu</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Niezmienny plik zawierający strukturę wyszukiwania, wytwarzany przez proces przetwarzania i ładowany przez mikroserwis</w:t>
            </w:r>
          </w:p>
        </w:tc>
      </w:tr>
      <w:tr>
        <w:tc>
          <w:tcPr>
            <w:tcW w:type="dxa" w:w="2200"/>
            <w:tcMar>
              <w:top w:type="dxa" w:w="70"/>
              <w:left w:type="dxa" w:w="110"/>
              <w:bottom w:type="dxa" w:w="70"/>
              <w:right w:type="dxa" w:w="110"/>
            </w:tcMar>
            <w:vAlign w:val="center"/>
          </w:tcPr>
          <w:p>
            <w:pPr>
              <w:spacing w:after="0" w:line="240"/>
            </w:pPr>
            <w:r>
              <w:rPr>
                <w:sz w:val="19"/>
                <w:szCs w:val="19"/>
              </w:rPr>
              <w:t xml:space="preserve">Obszar przejściowy</w:t>
            </w:r>
          </w:p>
        </w:tc>
        <w:tc>
          <w:tcPr>
            <w:tcW w:type="dxa" w:w="6826"/>
            <w:tcMar>
              <w:top w:type="dxa" w:w="70"/>
              <w:left w:type="dxa" w:w="110"/>
              <w:bottom w:type="dxa" w:w="70"/>
              <w:right w:type="dxa" w:w="110"/>
            </w:tcMar>
            <w:vAlign w:val="center"/>
          </w:tcPr>
          <w:p>
            <w:pPr>
              <w:spacing w:after="0" w:line="240"/>
            </w:pPr>
            <w:r>
              <w:rPr>
                <w:sz w:val="19"/>
                <w:szCs w:val="19"/>
              </w:rPr>
              <w:t xml:space="preserve">Wydzielona część bazy danych, do której trafiają dane przed weryfikacją i publikacją</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Punkt końcowy</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Pojedynczy adres funkcji w interfejsie REST — jedna operacja, którą aplikacja może wywołać</w:t>
            </w:r>
          </w:p>
        </w:tc>
      </w:tr>
      <w:tr>
        <w:tc>
          <w:tcPr>
            <w:tcW w:type="dxa" w:w="2200"/>
            <w:tcMar>
              <w:top w:type="dxa" w:w="70"/>
              <w:left w:type="dxa" w:w="110"/>
              <w:bottom w:type="dxa" w:w="70"/>
              <w:right w:type="dxa" w:w="110"/>
            </w:tcMar>
            <w:vAlign w:val="center"/>
          </w:tcPr>
          <w:p>
            <w:pPr>
              <w:spacing w:after="0" w:line="240"/>
            </w:pPr>
            <w:r>
              <w:rPr>
                <w:sz w:val="19"/>
                <w:szCs w:val="19"/>
              </w:rPr>
              <w:t xml:space="preserve">Klucz API</w:t>
            </w:r>
          </w:p>
        </w:tc>
        <w:tc>
          <w:tcPr>
            <w:tcW w:type="dxa" w:w="6826"/>
            <w:tcMar>
              <w:top w:type="dxa" w:w="70"/>
              <w:left w:type="dxa" w:w="110"/>
              <w:bottom w:type="dxa" w:w="70"/>
              <w:right w:type="dxa" w:w="110"/>
            </w:tcMar>
            <w:vAlign w:val="center"/>
          </w:tcPr>
          <w:p>
            <w:pPr>
              <w:spacing w:after="0" w:line="240"/>
            </w:pPr>
            <w:r>
              <w:rPr>
                <w:sz w:val="19"/>
                <w:szCs w:val="19"/>
              </w:rPr>
              <w:t xml:space="preserve">Poświadczenie identyfikujące aplikację klienta. Podstawa limitowania zapytań i rozliczania. W obecnej wersji nieweryfikowany — patrz 5.5</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Wielodostępność</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Obsługa wielu klientów przez jedną instalację, z rozdzieleniem limitów, uprawnień i rozliczeń</w:t>
            </w:r>
          </w:p>
        </w:tc>
      </w:tr>
      <w:tr>
        <w:tc>
          <w:tcPr>
            <w:tcW w:type="dxa" w:w="2200"/>
            <w:tcMar>
              <w:top w:type="dxa" w:w="70"/>
              <w:left w:type="dxa" w:w="110"/>
              <w:bottom w:type="dxa" w:w="70"/>
              <w:right w:type="dxa" w:w="110"/>
            </w:tcMar>
            <w:vAlign w:val="center"/>
          </w:tcPr>
          <w:p>
            <w:pPr>
              <w:spacing w:after="0" w:line="240"/>
            </w:pPr>
            <w:r>
              <w:rPr>
                <w:sz w:val="19"/>
                <w:szCs w:val="19"/>
              </w:rPr>
              <w:t xml:space="preserve">Metryka</w:t>
            </w:r>
          </w:p>
        </w:tc>
        <w:tc>
          <w:tcPr>
            <w:tcW w:type="dxa" w:w="6826"/>
            <w:tcMar>
              <w:top w:type="dxa" w:w="70"/>
              <w:left w:type="dxa" w:w="110"/>
              <w:bottom w:type="dxa" w:w="70"/>
              <w:right w:type="dxa" w:w="110"/>
            </w:tcMar>
            <w:vAlign w:val="center"/>
          </w:tcPr>
          <w:p>
            <w:pPr>
              <w:spacing w:after="0" w:line="240"/>
            </w:pPr>
            <w:r>
              <w:rPr>
                <w:sz w:val="19"/>
                <w:szCs w:val="19"/>
              </w:rPr>
              <w:t xml:space="preserve">Liczba udostępniana przez usługę na potrzeby monitorowania, np. wiek danych lub czas odpowiedzi</w:t>
            </w:r>
          </w:p>
        </w:tc>
      </w:tr>
      <w:tr>
        <w:tc>
          <w:tcPr>
            <w:tcW w:type="dxa" w:w="2200"/>
            <w:shd w:fill="F5F7F9" w:color="auto" w:val="clear"/>
            <w:tcMar>
              <w:top w:type="dxa" w:w="70"/>
              <w:left w:type="dxa" w:w="110"/>
              <w:bottom w:type="dxa" w:w="70"/>
              <w:right w:type="dxa" w:w="110"/>
            </w:tcMar>
            <w:vAlign w:val="center"/>
          </w:tcPr>
          <w:p>
            <w:pPr>
              <w:spacing w:after="0" w:line="240"/>
            </w:pPr>
            <w:r>
              <w:rPr>
                <w:sz w:val="19"/>
                <w:szCs w:val="19"/>
              </w:rPr>
              <w:t xml:space="preserve">Sonda gotowości</w:t>
            </w:r>
          </w:p>
        </w:tc>
        <w:tc>
          <w:tcPr>
            <w:tcW w:type="dxa" w:w="6826"/>
            <w:shd w:fill="F5F7F9" w:color="auto" w:val="clear"/>
            <w:tcMar>
              <w:top w:type="dxa" w:w="70"/>
              <w:left w:type="dxa" w:w="110"/>
              <w:bottom w:type="dxa" w:w="70"/>
              <w:right w:type="dxa" w:w="110"/>
            </w:tcMar>
            <w:vAlign w:val="center"/>
          </w:tcPr>
          <w:p>
            <w:pPr>
              <w:spacing w:after="0" w:line="240"/>
            </w:pPr>
            <w:r>
              <w:rPr>
                <w:sz w:val="19"/>
                <w:szCs w:val="19"/>
              </w:rPr>
              <w:t xml:space="preserve">Zapytanie kontrolne, na podstawie którego środowisko uruchomieniowe decyduje, czy kierować ruch do danej instancji</w:t>
            </w:r>
          </w:p>
        </w:tc>
      </w:tr>
    </w:tbl>
    <w:p>
      <w:pPr>
        <w:spacing w:after="300"/>
      </w:pPr>
    </w:p>
    <w:p>
      <w:pPr>
        <w:pBdr>
          <w:top w:val="single" w:color="D5DBE0" w:sz="4"/>
        </w:pBdr>
        <w:spacing w:after="120" w:before="200"/>
      </w:pPr>
    </w:p>
    <w:p>
      <w:pPr>
        <w:spacing w:after="120" w:line="276"/>
      </w:pPr>
      <w:r>
        <w:rPr>
          <w:i/>
          <w:iCs/>
          <w:color w:val="5A6873"/>
          <w:sz w:val="18"/>
          <w:szCs w:val="18"/>
        </w:rPr>
        <w:t xml:space="preserve">Informacja o źródle danych: dane pochodzą z Państwowego Rejestru Granic i Powierzchni Jednostek Podziałów Terytorialnych Kraju (PRG), udostępnianego nieodpłatnie przez Główny Urząd Geodezji i Kartografii na podstawie art. 40a ust. 2 pkt 1 lit. a ustawy Prawo geodezyjne i kartograficzne. Licencji nie wydaje się (art. 40c ust. 5 tej ustawy).</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0" w:sz="4"/>
      </w:pBdr>
      <w:tabs>
        <w:tab w:val="right" w:pos="9026"/>
      </w:tabs>
      <w:spacing w:before="120"/>
    </w:pPr>
    <w:r>
      <w:rPr>
        <w:color w:val="5A6873"/>
        <w:sz w:val="16"/>
        <w:szCs w:val="16"/>
      </w:rPr>
      <w:t xml:space="preserve">Komponent walidacji danych adresowych  ·  wersja 1.7</w:t>
    </w:r>
    <w:r>
      <w:rPr>
        <w:sz w:val="16"/>
        <w:szCs w:val="16"/>
      </w:rPr>
      <w:t xml:space="preserve">	</w:t>
    </w:r>
    <w:r>
      <w:rPr>
        <w:color w:val="5A6873"/>
        <w:sz w:val="16"/>
        <w:szCs w:val="16"/>
      </w:rPr>
      <w:t xml:space="preserve">Strona </w:t>
      <w:fldChar w:fldCharType="begin"/>
      <w:instrText xml:space="preserve">PAGE</w:instrText>
      <w:fldChar w:fldCharType="separate"/>
      <w:fldChar w:fldCharType="end"/>
      <w:t xml:space="preserve"> z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1F4E5F"/>
      <w:sz w:val="30"/>
      <w:szCs w:val="30"/>
    </w:rPr>
  </w:style>
  <w:style w:type="paragraph" w:styleId="Heading2">
    <w:name w:val="Heading 2"/>
    <w:basedOn w:val="Normal"/>
    <w:next w:val="Normal"/>
    <w:qFormat/>
    <w:pPr>
      <w:spacing w:after="140" w:before="280"/>
    </w:pPr>
    <w:rPr>
      <w:rFonts w:ascii="Calibri" w:cs="Calibri" w:eastAsia="Calibri" w:hAnsi="Calibri"/>
      <w:b/>
      <w:bCs/>
      <w:color w:val="2C3E50"/>
      <w:sz w:val="25"/>
      <w:szCs w:val="25"/>
    </w:rPr>
  </w:style>
  <w:style w:type="paragraph" w:styleId="Heading3">
    <w:name w:val="Heading 3"/>
    <w:basedOn w:val="Normal"/>
    <w:next w:val="Normal"/>
    <w:qFormat/>
    <w:pPr>
      <w:spacing w:after="110" w:before="220"/>
    </w:pPr>
    <w:rPr>
      <w:rFonts w:ascii="Calibri" w:cs="Calibri" w:eastAsia="Calibri" w:hAnsi="Calibri"/>
      <w:b/>
      <w:bCs/>
      <w:color w:val="2C3E5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Komponent walidacji danych adresowych — raport</dc:title>
  <dc:creator>Zespół wdrożeniowy</dc:creator>
  <dc:description>Stan prac, ocena ryzyk, warianty rozwiązania</dc:description>
  <cp:lastModifiedBy>Un-named</cp:lastModifiedBy>
  <cp:revision>1</cp:revision>
  <dcterms:created xsi:type="dcterms:W3CDTF">2026-08-10T05:18:32.938Z</dcterms:created>
  <dcterms:modified xsi:type="dcterms:W3CDTF">2026-08-10T05:18:32.940Z</dcterms:modified>
</cp:coreProperties>
</file>

<file path=docProps/custom.xml><?xml version="1.0" encoding="utf-8"?>
<Properties xmlns="http://schemas.openxmlformats.org/officeDocument/2006/custom-properties" xmlns:vt="http://schemas.openxmlformats.org/officeDocument/2006/docPropsVTypes"/>
</file>