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1F57809" wp14:textId="77777777">
      <w:pPr>
        <w:pStyle w:val="Heading1"/>
      </w:pPr>
      <w:r w:rsidR="6B291AFB">
        <w:rPr/>
        <w:t>Przygotowanie do rozmowy: Account Specialist, iGamingNuts</w:t>
      </w:r>
    </w:p>
    <w:p xmlns:wp14="http://schemas.microsoft.com/office/word/2010/wordml" w14:paraId="1F6B777E" wp14:textId="77777777">
      <w:pPr>
        <w:pStyle w:val="Heading2"/>
      </w:pPr>
      <w:r w:rsidR="6B291AFB">
        <w:rPr/>
        <w:t>1. Kim jest iGamingNuts i jak zarabia</w:t>
      </w:r>
    </w:p>
    <w:p xmlns:wp14="http://schemas.microsoft.com/office/word/2010/wordml" w14:paraId="179066C9" wp14:textId="77777777">
      <w:pPr>
        <w:spacing w:after="120"/>
      </w:pPr>
      <w:r w:rsidR="6B291AFB">
        <w:rPr/>
        <w:t>Z oferty: ok. 40 osób, serwisy afiliacyjne o tematyce bukmacherskiej (m.in. legalnibukmacherzy.pl), rynek polski plus Europa i Ameryka Południowa.</w:t>
      </w:r>
    </w:p>
    <w:p xmlns:wp14="http://schemas.microsoft.com/office/word/2010/wordml" w14:paraId="2AA45BA9" wp14:textId="3CC0926D">
      <w:pPr>
        <w:spacing w:after="120"/>
      </w:pPr>
      <w:r w:rsidRPr="4A73A885" w:rsidR="6B291AFB">
        <w:rPr>
          <w:b w:val="1"/>
          <w:bCs w:val="1"/>
        </w:rPr>
        <w:t>Model biznesowy:</w:t>
      </w:r>
    </w:p>
    <w:p xmlns:wp14="http://schemas.microsoft.com/office/word/2010/wordml" w14:paraId="5E2EE842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 xml:space="preserve">Firma to </w:t>
      </w:r>
      <w:commentRangeStart w:id="8"/>
      <w:r w:rsidRPr="6B291AFB" w:rsidR="6B291AFB">
        <w:rPr>
          <w:b w:val="1"/>
          <w:bCs w:val="1"/>
        </w:rPr>
        <w:t>afiliat / publisher</w:t>
      </w:r>
      <w:commentRangeEnd w:id="8"/>
      <w:r>
        <w:rPr>
          <w:rStyle w:val="CommentReference"/>
        </w:rPr>
        <w:commentReference w:id="8"/>
      </w:r>
      <w:r w:rsidR="6B291AFB">
        <w:rPr/>
        <w:t xml:space="preserve">. Buduje serwisy z </w:t>
      </w:r>
      <w:commentRangeStart w:id="9"/>
      <w:r w:rsidR="6B291AFB">
        <w:rPr/>
        <w:t>rankingami bukmacherów</w:t>
      </w:r>
      <w:commentRangeEnd w:id="9"/>
      <w:r>
        <w:rPr>
          <w:rStyle w:val="CommentReference"/>
        </w:rPr>
        <w:commentReference w:id="9"/>
      </w:r>
      <w:r w:rsidR="6B291AFB">
        <w:rPr/>
        <w:t xml:space="preserve">, bonusami, </w:t>
      </w:r>
      <w:commentRangeStart w:id="10"/>
      <w:r w:rsidR="6B291AFB">
        <w:rPr/>
        <w:t>typami</w:t>
      </w:r>
      <w:commentRangeEnd w:id="10"/>
      <w:r>
        <w:rPr>
          <w:rStyle w:val="CommentReference"/>
        </w:rPr>
        <w:commentReference w:id="10"/>
      </w:r>
      <w:r w:rsidR="6B291AFB">
        <w:rPr/>
        <w:t xml:space="preserve"> i poradnikami. Zdobywa ruch (głównie SEO).</w:t>
      </w:r>
    </w:p>
    <w:p xmlns:wp14="http://schemas.microsoft.com/office/word/2010/wordml" w14:paraId="7FF13296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>Kieruje graczy do licencjonowanych bukmacherów (</w:t>
      </w:r>
      <w:commentRangeStart w:id="11"/>
      <w:r w:rsidR="6B291AFB">
        <w:rPr/>
        <w:t>operatorów</w:t>
      </w:r>
      <w:commentRangeEnd w:id="11"/>
      <w:r>
        <w:rPr>
          <w:rStyle w:val="CommentReference"/>
        </w:rPr>
        <w:commentReference w:id="11"/>
      </w:r>
      <w:r w:rsidR="6B291AFB">
        <w:rPr/>
        <w:t>) i dostaje prowizję za pozyskanych graczy.</w:t>
      </w:r>
    </w:p>
    <w:p xmlns:wp14="http://schemas.microsoft.com/office/word/2010/wordml" w14:paraId="45BAF29A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 xml:space="preserve">Prowizja to </w:t>
      </w:r>
      <w:commentRangeStart w:id="12"/>
      <w:r w:rsidRPr="6B291AFB" w:rsidR="6B291AFB">
        <w:rPr>
          <w:b w:val="1"/>
          <w:bCs w:val="1"/>
        </w:rPr>
        <w:t>CPA</w:t>
      </w:r>
      <w:commentRangeEnd w:id="12"/>
      <w:r>
        <w:rPr>
          <w:rStyle w:val="CommentReference"/>
        </w:rPr>
        <w:commentReference w:id="12"/>
      </w:r>
      <w:r w:rsidR="6B291AFB">
        <w:rPr/>
        <w:t xml:space="preserve"> (stała kwota za gracza), </w:t>
      </w:r>
      <w:commentRangeStart w:id="13"/>
      <w:r w:rsidRPr="6B291AFB" w:rsidR="6B291AFB">
        <w:rPr>
          <w:b w:val="1"/>
          <w:bCs w:val="1"/>
        </w:rPr>
        <w:t>RevShare</w:t>
      </w:r>
      <w:commentRangeEnd w:id="13"/>
      <w:r>
        <w:rPr>
          <w:rStyle w:val="CommentReference"/>
        </w:rPr>
        <w:commentReference w:id="13"/>
      </w:r>
      <w:r w:rsidR="6B291AFB">
        <w:rPr/>
        <w:t xml:space="preserve"> (% od przychodu z gracza) lub </w:t>
      </w:r>
      <w:commentRangeStart w:id="14"/>
      <w:r w:rsidRPr="6B291AFB" w:rsidR="6B291AFB">
        <w:rPr>
          <w:b w:val="1"/>
          <w:bCs w:val="1"/>
        </w:rPr>
        <w:t>hybryda</w:t>
      </w:r>
      <w:commentRangeEnd w:id="14"/>
      <w:r>
        <w:rPr>
          <w:rStyle w:val="CommentReference"/>
        </w:rPr>
        <w:commentReference w:id="14"/>
      </w:r>
      <w:r w:rsidR="6B291AFB">
        <w:rPr/>
        <w:t>.</w:t>
      </w:r>
    </w:p>
    <w:p xmlns:wp14="http://schemas.microsoft.com/office/word/2010/wordml" w14:paraId="50F9902A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 xml:space="preserve">Account Specialist jest </w:t>
      </w:r>
      <w:r w:rsidRPr="6B291AFB" w:rsidR="6B291AFB">
        <w:rPr>
          <w:b w:val="1"/>
          <w:bCs w:val="1"/>
        </w:rPr>
        <w:t>mostem między firmą a bukmacherami</w:t>
      </w:r>
      <w:r w:rsidR="6B291AFB">
        <w:rPr/>
        <w:t xml:space="preserve">: negocjuje </w:t>
      </w:r>
      <w:commentRangeStart w:id="15"/>
      <w:r w:rsidR="6B291AFB">
        <w:rPr/>
        <w:t>deale</w:t>
      </w:r>
      <w:commentRangeEnd w:id="15"/>
      <w:r>
        <w:rPr>
          <w:rStyle w:val="CommentReference"/>
        </w:rPr>
        <w:commentReference w:id="15"/>
      </w:r>
      <w:r w:rsidR="6B291AFB">
        <w:rPr/>
        <w:t xml:space="preserve">, pilnuje ich wykonania, rozlicza się z nimi i optymalizuje </w:t>
      </w:r>
      <w:commentRangeStart w:id="16"/>
      <w:r w:rsidR="6B291AFB">
        <w:rPr/>
        <w:t>portfel</w:t>
      </w:r>
      <w:commentRangeEnd w:id="16"/>
      <w:r>
        <w:rPr>
          <w:rStyle w:val="CommentReference"/>
        </w:rPr>
        <w:commentReference w:id="16"/>
      </w:r>
      <w:r w:rsidR="6B291AFB">
        <w:rPr/>
        <w:t>.</w:t>
      </w:r>
    </w:p>
    <w:p xmlns:wp14="http://schemas.microsoft.com/office/word/2010/wordml" w14:paraId="59DC67E8" wp14:textId="77777777">
      <w:pPr>
        <w:spacing w:after="120"/>
      </w:pPr>
      <w:r w:rsidRPr="6B291AFB" w:rsidR="6B291AFB">
        <w:rPr>
          <w:b w:val="1"/>
          <w:bCs w:val="1"/>
        </w:rPr>
        <w:t>Zrób przed rozmową:</w:t>
      </w:r>
    </w:p>
    <w:p xmlns:wp14="http://schemas.microsoft.com/office/word/2010/wordml" w14:paraId="6194FFF3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>Wejdź na legalnibukmacherzy.pl i przejrzyj ranking, bonusy i układ strony. Ustal, których bukmacherów promują na górze (</w:t>
      </w:r>
      <w:commentRangeStart w:id="17"/>
      <w:r w:rsidR="6B291AFB">
        <w:rPr/>
        <w:t>STS, Fortuna, Superbet, Betclic, LVBET, Fuksiarz</w:t>
      </w:r>
      <w:commentRangeEnd w:id="17"/>
      <w:r>
        <w:rPr>
          <w:rStyle w:val="CommentReference"/>
        </w:rPr>
        <w:commentReference w:id="17"/>
      </w:r>
      <w:r w:rsidR="6B291AFB">
        <w:rPr/>
        <w:t xml:space="preserve"> itd.).</w:t>
      </w:r>
    </w:p>
    <w:p xmlns:wp14="http://schemas.microsoft.com/office/word/2010/wordml" w14:paraId="56C452B0" wp14:textId="77777777">
      <w:pPr>
        <w:pStyle w:val="Heading2"/>
      </w:pPr>
      <w:r w:rsidR="6B291AFB">
        <w:rPr/>
        <w:t>2. Obowiązki: punkt po punkcie</w:t>
      </w:r>
    </w:p>
    <w:p xmlns:wp14="http://schemas.microsoft.com/office/word/2010/wordml" w14:paraId="13347266" wp14:textId="77777777">
      <w:pPr>
        <w:pStyle w:val="Heading3"/>
      </w:pPr>
      <w:r w:rsidR="6B291AFB">
        <w:rPr/>
        <w:t>2.1. Kontakt z partnerami i cykliczne przeglądy biznesowe oparte na danych</w:t>
      </w:r>
    </w:p>
    <w:p xmlns:wp14="http://schemas.microsoft.com/office/word/2010/wordml" w14:paraId="0B0170F3" wp14:textId="77777777">
      <w:pPr>
        <w:spacing w:after="120"/>
      </w:pPr>
      <w:r w:rsidRPr="6B291AFB" w:rsidR="6B291AFB">
        <w:rPr>
          <w:b w:val="1"/>
          <w:bCs w:val="1"/>
        </w:rPr>
        <w:t>Co to jest:</w:t>
      </w:r>
      <w:r w:rsidR="6B291AFB">
        <w:rPr/>
        <w:t xml:space="preserve"> regularne spotkania (np. miesięczne/kwartalne) z account managerami bukmacherów. Przegląd wyników, jakości </w:t>
      </w:r>
      <w:commentRangeStart w:id="20"/>
      <w:r w:rsidR="6B291AFB">
        <w:rPr/>
        <w:t>ruchu</w:t>
      </w:r>
      <w:commentRangeEnd w:id="20"/>
      <w:r>
        <w:rPr>
          <w:rStyle w:val="CommentReference"/>
        </w:rPr>
        <w:commentReference w:id="20"/>
      </w:r>
      <w:r w:rsidR="6B291AFB">
        <w:rPr/>
        <w:t>, warunków deala, planu na kolejny okres.</w:t>
      </w:r>
    </w:p>
    <w:p xmlns:wp14="http://schemas.microsoft.com/office/word/2010/wordml" w14:paraId="17ECCBD6" wp14:textId="77777777">
      <w:pPr>
        <w:spacing w:after="120"/>
      </w:pPr>
      <w:r w:rsidRPr="6B291AFB" w:rsidR="6B291AFB">
        <w:rPr>
          <w:b w:val="1"/>
          <w:bCs w:val="1"/>
        </w:rPr>
        <w:t>Struktura dobrego przeglądu (</w:t>
      </w:r>
      <w:commentRangeStart w:id="21"/>
      <w:r w:rsidRPr="6B291AFB" w:rsidR="6B291AFB">
        <w:rPr>
          <w:b w:val="1"/>
          <w:bCs w:val="1"/>
        </w:rPr>
        <w:t>QBR/MBR</w:t>
      </w:r>
      <w:commentRangeEnd w:id="21"/>
      <w:r>
        <w:rPr>
          <w:rStyle w:val="CommentReference"/>
        </w:rPr>
        <w:commentReference w:id="21"/>
      </w:r>
      <w:r w:rsidRPr="6B291AFB" w:rsidR="6B291AFB">
        <w:rPr>
          <w:b w:val="1"/>
          <w:bCs w:val="1"/>
        </w:rPr>
        <w:t>):</w:t>
      </w:r>
    </w:p>
    <w:p xmlns:wp14="http://schemas.microsoft.com/office/word/2010/wordml" w14:paraId="7E233B33" wp14:textId="77777777">
      <w:pPr>
        <w:pStyle w:val="ListParagraph"/>
        <w:numPr>
          <w:ilvl w:val="0"/>
          <w:numId w:val="3"/>
        </w:numPr>
        <w:spacing w:after="60"/>
        <w:rPr/>
      </w:pPr>
      <w:commentRangeStart w:id="22"/>
      <w:r w:rsidR="6B291AFB">
        <w:rPr/>
        <w:t>Wyniki okresu</w:t>
      </w:r>
      <w:commentRangeEnd w:id="22"/>
      <w:r>
        <w:rPr>
          <w:rStyle w:val="CommentReference"/>
        </w:rPr>
        <w:commentReference w:id="22"/>
      </w:r>
      <w:r w:rsidR="6B291AFB">
        <w:rPr/>
        <w:t xml:space="preserve">: kliknięcia → rejestracje → </w:t>
      </w:r>
      <w:commentRangeStart w:id="23"/>
      <w:r w:rsidR="6B291AFB">
        <w:rPr/>
        <w:t>FTD</w:t>
      </w:r>
      <w:commentRangeEnd w:id="23"/>
      <w:r>
        <w:rPr>
          <w:rStyle w:val="CommentReference"/>
        </w:rPr>
        <w:commentReference w:id="23"/>
      </w:r>
      <w:r w:rsidR="6B291AFB">
        <w:rPr/>
        <w:t xml:space="preserve"> → </w:t>
      </w:r>
      <w:commentRangeStart w:id="24"/>
      <w:r w:rsidR="6B291AFB">
        <w:rPr/>
        <w:t>NGR</w:t>
      </w:r>
      <w:commentRangeEnd w:id="24"/>
      <w:r>
        <w:rPr>
          <w:rStyle w:val="CommentReference"/>
        </w:rPr>
        <w:commentReference w:id="24"/>
      </w:r>
      <w:r w:rsidR="6B291AFB">
        <w:rPr/>
        <w:t xml:space="preserve"> vs poprzedni okres i vs plan.</w:t>
      </w:r>
    </w:p>
    <w:p xmlns:wp14="http://schemas.microsoft.com/office/word/2010/wordml" w14:paraId="6802A724" wp14:textId="77777777">
      <w:pPr>
        <w:pStyle w:val="ListParagraph"/>
        <w:numPr>
          <w:ilvl w:val="0"/>
          <w:numId w:val="3"/>
        </w:numPr>
        <w:spacing w:after="60"/>
        <w:rPr/>
      </w:pPr>
      <w:r w:rsidR="6B291AFB">
        <w:rPr/>
        <w:t xml:space="preserve">Jakość ruchu: </w:t>
      </w:r>
      <w:commentRangeStart w:id="25"/>
      <w:r w:rsidR="6B291AFB">
        <w:rPr/>
        <w:t>konwersja</w:t>
      </w:r>
      <w:commentRangeEnd w:id="25"/>
      <w:r>
        <w:rPr>
          <w:rStyle w:val="CommentReference"/>
        </w:rPr>
        <w:commentReference w:id="25"/>
      </w:r>
      <w:r w:rsidR="6B291AFB">
        <w:rPr/>
        <w:t xml:space="preserve"> klik→FTD, </w:t>
      </w:r>
      <w:commentRangeStart w:id="26"/>
      <w:r w:rsidR="6B291AFB">
        <w:rPr/>
        <w:t>retencja</w:t>
      </w:r>
      <w:commentRangeEnd w:id="26"/>
      <w:r>
        <w:rPr>
          <w:rStyle w:val="CommentReference"/>
        </w:rPr>
        <w:commentReference w:id="26"/>
      </w:r>
      <w:r w:rsidR="6B291AFB">
        <w:rPr/>
        <w:t>, wartość gracza (</w:t>
      </w:r>
      <w:commentRangeStart w:id="27"/>
      <w:r w:rsidR="6B291AFB">
        <w:rPr/>
        <w:t>LTV</w:t>
      </w:r>
      <w:commentRangeEnd w:id="27"/>
      <w:r>
        <w:rPr>
          <w:rStyle w:val="CommentReference"/>
        </w:rPr>
        <w:commentReference w:id="27"/>
      </w:r>
      <w:r w:rsidR="6B291AFB">
        <w:rPr/>
        <w:t>), udział graczy "</w:t>
      </w:r>
      <w:commentRangeStart w:id="28"/>
      <w:r w:rsidR="6B291AFB">
        <w:rPr/>
        <w:t>bonus hunterów</w:t>
      </w:r>
      <w:commentRangeEnd w:id="28"/>
      <w:r>
        <w:rPr>
          <w:rStyle w:val="CommentReference"/>
        </w:rPr>
        <w:commentReference w:id="28"/>
      </w:r>
      <w:r w:rsidR="6B291AFB">
        <w:rPr/>
        <w:t>".</w:t>
      </w:r>
    </w:p>
    <w:p xmlns:wp14="http://schemas.microsoft.com/office/word/2010/wordml" w14:paraId="04905B14" wp14:textId="77777777">
      <w:pPr>
        <w:pStyle w:val="ListParagraph"/>
        <w:numPr>
          <w:ilvl w:val="0"/>
          <w:numId w:val="3"/>
        </w:numPr>
        <w:spacing w:after="60"/>
        <w:rPr/>
      </w:pPr>
      <w:r w:rsidR="6B291AFB">
        <w:rPr/>
        <w:t>Co działało / co nie (konkretne strony, promocje, wydarzenia sportowe).</w:t>
      </w:r>
    </w:p>
    <w:p xmlns:wp14="http://schemas.microsoft.com/office/word/2010/wordml" w14:paraId="5437765B" wp14:textId="77777777">
      <w:pPr>
        <w:pStyle w:val="ListParagraph"/>
        <w:numPr>
          <w:ilvl w:val="0"/>
          <w:numId w:val="3"/>
        </w:numPr>
        <w:spacing w:after="60"/>
        <w:rPr/>
      </w:pPr>
      <w:r w:rsidR="6B291AFB">
        <w:rPr/>
        <w:t xml:space="preserve">Wnioski i </w:t>
      </w:r>
      <w:r w:rsidRPr="6B291AFB" w:rsidR="6B291AFB">
        <w:rPr>
          <w:b w:val="1"/>
          <w:bCs w:val="1"/>
        </w:rPr>
        <w:t>prośby do partnera</w:t>
      </w:r>
      <w:r w:rsidR="6B291AFB">
        <w:rPr/>
        <w:t xml:space="preserve"> (lepsza </w:t>
      </w:r>
      <w:commentRangeStart w:id="29"/>
      <w:r w:rsidR="6B291AFB">
        <w:rPr/>
        <w:t>stawka</w:t>
      </w:r>
      <w:commentRangeEnd w:id="29"/>
      <w:r>
        <w:rPr>
          <w:rStyle w:val="CommentReference"/>
        </w:rPr>
        <w:commentReference w:id="29"/>
      </w:r>
      <w:r w:rsidR="6B291AFB">
        <w:rPr/>
        <w:t xml:space="preserve">, wyższy </w:t>
      </w:r>
      <w:commentRangeStart w:id="30"/>
      <w:r w:rsidR="6B291AFB">
        <w:rPr/>
        <w:t>limit CPA</w:t>
      </w:r>
      <w:commentRangeEnd w:id="30"/>
      <w:r>
        <w:rPr>
          <w:rStyle w:val="CommentReference"/>
        </w:rPr>
        <w:commentReference w:id="30"/>
      </w:r>
      <w:r w:rsidR="6B291AFB">
        <w:rPr/>
        <w:t xml:space="preserve">, dedykowane promocje, lepsze </w:t>
      </w:r>
      <w:commentRangeStart w:id="31"/>
      <w:r w:rsidR="6B291AFB">
        <w:rPr/>
        <w:t>landing pages</w:t>
      </w:r>
      <w:commentRangeEnd w:id="31"/>
      <w:r>
        <w:rPr>
          <w:rStyle w:val="CommentReference"/>
        </w:rPr>
        <w:commentReference w:id="31"/>
      </w:r>
      <w:r w:rsidR="6B291AFB">
        <w:rPr/>
        <w:t>, szybsze płatności).</w:t>
      </w:r>
    </w:p>
    <w:p xmlns:wp14="http://schemas.microsoft.com/office/word/2010/wordml" w14:paraId="33495965" wp14:textId="77777777">
      <w:pPr>
        <w:pStyle w:val="ListParagraph"/>
        <w:numPr>
          <w:ilvl w:val="0"/>
          <w:numId w:val="3"/>
        </w:numPr>
        <w:spacing w:after="60"/>
        <w:rPr/>
      </w:pPr>
      <w:r w:rsidR="6B291AFB">
        <w:rPr/>
        <w:t>Plan na następny okres i otwarte kwestie.</w:t>
      </w:r>
    </w:p>
    <w:p xmlns:wp14="http://schemas.microsoft.com/office/word/2010/wordml" w14:paraId="7891A17C" wp14:textId="436DE1D0">
      <w:pPr>
        <w:spacing w:after="120"/>
      </w:pPr>
      <w:r w:rsidRPr="4A73A885" w:rsidR="6B291AFB">
        <w:rPr>
          <w:b w:val="1"/>
          <w:bCs w:val="1"/>
        </w:rPr>
        <w:t xml:space="preserve">Jak przygotowujesz </w:t>
      </w:r>
      <w:commentRangeStart w:id="32"/>
      <w:r w:rsidRPr="4A73A885" w:rsidR="6B291AFB">
        <w:rPr>
          <w:b w:val="1"/>
          <w:bCs w:val="1"/>
        </w:rPr>
        <w:t>review</w:t>
      </w:r>
      <w:commentRangeEnd w:id="32"/>
      <w:r>
        <w:rPr>
          <w:rStyle w:val="CommentReference"/>
        </w:rPr>
        <w:commentReference w:id="32"/>
      </w:r>
      <w:r w:rsidRPr="4A73A885" w:rsidR="6B291AFB">
        <w:rPr>
          <w:b w:val="1"/>
          <w:bCs w:val="1"/>
        </w:rPr>
        <w:t>":</w:t>
      </w:r>
      <w:r w:rsidR="6B291AFB">
        <w:rPr/>
        <w:t xml:space="preserve"> </w:t>
      </w:r>
      <w:r w:rsidRPr="4A73A885" w:rsidR="6B291AFB">
        <w:rPr>
          <w:i w:val="1"/>
          <w:iCs w:val="1"/>
        </w:rPr>
        <w:t xml:space="preserve">"Przychodzę z danymi i </w:t>
      </w:r>
      <w:commentRangeStart w:id="33"/>
      <w:r w:rsidRPr="4A73A885" w:rsidR="6B291AFB">
        <w:rPr>
          <w:i w:val="1"/>
          <w:iCs w:val="1"/>
        </w:rPr>
        <w:t>hipotezą</w:t>
      </w:r>
      <w:commentRangeEnd w:id="33"/>
      <w:r>
        <w:rPr>
          <w:rStyle w:val="CommentReference"/>
        </w:rPr>
        <w:commentReference w:id="33"/>
      </w:r>
      <w:r w:rsidRPr="4A73A885" w:rsidR="6B291AFB">
        <w:rPr>
          <w:i w:val="1"/>
          <w:iCs w:val="1"/>
        </w:rPr>
        <w:t>, nie z pustym raportem. Z góry wiem, o co chcę poprosić partnera i czym to uzasadnię. Po spotkaniu wysyłam podsumowanie z ustaleniami i terminami."</w:t>
      </w:r>
    </w:p>
    <w:p xmlns:wp14="http://schemas.microsoft.com/office/word/2010/wordml" w:rsidP="4A73A885" w14:paraId="69B010A7" wp14:textId="4CAF04C7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</w:pPr>
      <w:r w:rsidRPr="4A73A885" w:rsidR="6B291AFB">
        <w:rPr>
          <w:b w:val="1"/>
          <w:bCs w:val="1"/>
        </w:rPr>
        <w:t xml:space="preserve">Możliwe </w:t>
      </w:r>
      <w:r w:rsidRPr="4A73A885" w:rsidR="36EC7F57">
        <w:rPr>
          <w:b w:val="1"/>
          <w:bCs w:val="1"/>
        </w:rPr>
        <w:t>scenariusze</w:t>
      </w:r>
      <w:r w:rsidRPr="4A73A885" w:rsidR="6B291AFB">
        <w:rPr>
          <w:b w:val="1"/>
          <w:bCs w:val="1"/>
        </w:rPr>
        <w:t>:</w:t>
      </w:r>
      <w:r w:rsidR="6B291AFB">
        <w:rPr/>
        <w:t xml:space="preserve"> Jak prowadzisz trudną rozmowę z partnerem, Jakich argumentów użyjesz?</w:t>
      </w:r>
    </w:p>
    <w:p xmlns:wp14="http://schemas.microsoft.com/office/word/2010/wordml" w14:paraId="3BBED6CD" wp14:textId="77777777">
      <w:pPr>
        <w:spacing w:after="120"/>
      </w:pPr>
      <w:r w:rsidRPr="6B291AFB" w:rsidR="6B291AFB">
        <w:rPr>
          <w:b w:val="1"/>
          <w:bCs w:val="1"/>
        </w:rPr>
        <w:t>Argumenty negocjacyjne:</w:t>
      </w:r>
      <w:r w:rsidR="6B291AFB">
        <w:rPr/>
        <w:t xml:space="preserve"> </w:t>
      </w:r>
      <w:commentRangeStart w:id="34"/>
      <w:r w:rsidR="6B291AFB">
        <w:rPr/>
        <w:t>wolumen</w:t>
      </w:r>
      <w:commentRangeEnd w:id="34"/>
      <w:r>
        <w:rPr>
          <w:rStyle w:val="CommentReference"/>
        </w:rPr>
        <w:commentReference w:id="34"/>
      </w:r>
      <w:r w:rsidR="6B291AFB">
        <w:rPr/>
        <w:t xml:space="preserve"> i trend FTD, jakość graczy (retencja, LTV), </w:t>
      </w:r>
      <w:commentRangeStart w:id="35"/>
      <w:r w:rsidR="6B291AFB">
        <w:rPr/>
        <w:t>ekskluzywność</w:t>
      </w:r>
      <w:commentRangeEnd w:id="35"/>
      <w:r>
        <w:rPr>
          <w:rStyle w:val="CommentReference"/>
        </w:rPr>
        <w:commentReference w:id="35"/>
      </w:r>
      <w:r w:rsidR="6B291AFB">
        <w:rPr/>
        <w:t xml:space="preserve"> lub eksponowanie w rankingu, </w:t>
      </w:r>
      <w:commentRangeStart w:id="36"/>
      <w:r w:rsidR="6B291AFB">
        <w:rPr/>
        <w:t>sezonowość</w:t>
      </w:r>
      <w:commentRangeEnd w:id="36"/>
      <w:r>
        <w:rPr>
          <w:rStyle w:val="CommentReference"/>
        </w:rPr>
        <w:commentReference w:id="36"/>
      </w:r>
      <w:r w:rsidR="6B291AFB">
        <w:rPr/>
        <w:t xml:space="preserve"> (duże turnieje), alternatywni bukmacherzy w rankingu (realna </w:t>
      </w:r>
      <w:commentRangeStart w:id="37"/>
      <w:r w:rsidR="6B291AFB">
        <w:rPr/>
        <w:t>dźwignia</w:t>
      </w:r>
      <w:commentRangeEnd w:id="37"/>
      <w:r>
        <w:rPr>
          <w:rStyle w:val="CommentReference"/>
        </w:rPr>
        <w:commentReference w:id="37"/>
      </w:r>
      <w:r w:rsidR="6B291AFB">
        <w:rPr/>
        <w:t>), dłuższy kontrakt za lepszą stawkę.</w:t>
      </w:r>
    </w:p>
    <w:p xmlns:wp14="http://schemas.microsoft.com/office/word/2010/wordml" w14:paraId="0043727D" wp14:textId="77777777">
      <w:pPr>
        <w:pStyle w:val="Heading3"/>
      </w:pPr>
      <w:r w:rsidR="6B291AFB">
        <w:rPr/>
        <w:t>2.2. Przepływ informacji między bukmacherami a działami wewnętrznymi</w:t>
      </w:r>
    </w:p>
    <w:p xmlns:wp14="http://schemas.microsoft.com/office/word/2010/wordml" w14:paraId="10600901" wp14:textId="77777777">
      <w:pPr>
        <w:spacing w:after="120"/>
      </w:pPr>
      <w:r w:rsidRPr="6B291AFB" w:rsidR="6B291AFB">
        <w:rPr>
          <w:b w:val="1"/>
          <w:bCs w:val="1"/>
        </w:rPr>
        <w:t>Co to jest:</w:t>
      </w:r>
      <w:r w:rsidR="6B291AFB">
        <w:rPr/>
        <w:t xml:space="preserve"> Ty jesteś </w:t>
      </w:r>
      <w:commentRangeStart w:id="38"/>
      <w:r w:rsidR="6B291AFB">
        <w:rPr/>
        <w:t>węzłem</w:t>
      </w:r>
      <w:commentRangeEnd w:id="38"/>
      <w:r>
        <w:rPr>
          <w:rStyle w:val="CommentReference"/>
        </w:rPr>
        <w:commentReference w:id="38"/>
      </w:r>
      <w:r w:rsidR="6B291AFB">
        <w:rPr/>
        <w:t xml:space="preserve">. Bukmacher zmienia warunki bonusu, stawkę, </w:t>
      </w:r>
      <w:commentRangeStart w:id="39"/>
      <w:r w:rsidR="6B291AFB">
        <w:rPr/>
        <w:t>kreacje</w:t>
      </w:r>
      <w:commentRangeEnd w:id="39"/>
      <w:r>
        <w:rPr>
          <w:rStyle w:val="CommentReference"/>
        </w:rPr>
        <w:commentReference w:id="39"/>
      </w:r>
      <w:r w:rsidR="6B291AFB">
        <w:rPr/>
        <w:t xml:space="preserve">, </w:t>
      </w:r>
      <w:commentRangeStart w:id="40"/>
      <w:r w:rsidR="6B291AFB">
        <w:rPr/>
        <w:t>tracking</w:t>
      </w:r>
      <w:commentRangeEnd w:id="40"/>
      <w:r>
        <w:rPr>
          <w:rStyle w:val="CommentReference"/>
        </w:rPr>
        <w:commentReference w:id="40"/>
      </w:r>
      <w:r w:rsidR="6B291AFB">
        <w:rPr/>
        <w:t>? Informujesz SEO/</w:t>
      </w:r>
      <w:commentRangeStart w:id="41"/>
      <w:r w:rsidR="6B291AFB">
        <w:rPr/>
        <w:t>content</w:t>
      </w:r>
      <w:commentRangeEnd w:id="41"/>
      <w:r>
        <w:rPr>
          <w:rStyle w:val="CommentReference"/>
        </w:rPr>
        <w:commentReference w:id="41"/>
      </w:r>
      <w:r w:rsidR="6B291AFB">
        <w:rPr/>
        <w:t>/</w:t>
      </w:r>
      <w:commentRangeStart w:id="42"/>
      <w:r w:rsidR="6B291AFB">
        <w:rPr/>
        <w:t>dev</w:t>
      </w:r>
      <w:commentRangeEnd w:id="42"/>
      <w:r>
        <w:rPr>
          <w:rStyle w:val="CommentReference"/>
        </w:rPr>
        <w:commentReference w:id="42"/>
      </w:r>
      <w:r w:rsidR="6B291AFB">
        <w:rPr/>
        <w:t xml:space="preserve">/finanse. Zespół potrzebuje czegoś od partnera? Ty to załatwiasz. "Pilnowanie, by nic nie zginęło" to </w:t>
      </w:r>
      <w:r w:rsidRPr="6B291AFB" w:rsidR="6B291AFB">
        <w:rPr>
          <w:b w:val="1"/>
          <w:bCs w:val="1"/>
        </w:rPr>
        <w:t>proces i dokumentacja</w:t>
      </w:r>
      <w:r w:rsidR="6B291AFB">
        <w:rPr/>
        <w:t>.</w:t>
      </w:r>
    </w:p>
    <w:p xmlns:wp14="http://schemas.microsoft.com/office/word/2010/wordml" w14:paraId="1BCBF814" wp14:textId="6C168927">
      <w:pPr>
        <w:spacing w:after="120"/>
      </w:pPr>
      <w:r w:rsidRPr="4A73A885" w:rsidR="6B291AFB">
        <w:rPr>
          <w:b w:val="1"/>
          <w:bCs w:val="1"/>
        </w:rPr>
        <w:t xml:space="preserve">Jak </w:t>
      </w:r>
      <w:r w:rsidRPr="4A73A885" w:rsidR="1A819FBA">
        <w:rPr>
          <w:b w:val="1"/>
          <w:bCs w:val="1"/>
        </w:rPr>
        <w:t>reagowa</w:t>
      </w:r>
      <w:r w:rsidRPr="4A73A885" w:rsidR="6B291AFB">
        <w:rPr>
          <w:b w:val="1"/>
          <w:bCs w:val="1"/>
        </w:rPr>
        <w:t>ć:</w:t>
      </w:r>
      <w:r w:rsidR="6B291AFB">
        <w:rPr/>
        <w:t xml:space="preserve"> </w:t>
      </w:r>
      <w:r w:rsidRPr="4A73A885" w:rsidR="6B291AFB">
        <w:rPr>
          <w:i w:val="1"/>
          <w:iCs w:val="1"/>
        </w:rPr>
        <w:t xml:space="preserve">"Zakładam jedno </w:t>
      </w:r>
      <w:commentRangeStart w:id="43"/>
      <w:r w:rsidRPr="4A73A885" w:rsidR="6B291AFB">
        <w:rPr>
          <w:i w:val="1"/>
          <w:iCs w:val="1"/>
        </w:rPr>
        <w:t>źródło prawdy</w:t>
      </w:r>
      <w:commentRangeEnd w:id="43"/>
      <w:r>
        <w:rPr>
          <w:rStyle w:val="CommentReference"/>
        </w:rPr>
        <w:commentReference w:id="43"/>
      </w:r>
      <w:r w:rsidRPr="4A73A885" w:rsidR="6B291AFB">
        <w:rPr>
          <w:i w:val="1"/>
          <w:iCs w:val="1"/>
        </w:rPr>
        <w:t>, czyli dokumentację ustaleń (</w:t>
      </w:r>
      <w:commentRangeStart w:id="44"/>
      <w:r w:rsidRPr="4A73A885" w:rsidR="6B291AFB">
        <w:rPr>
          <w:i w:val="1"/>
          <w:iCs w:val="1"/>
        </w:rPr>
        <w:t>Confluence/Notion</w:t>
      </w:r>
      <w:commentRangeEnd w:id="44"/>
      <w:r>
        <w:rPr>
          <w:rStyle w:val="CommentReference"/>
        </w:rPr>
        <w:commentReference w:id="44"/>
      </w:r>
      <w:r w:rsidRPr="4A73A885" w:rsidR="6B291AFB">
        <w:rPr>
          <w:i w:val="1"/>
          <w:iCs w:val="1"/>
        </w:rPr>
        <w:t>), zmiany w warunkach z datą i właścicielem, oraz kanał dla zmian krytycznych. Zmiana stawki lub warunków bonusu trafia od razu do content team, bo wpływa na to, co jest na stronie."</w:t>
      </w:r>
    </w:p>
    <w:p xmlns:wp14="http://schemas.microsoft.com/office/word/2010/wordml" w14:paraId="23518769" wp14:textId="220D6D9C">
      <w:pPr>
        <w:pStyle w:val="Heading3"/>
      </w:pPr>
      <w:r w:rsidR="6B291AFB">
        <w:rPr/>
        <w:t>2.3. Monitoring wyników wyszukiwania pod kątem dotrzymywania ustaleń i zgłaszanie odstępstw</w:t>
      </w:r>
    </w:p>
    <w:p xmlns:wp14="http://schemas.microsoft.com/office/word/2010/wordml" w:rsidP="4A73A885" w14:paraId="230F87F1" wp14:textId="6392150D">
      <w:pPr>
        <w:spacing w:after="120"/>
        <w:rPr>
          <w:b w:val="1"/>
          <w:bCs w:val="1"/>
        </w:rPr>
      </w:pPr>
      <w:r w:rsidRPr="4A73A885" w:rsidR="6B291AFB">
        <w:rPr>
          <w:b w:val="1"/>
          <w:bCs w:val="1"/>
        </w:rPr>
        <w:t xml:space="preserve"> Przykłady:</w:t>
      </w:r>
    </w:p>
    <w:p xmlns:wp14="http://schemas.microsoft.com/office/word/2010/wordml" w14:paraId="050ECF76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>ktoś licytuje na frazy brandowe, które są zakazane w umowie (</w:t>
      </w:r>
      <w:commentRangeStart w:id="48"/>
      <w:r w:rsidR="6B291AFB">
        <w:rPr/>
        <w:t>brand bidding</w:t>
      </w:r>
      <w:commentRangeEnd w:id="48"/>
      <w:r>
        <w:rPr>
          <w:rStyle w:val="CommentReference"/>
        </w:rPr>
        <w:commentReference w:id="48"/>
      </w:r>
      <w:r w:rsidR="6B291AFB">
        <w:rPr/>
        <w:t>),</w:t>
      </w:r>
    </w:p>
    <w:p xmlns:wp14="http://schemas.microsoft.com/office/word/2010/wordml" w14:paraId="01D4B830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>nasze strony lub strony partnera mają niezgodne z umową opisy/oferty,</w:t>
      </w:r>
    </w:p>
    <w:p xmlns:wp14="http://schemas.microsoft.com/office/word/2010/wordml" w14:paraId="1BAC4B90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 xml:space="preserve">inni </w:t>
      </w:r>
      <w:commentRangeStart w:id="49"/>
      <w:r w:rsidR="6B291AFB">
        <w:rPr/>
        <w:t>afiliaci</w:t>
      </w:r>
      <w:commentRangeEnd w:id="49"/>
      <w:r>
        <w:rPr>
          <w:rStyle w:val="CommentReference"/>
        </w:rPr>
        <w:commentReference w:id="49"/>
      </w:r>
      <w:r w:rsidR="6B291AFB">
        <w:rPr/>
        <w:t xml:space="preserve"> prezentują nieaktualne bonusy,</w:t>
      </w:r>
    </w:p>
    <w:p xmlns:wp14="http://schemas.microsoft.com/office/word/2010/wordml" w14:paraId="3AF66624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>reklamy łamią zasady (np. obiecywanie wygranej, brak 18+).</w:t>
      </w:r>
    </w:p>
    <w:p xmlns:wp14="http://schemas.microsoft.com/office/word/2010/wordml" w14:paraId="25D14F54" wp14:textId="77777777">
      <w:pPr>
        <w:spacing w:after="120"/>
      </w:pPr>
      <w:r w:rsidRPr="4A73A885" w:rsidR="6B291AFB">
        <w:rPr>
          <w:b w:val="1"/>
          <w:bCs w:val="1"/>
        </w:rPr>
        <w:t>Jak to robić:</w:t>
      </w:r>
      <w:r w:rsidR="6B291AFB">
        <w:rPr/>
        <w:t xml:space="preserve"> regularna lista </w:t>
      </w:r>
      <w:commentRangeStart w:id="50"/>
      <w:r w:rsidR="6B291AFB">
        <w:rPr/>
        <w:t>fraz kontrolnych</w:t>
      </w:r>
      <w:commentRangeEnd w:id="50"/>
      <w:r>
        <w:rPr>
          <w:rStyle w:val="CommentReference"/>
        </w:rPr>
        <w:commentReference w:id="50"/>
      </w:r>
      <w:r w:rsidR="6B291AFB">
        <w:rPr/>
        <w:t xml:space="preserve">, zrzuty ekranu z datą, arkusz odstępstw (data, fraza, </w:t>
      </w:r>
      <w:commentRangeStart w:id="51"/>
      <w:r w:rsidR="6B291AFB">
        <w:rPr/>
        <w:t>URL</w:t>
      </w:r>
      <w:commentRangeEnd w:id="51"/>
      <w:r>
        <w:rPr>
          <w:rStyle w:val="CommentReference"/>
        </w:rPr>
        <w:commentReference w:id="51"/>
      </w:r>
      <w:r w:rsidR="6B291AFB">
        <w:rPr/>
        <w:t xml:space="preserve">, co naruszono, status), </w:t>
      </w:r>
      <w:commentRangeStart w:id="52"/>
      <w:r w:rsidR="6B291AFB">
        <w:rPr/>
        <w:t>eskalacja</w:t>
      </w:r>
      <w:commentRangeEnd w:id="52"/>
      <w:r>
        <w:rPr>
          <w:rStyle w:val="CommentReference"/>
        </w:rPr>
        <w:commentReference w:id="52"/>
      </w:r>
      <w:r w:rsidR="6B291AFB">
        <w:rPr/>
        <w:t xml:space="preserve"> do partnera z dowodami.</w:t>
      </w:r>
    </w:p>
    <w:p xmlns:wp14="http://schemas.microsoft.com/office/word/2010/wordml" w14:paraId="7F682A6A" wp14:textId="77C98D15">
      <w:pPr>
        <w:pStyle w:val="Heading3"/>
      </w:pPr>
      <w:r w:rsidR="6B291AFB">
        <w:rPr/>
        <w:t>2.4. Weryfikacja i uzgadnianie sald, monitoring należności</w:t>
      </w:r>
    </w:p>
    <w:p xmlns:wp14="http://schemas.microsoft.com/office/word/2010/wordml" w14:paraId="2D0A55D1" wp14:textId="77777777">
      <w:pPr>
        <w:spacing w:after="120"/>
      </w:pPr>
      <w:r w:rsidRPr="6B291AFB" w:rsidR="6B291AFB">
        <w:rPr>
          <w:b w:val="1"/>
          <w:bCs w:val="1"/>
        </w:rPr>
        <w:t>Co to jest:</w:t>
      </w:r>
      <w:r w:rsidR="6B291AFB">
        <w:rPr/>
        <w:t xml:space="preserve"> </w:t>
      </w:r>
      <w:commentRangeStart w:id="53"/>
      <w:r w:rsidR="6B291AFB">
        <w:rPr/>
        <w:t>reconciliation</w:t>
      </w:r>
      <w:commentRangeEnd w:id="53"/>
      <w:r>
        <w:rPr>
          <w:rStyle w:val="CommentReference"/>
        </w:rPr>
        <w:commentReference w:id="53"/>
      </w:r>
      <w:r w:rsidR="6B291AFB">
        <w:rPr/>
        <w:t xml:space="preserve">. Bukmacher wysyła raport prowizji, a my porównujemy go z własnymi danymi (liczba </w:t>
      </w:r>
      <w:commentRangeStart w:id="54"/>
      <w:r w:rsidR="6B291AFB">
        <w:rPr/>
        <w:t>FTD</w:t>
      </w:r>
      <w:commentRangeEnd w:id="54"/>
      <w:r>
        <w:rPr>
          <w:rStyle w:val="CommentReference"/>
        </w:rPr>
        <w:commentReference w:id="54"/>
      </w:r>
      <w:r w:rsidR="6B291AFB">
        <w:rPr/>
        <w:t xml:space="preserve">, </w:t>
      </w:r>
      <w:commentRangeStart w:id="55"/>
      <w:r w:rsidR="6B291AFB">
        <w:rPr/>
        <w:t>NGR</w:t>
      </w:r>
      <w:commentRangeEnd w:id="55"/>
      <w:r>
        <w:rPr>
          <w:rStyle w:val="CommentReference"/>
        </w:rPr>
        <w:commentReference w:id="55"/>
      </w:r>
      <w:r w:rsidR="6B291AFB">
        <w:rPr/>
        <w:t xml:space="preserve">, wyliczenie prowizji). Różnice wyjaśniamy. Potem wystawiamy fakturę, pilnujemy płatności i </w:t>
      </w:r>
      <w:r w:rsidRPr="6B291AFB" w:rsidR="6B291AFB">
        <w:rPr>
          <w:b w:val="1"/>
          <w:bCs w:val="1"/>
        </w:rPr>
        <w:t>terminów (</w:t>
      </w:r>
      <w:commentRangeStart w:id="56"/>
      <w:r w:rsidRPr="6B291AFB" w:rsidR="6B291AFB">
        <w:rPr>
          <w:b w:val="1"/>
          <w:bCs w:val="1"/>
        </w:rPr>
        <w:t>aging</w:t>
      </w:r>
      <w:commentRangeEnd w:id="56"/>
      <w:r>
        <w:rPr>
          <w:rStyle w:val="CommentReference"/>
        </w:rPr>
        <w:commentReference w:id="56"/>
      </w:r>
      <w:r w:rsidRPr="6B291AFB" w:rsidR="6B291AFB">
        <w:rPr>
          <w:b w:val="1"/>
          <w:bCs w:val="1"/>
        </w:rPr>
        <w:t>)</w:t>
      </w:r>
      <w:r w:rsidR="6B291AFB">
        <w:rPr/>
        <w:t>.</w:t>
      </w:r>
    </w:p>
    <w:p xmlns:wp14="http://schemas.microsoft.com/office/word/2010/wordml" w14:paraId="020F96F0" wp14:textId="77777777">
      <w:pPr>
        <w:spacing w:after="120"/>
      </w:pPr>
      <w:r w:rsidRPr="6B291AFB" w:rsidR="6B291AFB">
        <w:rPr>
          <w:b w:val="1"/>
          <w:bCs w:val="1"/>
        </w:rPr>
        <w:t>Proces krok po kroku:</w:t>
      </w:r>
    </w:p>
    <w:p xmlns:wp14="http://schemas.microsoft.com/office/word/2010/wordml" w14:paraId="5542315E" wp14:textId="77777777">
      <w:pPr>
        <w:pStyle w:val="ListParagraph"/>
        <w:numPr>
          <w:ilvl w:val="0"/>
          <w:numId w:val="4"/>
        </w:numPr>
        <w:spacing w:after="60"/>
        <w:rPr/>
      </w:pPr>
      <w:r w:rsidR="6B291AFB">
        <w:rPr/>
        <w:t xml:space="preserve">Pobierz raport z </w:t>
      </w:r>
      <w:commentRangeStart w:id="57"/>
      <w:r w:rsidR="6B291AFB">
        <w:rPr/>
        <w:t>panelu partnerskiego</w:t>
      </w:r>
      <w:commentRangeEnd w:id="57"/>
      <w:r>
        <w:rPr>
          <w:rStyle w:val="CommentReference"/>
        </w:rPr>
        <w:commentReference w:id="57"/>
      </w:r>
      <w:r w:rsidR="6B291AFB">
        <w:rPr/>
        <w:t xml:space="preserve"> (np. </w:t>
      </w:r>
      <w:commentRangeStart w:id="58"/>
      <w:r w:rsidR="6B291AFB">
        <w:rPr/>
        <w:t>Income Access, MyAffiliates</w:t>
      </w:r>
      <w:commentRangeEnd w:id="58"/>
      <w:r>
        <w:rPr>
          <w:rStyle w:val="CommentReference"/>
        </w:rPr>
        <w:commentReference w:id="58"/>
      </w:r>
      <w:r w:rsidR="6B291AFB">
        <w:rPr/>
        <w:t>, własny system bukmachera).</w:t>
      </w:r>
    </w:p>
    <w:p xmlns:wp14="http://schemas.microsoft.com/office/word/2010/wordml" w14:paraId="18D84A63" wp14:textId="77777777">
      <w:pPr>
        <w:pStyle w:val="ListParagraph"/>
        <w:numPr>
          <w:ilvl w:val="0"/>
          <w:numId w:val="4"/>
        </w:numPr>
        <w:spacing w:after="60"/>
        <w:rPr/>
      </w:pPr>
      <w:r w:rsidR="6B291AFB">
        <w:rPr/>
        <w:t xml:space="preserve">Porównaj ze swoimi danymi: FTD, NGR, stawki, odliczenia (bonusy, </w:t>
      </w:r>
      <w:commentRangeStart w:id="59"/>
      <w:r w:rsidR="6B291AFB">
        <w:rPr/>
        <w:t>negative carryover</w:t>
      </w:r>
      <w:commentRangeEnd w:id="59"/>
      <w:r>
        <w:rPr>
          <w:rStyle w:val="CommentReference"/>
        </w:rPr>
        <w:commentReference w:id="59"/>
      </w:r>
      <w:r w:rsidR="6B291AFB">
        <w:rPr/>
        <w:t>, podatki).</w:t>
      </w:r>
    </w:p>
    <w:p xmlns:wp14="http://schemas.microsoft.com/office/word/2010/wordml" w14:paraId="20B00323" wp14:textId="77777777">
      <w:pPr>
        <w:pStyle w:val="ListParagraph"/>
        <w:numPr>
          <w:ilvl w:val="0"/>
          <w:numId w:val="4"/>
        </w:numPr>
        <w:spacing w:after="60"/>
        <w:rPr/>
      </w:pPr>
      <w:r w:rsidR="6B291AFB">
        <w:rPr/>
        <w:t xml:space="preserve">Znajdź rozbieżności (brakujące FTD, inne </w:t>
      </w:r>
      <w:commentRangeStart w:id="60"/>
      <w:r w:rsidR="6B291AFB">
        <w:rPr/>
        <w:t>okno atrybucji</w:t>
      </w:r>
      <w:commentRangeEnd w:id="60"/>
      <w:r>
        <w:rPr>
          <w:rStyle w:val="CommentReference"/>
        </w:rPr>
        <w:commentReference w:id="60"/>
      </w:r>
      <w:r w:rsidR="6B291AFB">
        <w:rPr/>
        <w:t>, odrzucone konwersje).</w:t>
      </w:r>
    </w:p>
    <w:p xmlns:wp14="http://schemas.microsoft.com/office/word/2010/wordml" w14:paraId="58100BE4" wp14:textId="77777777">
      <w:pPr>
        <w:pStyle w:val="ListParagraph"/>
        <w:numPr>
          <w:ilvl w:val="0"/>
          <w:numId w:val="4"/>
        </w:numPr>
        <w:spacing w:after="60"/>
        <w:rPr/>
      </w:pPr>
      <w:r w:rsidR="6B291AFB">
        <w:rPr/>
        <w:t>Wyślij uzasadnienie partnerowi, uzgodnij finalną kwotę.</w:t>
      </w:r>
    </w:p>
    <w:p xmlns:wp14="http://schemas.microsoft.com/office/word/2010/wordml" w14:paraId="14EFDF43" wp14:textId="77777777">
      <w:pPr>
        <w:pStyle w:val="ListParagraph"/>
        <w:numPr>
          <w:ilvl w:val="0"/>
          <w:numId w:val="4"/>
        </w:numPr>
        <w:spacing w:after="60"/>
        <w:rPr/>
      </w:pPr>
      <w:r w:rsidR="6B291AFB">
        <w:rPr/>
        <w:t xml:space="preserve">Faktura, termin płatności, </w:t>
      </w:r>
      <w:commentRangeStart w:id="61"/>
      <w:r w:rsidR="6B291AFB">
        <w:rPr/>
        <w:t>follow-up</w:t>
      </w:r>
      <w:commentRangeEnd w:id="61"/>
      <w:r>
        <w:rPr>
          <w:rStyle w:val="CommentReference"/>
        </w:rPr>
        <w:commentReference w:id="61"/>
      </w:r>
      <w:r w:rsidR="6B291AFB">
        <w:rPr/>
        <w:t xml:space="preserve"> przy opóźnieniu.</w:t>
      </w:r>
    </w:p>
    <w:p xmlns:wp14="http://schemas.microsoft.com/office/word/2010/wordml" w14:paraId="6C00564F" wp14:textId="77777777">
      <w:pPr>
        <w:spacing w:after="120"/>
      </w:pPr>
      <w:r w:rsidRPr="6B291AFB" w:rsidR="6B291AFB">
        <w:rPr>
          <w:b w:val="1"/>
          <w:bCs w:val="1"/>
        </w:rPr>
        <w:t>Kluczowe pojęcia:</w:t>
      </w:r>
    </w:p>
    <w:p xmlns:wp14="http://schemas.microsoft.com/office/word/2010/wordml" w14:paraId="569CE93B" wp14:textId="77777777">
      <w:pPr>
        <w:pStyle w:val="ListParagraph"/>
        <w:numPr>
          <w:ilvl w:val="0"/>
          <w:numId w:val="2"/>
        </w:numPr>
        <w:spacing w:after="60"/>
        <w:rPr/>
      </w:pPr>
      <w:r w:rsidRPr="6B291AFB" w:rsidR="6B291AFB">
        <w:rPr>
          <w:b w:val="1"/>
          <w:bCs w:val="1"/>
        </w:rPr>
        <w:t>Negative carryover</w:t>
      </w:r>
      <w:r w:rsidR="6B291AFB">
        <w:rPr/>
        <w:t xml:space="preserve"> (przeniesienie ujemnego </w:t>
      </w:r>
      <w:commentRangeStart w:id="62"/>
      <w:r w:rsidR="6B291AFB">
        <w:rPr/>
        <w:t>salda</w:t>
      </w:r>
      <w:commentRangeEnd w:id="62"/>
      <w:r>
        <w:rPr>
          <w:rStyle w:val="CommentReference"/>
        </w:rPr>
        <w:commentReference w:id="62"/>
      </w:r>
      <w:r w:rsidR="6B291AFB">
        <w:rPr/>
        <w:t>): jeśli gracze wygrali więcej niż przegrali, ujemny wynik może być przenoszony na kolejny okres i pomniejszać prowizję. Częsty punkt sporu.</w:t>
      </w:r>
    </w:p>
    <w:p xmlns:wp14="http://schemas.microsoft.com/office/word/2010/wordml" w14:paraId="08162E26" wp14:textId="77777777">
      <w:pPr>
        <w:pStyle w:val="ListParagraph"/>
        <w:numPr>
          <w:ilvl w:val="0"/>
          <w:numId w:val="2"/>
        </w:numPr>
        <w:spacing w:after="60"/>
        <w:rPr/>
      </w:pPr>
      <w:commentRangeStart w:id="63"/>
      <w:r w:rsidRPr="6B291AFB" w:rsidR="6B291AFB">
        <w:rPr>
          <w:b w:val="1"/>
          <w:bCs w:val="1"/>
        </w:rPr>
        <w:t>Chargebacki i fraud</w:t>
      </w:r>
      <w:commentRangeEnd w:id="63"/>
      <w:r>
        <w:rPr>
          <w:rStyle w:val="CommentReference"/>
        </w:rPr>
        <w:commentReference w:id="63"/>
      </w:r>
      <w:r w:rsidRPr="6B291AFB" w:rsidR="6B291AFB">
        <w:rPr>
          <w:b w:val="1"/>
          <w:bCs w:val="1"/>
        </w:rPr>
        <w:t>:</w:t>
      </w:r>
      <w:r w:rsidR="6B291AFB">
        <w:rPr/>
        <w:t xml:space="preserve"> FTD odrzucone przez partnera.</w:t>
      </w:r>
    </w:p>
    <w:p xmlns:wp14="http://schemas.microsoft.com/office/word/2010/wordml" w14:paraId="6FE2C171" wp14:textId="77777777">
      <w:pPr>
        <w:pStyle w:val="ListParagraph"/>
        <w:numPr>
          <w:ilvl w:val="0"/>
          <w:numId w:val="2"/>
        </w:numPr>
        <w:spacing w:after="60"/>
        <w:rPr/>
      </w:pPr>
      <w:commentRangeStart w:id="64"/>
      <w:r w:rsidRPr="6B291AFB" w:rsidR="6B291AFB">
        <w:rPr>
          <w:b w:val="1"/>
          <w:bCs w:val="1"/>
        </w:rPr>
        <w:t>Ryzyko kursowe</w:t>
      </w:r>
      <w:commentRangeEnd w:id="64"/>
      <w:r>
        <w:rPr>
          <w:rStyle w:val="CommentReference"/>
        </w:rPr>
        <w:commentReference w:id="64"/>
      </w:r>
      <w:r w:rsidR="6B291AFB">
        <w:rPr/>
        <w:t>, gdy rozliczenia są w EUR/USD (rynki zagraniczne).</w:t>
      </w:r>
    </w:p>
    <w:p xmlns:wp14="http://schemas.microsoft.com/office/word/2010/wordml" w14:paraId="74D4A46E" wp14:textId="77777777">
      <w:pPr>
        <w:pStyle w:val="ListParagraph"/>
        <w:numPr>
          <w:ilvl w:val="0"/>
          <w:numId w:val="2"/>
        </w:numPr>
        <w:spacing w:after="60"/>
        <w:rPr/>
      </w:pPr>
      <w:commentRangeStart w:id="65"/>
      <w:r w:rsidRPr="4A73A885" w:rsidR="6B291AFB">
        <w:rPr>
          <w:b w:val="1"/>
          <w:bCs w:val="1"/>
        </w:rPr>
        <w:t>Należności</w:t>
      </w:r>
      <w:commentRangeEnd w:id="65"/>
      <w:r>
        <w:rPr>
          <w:rStyle w:val="CommentReference"/>
        </w:rPr>
        <w:commentReference w:id="65"/>
      </w:r>
      <w:r w:rsidRPr="4A73A885" w:rsidR="6B291AFB">
        <w:rPr>
          <w:b w:val="1"/>
          <w:bCs w:val="1"/>
        </w:rPr>
        <w:t xml:space="preserve"> przeterminowane (aging):</w:t>
      </w:r>
      <w:r w:rsidR="6B291AFB">
        <w:rPr/>
        <w:t xml:space="preserve"> 0–30, 31–60, 60+ dni. Eskalacja przy dłuższym opóźnieniu.</w:t>
      </w:r>
    </w:p>
    <w:p xmlns:wp14="http://schemas.microsoft.com/office/word/2010/wordml" w14:paraId="7DDF23DD" wp14:textId="437DB342">
      <w:pPr>
        <w:pStyle w:val="Heading3"/>
      </w:pPr>
      <w:r w:rsidR="6B291AFB">
        <w:rPr/>
        <w:t>2.5. Analiza danych: kohorty, LTV, payback period, jakość ruchu</w:t>
      </w:r>
    </w:p>
    <w:p xmlns:wp14="http://schemas.microsoft.com/office/word/2010/wordml" w:rsidP="4A73A885" w14:paraId="2AB603CD" wp14:textId="21F5D43A">
      <w:pPr>
        <w:pStyle w:val="Normal"/>
        <w:spacing w:after="120"/>
      </w:pPr>
      <w:r w:rsidRPr="4A73A885" w:rsidR="6B291AFB">
        <w:rPr>
          <w:b w:val="1"/>
          <w:bCs w:val="1"/>
        </w:rPr>
        <w:t>Definicje i wzory:</w:t>
      </w:r>
    </w:p>
    <w:p xmlns:wp14="http://schemas.microsoft.com/office/word/2010/wordml" w14:paraId="689805C6" wp14:textId="77777777">
      <w:pPr>
        <w:pStyle w:val="ListParagraph"/>
        <w:numPr>
          <w:ilvl w:val="0"/>
          <w:numId w:val="2"/>
        </w:numPr>
        <w:spacing w:after="60"/>
        <w:rPr/>
      </w:pPr>
      <w:commentRangeStart w:id="67"/>
      <w:r w:rsidRPr="6B291AFB" w:rsidR="6B291AFB">
        <w:rPr>
          <w:b w:val="1"/>
          <w:bCs w:val="1"/>
        </w:rPr>
        <w:t>Kohorta</w:t>
      </w:r>
      <w:commentRangeEnd w:id="67"/>
      <w:r>
        <w:rPr>
          <w:rStyle w:val="CommentReference"/>
        </w:rPr>
        <w:commentReference w:id="67"/>
      </w:r>
      <w:r w:rsidRPr="6B291AFB" w:rsidR="6B291AFB">
        <w:rPr>
          <w:b w:val="1"/>
          <w:bCs w:val="1"/>
        </w:rPr>
        <w:t>:</w:t>
      </w:r>
      <w:r w:rsidR="6B291AFB">
        <w:rPr/>
        <w:t xml:space="preserve"> grupa graczy zarejestrowanych/wpłacających w tym samym okresie (np. FTD ze stycznia), śledzona w czasie. Pokazuje, jak zmienia się retencja i przychód w kolejnych miesiącach.</w:t>
      </w:r>
    </w:p>
    <w:p xmlns:wp14="http://schemas.microsoft.com/office/word/2010/wordml" w14:paraId="7943FC14" wp14:textId="77777777">
      <w:pPr>
        <w:pStyle w:val="ListParagraph"/>
        <w:numPr>
          <w:ilvl w:val="0"/>
          <w:numId w:val="2"/>
        </w:numPr>
        <w:spacing w:after="60"/>
        <w:rPr/>
      </w:pPr>
      <w:commentRangeStart w:id="68"/>
      <w:r w:rsidRPr="6B291AFB" w:rsidR="6B291AFB">
        <w:rPr>
          <w:b w:val="1"/>
          <w:bCs w:val="1"/>
        </w:rPr>
        <w:t>LTV</w:t>
      </w:r>
      <w:commentRangeEnd w:id="68"/>
      <w:r>
        <w:rPr>
          <w:rStyle w:val="CommentReference"/>
        </w:rPr>
        <w:commentReference w:id="68"/>
      </w:r>
      <w:r w:rsidRPr="6B291AFB" w:rsidR="6B291AFB">
        <w:rPr>
          <w:b w:val="1"/>
          <w:bCs w:val="1"/>
        </w:rPr>
        <w:t xml:space="preserve"> (lifetime value):</w:t>
      </w:r>
      <w:r w:rsidR="6B291AFB">
        <w:rPr/>
        <w:t xml:space="preserve"> łączny przychód (zwykle NGR) wygenerowany przez gracza w całym "życiu". Praktycznie: suma NGR kohorty / liczba FTD w kohorcie w danym </w:t>
      </w:r>
      <w:commentRangeStart w:id="69"/>
      <w:r w:rsidR="6B291AFB">
        <w:rPr/>
        <w:t>horyzoncie</w:t>
      </w:r>
      <w:commentRangeEnd w:id="69"/>
      <w:r>
        <w:rPr>
          <w:rStyle w:val="CommentReference"/>
        </w:rPr>
        <w:commentReference w:id="69"/>
      </w:r>
      <w:r w:rsidR="6B291AFB">
        <w:rPr/>
        <w:t xml:space="preserve"> (np. LTV 6M, 12M). Dla afilianta: LTV mierzymy jako </w:t>
      </w:r>
      <w:r w:rsidRPr="6B291AFB" w:rsidR="6B291AFB">
        <w:rPr>
          <w:b w:val="1"/>
          <w:bCs w:val="1"/>
        </w:rPr>
        <w:t>naszą prowizję</w:t>
      </w:r>
      <w:r w:rsidR="6B291AFB">
        <w:rPr/>
        <w:t xml:space="preserve"> na gracza.</w:t>
      </w:r>
    </w:p>
    <w:p xmlns:wp14="http://schemas.microsoft.com/office/word/2010/wordml" w14:paraId="48683A7C" wp14:textId="77777777">
      <w:pPr>
        <w:pStyle w:val="ListParagraph"/>
        <w:numPr>
          <w:ilvl w:val="0"/>
          <w:numId w:val="2"/>
        </w:numPr>
        <w:spacing w:after="60"/>
        <w:rPr/>
      </w:pPr>
      <w:commentRangeStart w:id="70"/>
      <w:r w:rsidRPr="6B291AFB" w:rsidR="6B291AFB">
        <w:rPr>
          <w:b w:val="1"/>
          <w:bCs w:val="1"/>
        </w:rPr>
        <w:t>Payback period</w:t>
      </w:r>
      <w:commentRangeEnd w:id="70"/>
      <w:r>
        <w:rPr>
          <w:rStyle w:val="CommentReference"/>
        </w:rPr>
        <w:commentReference w:id="70"/>
      </w:r>
      <w:r w:rsidRPr="6B291AFB" w:rsidR="6B291AFB">
        <w:rPr>
          <w:b w:val="1"/>
          <w:bCs w:val="1"/>
        </w:rPr>
        <w:t>:</w:t>
      </w:r>
      <w:r w:rsidR="6B291AFB">
        <w:rPr/>
        <w:t xml:space="preserve"> czas, po którym </w:t>
      </w:r>
      <w:commentRangeStart w:id="71"/>
      <w:r w:rsidR="6B291AFB">
        <w:rPr/>
        <w:t>skumulowany</w:t>
      </w:r>
      <w:commentRangeEnd w:id="71"/>
      <w:r>
        <w:rPr>
          <w:rStyle w:val="CommentReference"/>
        </w:rPr>
        <w:commentReference w:id="71"/>
      </w:r>
      <w:r w:rsidR="6B291AFB">
        <w:rPr/>
        <w:t xml:space="preserve"> zysk z kohorty pokrywa koszt jej pozyskania. Dla afilianta koszt to np. koszt ruchu/treści/linków przypadający na FTD. Dla operatora koszt to CPA.</w:t>
      </w:r>
    </w:p>
    <w:p xmlns:wp14="http://schemas.microsoft.com/office/word/2010/wordml" w14:paraId="500E3FE7" wp14:textId="77777777">
      <w:pPr>
        <w:pStyle w:val="ListParagraph"/>
        <w:numPr>
          <w:ilvl w:val="0"/>
          <w:numId w:val="2"/>
        </w:numPr>
        <w:spacing w:after="60"/>
        <w:rPr/>
      </w:pPr>
      <w:r w:rsidRPr="6B291AFB" w:rsidR="6B291AFB">
        <w:rPr>
          <w:b w:val="1"/>
          <w:bCs w:val="1"/>
        </w:rPr>
        <w:t>Jakość ruchu:</w:t>
      </w:r>
      <w:r w:rsidR="6B291AFB">
        <w:rPr/>
        <w:t xml:space="preserve"> konwersja klik→rejestracja→FTD, % graczy aktywnych po 30/90 dni, średnia wpłata, udział bonus hunterów, </w:t>
      </w:r>
      <w:commentRangeStart w:id="72"/>
      <w:r w:rsidR="6B291AFB">
        <w:rPr/>
        <w:t>geo</w:t>
      </w:r>
      <w:commentRangeEnd w:id="72"/>
      <w:r>
        <w:rPr>
          <w:rStyle w:val="CommentReference"/>
        </w:rPr>
        <w:commentReference w:id="72"/>
      </w:r>
      <w:r w:rsidR="6B291AFB">
        <w:rPr/>
        <w:t>, urządzenie, źródło.</w:t>
      </w:r>
    </w:p>
    <w:p xmlns:wp14="http://schemas.microsoft.com/office/word/2010/wordml" w14:paraId="5C5EC287" wp14:textId="77777777">
      <w:pPr>
        <w:pStyle w:val="ListParagraph"/>
        <w:numPr>
          <w:ilvl w:val="0"/>
          <w:numId w:val="2"/>
        </w:numPr>
        <w:spacing w:after="60"/>
        <w:rPr/>
      </w:pPr>
      <w:commentRangeStart w:id="73"/>
      <w:r w:rsidRPr="6B291AFB" w:rsidR="6B291AFB">
        <w:rPr>
          <w:b w:val="1"/>
          <w:bCs w:val="1"/>
        </w:rPr>
        <w:t>Churn</w:t>
      </w:r>
      <w:commentRangeEnd w:id="73"/>
      <w:r>
        <w:rPr>
          <w:rStyle w:val="CommentReference"/>
        </w:rPr>
        <w:commentReference w:id="73"/>
      </w:r>
      <w:r w:rsidRPr="6B291AFB" w:rsidR="6B291AFB">
        <w:rPr>
          <w:b w:val="1"/>
          <w:bCs w:val="1"/>
        </w:rPr>
        <w:t>:</w:t>
      </w:r>
      <w:r w:rsidR="6B291AFB">
        <w:rPr/>
        <w:t xml:space="preserve"> % graczy, którzy przestali grać w danym okresie.</w:t>
      </w:r>
    </w:p>
    <w:p xmlns:wp14="http://schemas.microsoft.com/office/word/2010/wordml" w14:paraId="0F3FBEB2" wp14:textId="77777777">
      <w:pPr>
        <w:spacing w:after="120"/>
      </w:pPr>
      <w:r w:rsidRPr="6B291AFB" w:rsidR="6B291AFB">
        <w:rPr>
          <w:b w:val="1"/>
          <w:bCs w:val="1"/>
        </w:rPr>
        <w:t>Jak "wyciągać wnioski":</w:t>
      </w:r>
    </w:p>
    <w:p xmlns:wp14="http://schemas.microsoft.com/office/word/2010/wordml" w14:paraId="5BD3190B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>Źródło A ma 2× niższą konwersję, ale 2× wyższy LTV → nie wolno oceniać wyłącznie po FTD.</w:t>
      </w:r>
    </w:p>
    <w:p xmlns:wp14="http://schemas.microsoft.com/office/word/2010/wordml" w14:paraId="26A72011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>Kohorty z promocji bonusowych mają wysoką rejestrację, ale szybki churn → lepiej negocjować RevShare/hybrydę niż CPA albo odwrotnie, zależnie od LTV.</w:t>
      </w:r>
    </w:p>
    <w:p xmlns:wp14="http://schemas.microsoft.com/office/word/2010/wordml" w14:paraId="060F1C7C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>Spadek NGR po turnieju to sezonowość, a nie problem jakości → w forecaście trzeba to uwzględnić.</w:t>
      </w:r>
    </w:p>
    <w:p xmlns:wp14="http://schemas.microsoft.com/office/word/2010/wordml" w14:paraId="050D5436" wp14:textId="26848E0D">
      <w:pPr>
        <w:spacing w:after="120"/>
      </w:pPr>
      <w:r w:rsidRPr="4A73A885" w:rsidR="6B291AFB">
        <w:rPr>
          <w:b w:val="1"/>
          <w:bCs w:val="1"/>
        </w:rPr>
        <w:t>Narzędzia:</w:t>
      </w:r>
      <w:r w:rsidR="6B291AFB">
        <w:rPr/>
        <w:t xml:space="preserve"> </w:t>
      </w:r>
      <w:commentRangeStart w:id="74"/>
      <w:r w:rsidR="6B291AFB">
        <w:rPr/>
        <w:t>Google Sheets</w:t>
      </w:r>
      <w:commentRangeEnd w:id="74"/>
      <w:r>
        <w:rPr>
          <w:rStyle w:val="CommentReference"/>
        </w:rPr>
        <w:commentReference w:id="74"/>
      </w:r>
      <w:r w:rsidR="6B291AFB">
        <w:rPr/>
        <w:t xml:space="preserve"> (</w:t>
      </w:r>
      <w:commentRangeStart w:id="75"/>
      <w:r w:rsidR="6B291AFB">
        <w:rPr/>
        <w:t>tabele przestawne</w:t>
      </w:r>
      <w:commentRangeEnd w:id="75"/>
      <w:r>
        <w:rPr>
          <w:rStyle w:val="CommentReference"/>
        </w:rPr>
        <w:commentReference w:id="75"/>
      </w:r>
      <w:r w:rsidR="6B291AFB">
        <w:rPr/>
        <w:t xml:space="preserve">, </w:t>
      </w:r>
      <w:commentRangeStart w:id="76"/>
      <w:r w:rsidR="6B291AFB">
        <w:rPr/>
        <w:t>QUERY</w:t>
      </w:r>
      <w:commentRangeEnd w:id="76"/>
      <w:r>
        <w:rPr>
          <w:rStyle w:val="CommentReference"/>
        </w:rPr>
        <w:commentReference w:id="76"/>
      </w:r>
      <w:r w:rsidR="6B291AFB">
        <w:rPr/>
        <w:t xml:space="preserve">, </w:t>
      </w:r>
      <w:commentRangeStart w:id="77"/>
      <w:r w:rsidR="6B291AFB">
        <w:rPr/>
        <w:t>ARRAYFORMULA</w:t>
      </w:r>
      <w:commentRangeEnd w:id="77"/>
      <w:r>
        <w:rPr>
          <w:rStyle w:val="CommentReference"/>
        </w:rPr>
        <w:commentReference w:id="77"/>
      </w:r>
      <w:r w:rsidR="6B291AFB">
        <w:rPr/>
        <w:t xml:space="preserve">, </w:t>
      </w:r>
      <w:commentRangeStart w:id="78"/>
      <w:r w:rsidR="6B291AFB">
        <w:rPr/>
        <w:t>VLOOKUP/XLOOKUP</w:t>
      </w:r>
      <w:commentRangeEnd w:id="78"/>
      <w:r>
        <w:rPr>
          <w:rStyle w:val="CommentReference"/>
        </w:rPr>
        <w:commentReference w:id="78"/>
      </w:r>
      <w:r w:rsidR="6B291AFB">
        <w:rPr/>
        <w:t xml:space="preserve">, </w:t>
      </w:r>
      <w:commentRangeStart w:id="79"/>
      <w:r w:rsidR="6B291AFB">
        <w:rPr/>
        <w:t>SUMIFS</w:t>
      </w:r>
      <w:commentRangeEnd w:id="79"/>
      <w:r>
        <w:rPr>
          <w:rStyle w:val="CommentReference"/>
        </w:rPr>
        <w:commentReference w:id="79"/>
      </w:r>
      <w:r w:rsidR="6B291AFB">
        <w:rPr/>
        <w:t xml:space="preserve">), ewentualnie </w:t>
      </w:r>
      <w:commentRangeStart w:id="80"/>
      <w:r w:rsidR="6B291AFB">
        <w:rPr/>
        <w:t>SQL</w:t>
      </w:r>
      <w:commentRangeEnd w:id="80"/>
      <w:r>
        <w:rPr>
          <w:rStyle w:val="CommentReference"/>
        </w:rPr>
        <w:commentReference w:id="80"/>
      </w:r>
      <w:r w:rsidR="6B291AFB">
        <w:rPr/>
        <w:t xml:space="preserve"> i </w:t>
      </w:r>
      <w:commentRangeStart w:id="81"/>
      <w:r w:rsidR="6B291AFB">
        <w:rPr/>
        <w:t>Looker Studio</w:t>
      </w:r>
      <w:commentRangeEnd w:id="81"/>
      <w:r>
        <w:rPr>
          <w:rStyle w:val="CommentReference"/>
        </w:rPr>
        <w:commentReference w:id="81"/>
      </w:r>
      <w:r w:rsidR="6B291AFB">
        <w:rPr/>
        <w:t xml:space="preserve">. </w:t>
      </w:r>
    </w:p>
    <w:p xmlns:wp14="http://schemas.microsoft.com/office/word/2010/wordml" w14:paraId="6F82C38D" wp14:textId="17EDC960">
      <w:pPr>
        <w:pStyle w:val="Heading3"/>
      </w:pPr>
      <w:r w:rsidR="6B291AFB">
        <w:rPr/>
        <w:t>2.6. Modelowanie rentowności rozliczeń (</w:t>
      </w:r>
      <w:r w:rsidR="6B291AFB">
        <w:rPr/>
        <w:t>RevShare</w:t>
      </w:r>
      <w:r w:rsidR="6B291AFB">
        <w:rPr/>
        <w:t>, CPA, hybrydy)</w:t>
      </w:r>
    </w:p>
    <w:p xmlns:wp14="http://schemas.microsoft.com/office/word/2010/wordml" w14:paraId="54D06871" wp14:textId="77777777">
      <w:pPr>
        <w:spacing w:after="120"/>
      </w:pPr>
      <w:r w:rsidRPr="6B291AFB" w:rsidR="6B291AFB">
        <w:rPr>
          <w:b w:val="1"/>
          <w:bCs w:val="1"/>
        </w:rPr>
        <w:t>Modele:</w:t>
      </w:r>
    </w:p>
    <w:p xmlns:wp14="http://schemas.microsoft.com/office/word/2010/wordml" w14:paraId="51FA761B" wp14:textId="77777777">
      <w:pPr>
        <w:pStyle w:val="ListParagraph"/>
        <w:numPr>
          <w:ilvl w:val="0"/>
          <w:numId w:val="2"/>
        </w:numPr>
        <w:spacing w:after="60"/>
        <w:rPr/>
      </w:pPr>
      <w:commentRangeStart w:id="83"/>
      <w:r w:rsidRPr="6B291AFB" w:rsidR="6B291AFB">
        <w:rPr>
          <w:b w:val="1"/>
          <w:bCs w:val="1"/>
        </w:rPr>
        <w:t>CPA</w:t>
      </w:r>
      <w:commentRangeEnd w:id="83"/>
      <w:r>
        <w:rPr>
          <w:rStyle w:val="CommentReference"/>
        </w:rPr>
        <w:commentReference w:id="83"/>
      </w:r>
      <w:r w:rsidRPr="6B291AFB" w:rsidR="6B291AFB">
        <w:rPr>
          <w:b w:val="1"/>
          <w:bCs w:val="1"/>
        </w:rPr>
        <w:t>:</w:t>
      </w:r>
      <w:r w:rsidR="6B291AFB">
        <w:rPr/>
        <w:t xml:space="preserve"> stała kwota za gracza (</w:t>
      </w:r>
      <w:commentRangeStart w:id="84"/>
      <w:r w:rsidR="6B291AFB">
        <w:rPr/>
        <w:t>FTD</w:t>
      </w:r>
      <w:commentRangeEnd w:id="84"/>
      <w:r>
        <w:rPr>
          <w:rStyle w:val="CommentReference"/>
        </w:rPr>
        <w:commentReference w:id="84"/>
      </w:r>
      <w:r w:rsidR="6B291AFB">
        <w:rPr/>
        <w:t xml:space="preserve">). Ryzyko: operator zyskuje, gdy gracz jest wartościowy, a my dostajemy tylko jednorazowo. Opłaca się przy ruchu o niskim </w:t>
      </w:r>
      <w:commentRangeStart w:id="85"/>
      <w:r w:rsidR="6B291AFB">
        <w:rPr/>
        <w:t>LTV</w:t>
      </w:r>
      <w:commentRangeEnd w:id="85"/>
      <w:r>
        <w:rPr>
          <w:rStyle w:val="CommentReference"/>
        </w:rPr>
        <w:commentReference w:id="85"/>
      </w:r>
      <w:r w:rsidR="6B291AFB">
        <w:rPr/>
        <w:t xml:space="preserve"> i potrzebie szybkiej gotówki.</w:t>
      </w:r>
    </w:p>
    <w:p xmlns:wp14="http://schemas.microsoft.com/office/word/2010/wordml" w14:paraId="1BA298CF" wp14:textId="77777777">
      <w:pPr>
        <w:pStyle w:val="ListParagraph"/>
        <w:numPr>
          <w:ilvl w:val="0"/>
          <w:numId w:val="2"/>
        </w:numPr>
        <w:spacing w:after="60"/>
        <w:rPr/>
      </w:pPr>
      <w:commentRangeStart w:id="86"/>
      <w:r w:rsidRPr="6B291AFB" w:rsidR="6B291AFB">
        <w:rPr>
          <w:b w:val="1"/>
          <w:bCs w:val="1"/>
        </w:rPr>
        <w:t>RevShare</w:t>
      </w:r>
      <w:commentRangeEnd w:id="86"/>
      <w:r>
        <w:rPr>
          <w:rStyle w:val="CommentReference"/>
        </w:rPr>
        <w:commentReference w:id="86"/>
      </w:r>
      <w:r w:rsidRPr="6B291AFB" w:rsidR="6B291AFB">
        <w:rPr>
          <w:b w:val="1"/>
          <w:bCs w:val="1"/>
        </w:rPr>
        <w:t>:</w:t>
      </w:r>
      <w:r w:rsidR="6B291AFB">
        <w:rPr/>
        <w:t xml:space="preserve"> % od </w:t>
      </w:r>
      <w:commentRangeStart w:id="87"/>
      <w:r w:rsidR="6B291AFB">
        <w:rPr/>
        <w:t>NGR</w:t>
      </w:r>
      <w:commentRangeEnd w:id="87"/>
      <w:r>
        <w:rPr>
          <w:rStyle w:val="CommentReference"/>
        </w:rPr>
        <w:commentReference w:id="87"/>
      </w:r>
      <w:r w:rsidR="6B291AFB">
        <w:rPr/>
        <w:t xml:space="preserve"> gracza, zwykle </w:t>
      </w:r>
      <w:commentRangeStart w:id="88"/>
      <w:r w:rsidR="6B291AFB">
        <w:rPr/>
        <w:t>dożywotnio</w:t>
      </w:r>
      <w:commentRangeEnd w:id="88"/>
      <w:r>
        <w:rPr>
          <w:rStyle w:val="CommentReference"/>
        </w:rPr>
        <w:commentReference w:id="88"/>
      </w:r>
      <w:r w:rsidR="6B291AFB">
        <w:rPr/>
        <w:t xml:space="preserve"> lub przez okres. Ryzyko: </w:t>
      </w:r>
      <w:commentRangeStart w:id="89"/>
      <w:r w:rsidR="6B291AFB">
        <w:rPr/>
        <w:t>wolne wpływy</w:t>
      </w:r>
      <w:commentRangeEnd w:id="89"/>
      <w:r>
        <w:rPr>
          <w:rStyle w:val="CommentReference"/>
        </w:rPr>
        <w:commentReference w:id="89"/>
      </w:r>
      <w:r w:rsidR="6B291AFB">
        <w:rPr/>
        <w:t xml:space="preserve"> i wahania wyników (sezonowość, wygrane graczy). Opłaca się przy ruchu o wysokim LTV i budowaniu </w:t>
      </w:r>
      <w:commentRangeStart w:id="90"/>
      <w:r w:rsidR="6B291AFB">
        <w:rPr/>
        <w:t>przychodu cyklicznego</w:t>
      </w:r>
      <w:commentRangeEnd w:id="90"/>
      <w:r>
        <w:rPr>
          <w:rStyle w:val="CommentReference"/>
        </w:rPr>
        <w:commentReference w:id="90"/>
      </w:r>
      <w:r w:rsidR="6B291AFB">
        <w:rPr/>
        <w:t>.</w:t>
      </w:r>
    </w:p>
    <w:p xmlns:wp14="http://schemas.microsoft.com/office/word/2010/wordml" w14:paraId="46FB4E19" wp14:textId="77777777">
      <w:pPr>
        <w:pStyle w:val="ListParagraph"/>
        <w:numPr>
          <w:ilvl w:val="0"/>
          <w:numId w:val="2"/>
        </w:numPr>
        <w:spacing w:after="60"/>
        <w:rPr/>
      </w:pPr>
      <w:commentRangeStart w:id="91"/>
      <w:r w:rsidRPr="6B291AFB" w:rsidR="6B291AFB">
        <w:rPr>
          <w:b w:val="1"/>
          <w:bCs w:val="1"/>
        </w:rPr>
        <w:t>Hybryda</w:t>
      </w:r>
      <w:commentRangeEnd w:id="91"/>
      <w:r>
        <w:rPr>
          <w:rStyle w:val="CommentReference"/>
        </w:rPr>
        <w:commentReference w:id="91"/>
      </w:r>
      <w:r w:rsidRPr="6B291AFB" w:rsidR="6B291AFB">
        <w:rPr>
          <w:b w:val="1"/>
          <w:bCs w:val="1"/>
        </w:rPr>
        <w:t>:</w:t>
      </w:r>
      <w:r w:rsidR="6B291AFB">
        <w:rPr/>
        <w:t xml:space="preserve"> niższe CPA plus niższy RevShare. Kompromis, gdy LTV jest niepewny.</w:t>
      </w:r>
    </w:p>
    <w:p xmlns:wp14="http://schemas.microsoft.com/office/word/2010/wordml" w14:paraId="34142FB7" wp14:textId="0C4A5D61">
      <w:pPr>
        <w:spacing w:after="120"/>
      </w:pPr>
      <w:r w:rsidRPr="4A73A885" w:rsidR="6B291AFB">
        <w:rPr>
          <w:b w:val="1"/>
          <w:bCs w:val="1"/>
        </w:rPr>
        <w:t>Przykład liczbowy:</w:t>
      </w:r>
    </w:p>
    <w:p xmlns:wp14="http://schemas.microsoft.com/office/word/2010/wordml" w14:paraId="41ACBE5E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>Oferta A: CPA 150 zł. Oferta B: RevShare 30% NGR.</w:t>
      </w:r>
    </w:p>
    <w:p xmlns:wp14="http://schemas.microsoft.com/office/word/2010/wordml" w14:paraId="3975BEB5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>Załóżmy NGR na gracza: miesiąc 1 = 60 zł, potem spada przez churn; skumulowany NGR na gracza po 12 miesiącach = 240 zł.</w:t>
      </w:r>
    </w:p>
    <w:p xmlns:wp14="http://schemas.microsoft.com/office/word/2010/wordml" w14:paraId="67F3813B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 xml:space="preserve">RevShare 30% × 240 zł = </w:t>
      </w:r>
      <w:commentRangeStart w:id="92"/>
      <w:r w:rsidRPr="6B291AFB" w:rsidR="6B291AFB">
        <w:rPr>
          <w:b w:val="1"/>
          <w:bCs w:val="1"/>
        </w:rPr>
        <w:t>72 zł</w:t>
      </w:r>
      <w:commentRangeEnd w:id="92"/>
      <w:r>
        <w:rPr>
          <w:rStyle w:val="CommentReference"/>
        </w:rPr>
        <w:commentReference w:id="92"/>
      </w:r>
      <w:r w:rsidR="6B291AFB">
        <w:rPr/>
        <w:t xml:space="preserve"> &lt; 150 zł CPA. Przy tych założeniach CPA jest lepsze dla nas.</w:t>
      </w:r>
    </w:p>
    <w:p xmlns:wp14="http://schemas.microsoft.com/office/word/2010/wordml" w14:paraId="7CD7FC52" wp14:textId="77777777">
      <w:pPr>
        <w:pStyle w:val="ListParagraph"/>
        <w:numPr>
          <w:ilvl w:val="0"/>
          <w:numId w:val="2"/>
        </w:numPr>
        <w:spacing w:after="60"/>
        <w:rPr/>
      </w:pPr>
      <w:commentRangeStart w:id="93"/>
      <w:r w:rsidRPr="6B291AFB" w:rsidR="6B291AFB">
        <w:rPr>
          <w:b w:val="1"/>
          <w:bCs w:val="1"/>
        </w:rPr>
        <w:t>Break-even</w:t>
      </w:r>
      <w:commentRangeEnd w:id="93"/>
      <w:r>
        <w:rPr>
          <w:rStyle w:val="CommentReference"/>
        </w:rPr>
        <w:commentReference w:id="93"/>
      </w:r>
      <w:r w:rsidRPr="6B291AFB" w:rsidR="6B291AFB">
        <w:rPr>
          <w:b w:val="1"/>
          <w:bCs w:val="1"/>
        </w:rPr>
        <w:t>:</w:t>
      </w:r>
      <w:r w:rsidR="6B291AFB">
        <w:rPr/>
        <w:t xml:space="preserve"> 150 / 0,30 = </w:t>
      </w:r>
      <w:commentRangeStart w:id="94"/>
      <w:r w:rsidRPr="6B291AFB" w:rsidR="6B291AFB">
        <w:rPr>
          <w:b w:val="1"/>
          <w:bCs w:val="1"/>
        </w:rPr>
        <w:t>500 zł</w:t>
      </w:r>
      <w:commentRangeEnd w:id="94"/>
      <w:r>
        <w:rPr>
          <w:rStyle w:val="CommentReference"/>
        </w:rPr>
        <w:commentReference w:id="94"/>
      </w:r>
      <w:r w:rsidRPr="6B291AFB" w:rsidR="6B291AFB">
        <w:rPr>
          <w:b w:val="1"/>
          <w:bCs w:val="1"/>
        </w:rPr>
        <w:t xml:space="preserve"> skumulowanego NGR</w:t>
      </w:r>
      <w:r w:rsidR="6B291AFB">
        <w:rPr/>
        <w:t xml:space="preserve"> na gracza. RevShare wygrywa tylko, gdy gracze generują więcej niż 500 zł NGR w horyzoncie.</w:t>
      </w:r>
    </w:p>
    <w:p xmlns:wp14="http://schemas.microsoft.com/office/word/2010/wordml" w14:paraId="73C8E241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 xml:space="preserve">Wniosek: wybór zależy od </w:t>
      </w:r>
      <w:r w:rsidRPr="6B291AFB" w:rsidR="6B291AFB">
        <w:rPr>
          <w:b w:val="1"/>
          <w:bCs w:val="1"/>
        </w:rPr>
        <w:t>LTV i retencji ruchu</w:t>
      </w:r>
      <w:r w:rsidR="6B291AFB">
        <w:rPr/>
        <w:t>. Dlatego analiza kohort jest podstawą negocjacji.</w:t>
      </w:r>
    </w:p>
    <w:p xmlns:wp14="http://schemas.microsoft.com/office/word/2010/wordml" w14:paraId="39CDD261" wp14:textId="77777777">
      <w:pPr>
        <w:spacing w:after="120"/>
      </w:pPr>
      <w:r w:rsidRPr="6B291AFB" w:rsidR="6B291AFB">
        <w:rPr>
          <w:b w:val="1"/>
          <w:bCs w:val="1"/>
        </w:rPr>
        <w:t>Rzeczy do uwzględnienia w modelu:</w:t>
      </w:r>
    </w:p>
    <w:p xmlns:wp14="http://schemas.microsoft.com/office/word/2010/wordml" w14:paraId="2059821B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 xml:space="preserve">Horyzont (6/12/24 miesięcy) i </w:t>
      </w:r>
      <w:commentRangeStart w:id="95"/>
      <w:r w:rsidR="6B291AFB">
        <w:rPr/>
        <w:t>stopa dyskontowa</w:t>
      </w:r>
      <w:commentRangeEnd w:id="95"/>
      <w:r>
        <w:rPr>
          <w:rStyle w:val="CommentReference"/>
        </w:rPr>
        <w:commentReference w:id="95"/>
      </w:r>
      <w:r w:rsidR="6B291AFB">
        <w:rPr/>
        <w:t>/gotówka teraz vs później.</w:t>
      </w:r>
    </w:p>
    <w:p xmlns:wp14="http://schemas.microsoft.com/office/word/2010/wordml" w14:paraId="7C1156AB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>Retencja i churn z kohort historycznych.</w:t>
      </w:r>
    </w:p>
    <w:p xmlns:wp14="http://schemas.microsoft.com/office/word/2010/wordml" w14:paraId="0965FE53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 xml:space="preserve">Odliczenia w definicji NGR (bonusy, podatki, </w:t>
      </w:r>
      <w:commentRangeStart w:id="96"/>
      <w:r w:rsidR="6B291AFB">
        <w:rPr/>
        <w:t>opłaty płatnicze</w:t>
      </w:r>
      <w:commentRangeEnd w:id="96"/>
      <w:r>
        <w:rPr>
          <w:rStyle w:val="CommentReference"/>
        </w:rPr>
        <w:commentReference w:id="96"/>
      </w:r>
      <w:r w:rsidR="6B291AFB">
        <w:rPr/>
        <w:t xml:space="preserve">), a przez nie realna </w:t>
      </w:r>
      <w:commentRangeStart w:id="97"/>
      <w:r w:rsidR="6B291AFB">
        <w:rPr/>
        <w:t>baza RevShare</w:t>
      </w:r>
      <w:commentRangeEnd w:id="97"/>
      <w:r>
        <w:rPr>
          <w:rStyle w:val="CommentReference"/>
        </w:rPr>
        <w:commentReference w:id="97"/>
      </w:r>
      <w:r w:rsidR="6B291AFB">
        <w:rPr/>
        <w:t>.</w:t>
      </w:r>
    </w:p>
    <w:p xmlns:wp14="http://schemas.microsoft.com/office/word/2010/wordml" w14:paraId="4C61358A" wp14:textId="77777777">
      <w:pPr>
        <w:pStyle w:val="ListParagraph"/>
        <w:numPr>
          <w:ilvl w:val="0"/>
          <w:numId w:val="2"/>
        </w:numPr>
        <w:spacing w:after="60"/>
        <w:rPr/>
      </w:pPr>
      <w:commentRangeStart w:id="98"/>
      <w:r w:rsidR="6B291AFB">
        <w:rPr/>
        <w:t>Negative carryover</w:t>
      </w:r>
      <w:commentRangeEnd w:id="98"/>
      <w:r>
        <w:rPr>
          <w:rStyle w:val="CommentReference"/>
        </w:rPr>
        <w:commentReference w:id="98"/>
      </w:r>
      <w:r w:rsidR="6B291AFB">
        <w:rPr/>
        <w:t>.</w:t>
      </w:r>
    </w:p>
    <w:p xmlns:wp14="http://schemas.microsoft.com/office/word/2010/wordml" w14:paraId="09C9007D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>Koszt pozyskania ruchu po naszej stronie (</w:t>
      </w:r>
      <w:commentRangeStart w:id="99"/>
      <w:r w:rsidR="6B291AFB">
        <w:rPr/>
        <w:t>payback</w:t>
      </w:r>
      <w:commentRangeEnd w:id="99"/>
      <w:r>
        <w:rPr>
          <w:rStyle w:val="CommentReference"/>
        </w:rPr>
        <w:commentReference w:id="99"/>
      </w:r>
      <w:r w:rsidR="6B291AFB">
        <w:rPr/>
        <w:t>).</w:t>
      </w:r>
    </w:p>
    <w:p xmlns:wp14="http://schemas.microsoft.com/office/word/2010/wordml" w14:paraId="78394BEB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>Sezonowość sportowa (</w:t>
      </w:r>
      <w:commentRangeStart w:id="100"/>
      <w:r w:rsidR="6B291AFB">
        <w:rPr/>
        <w:t>Euro, mundial</w:t>
      </w:r>
      <w:commentRangeEnd w:id="100"/>
      <w:r>
        <w:rPr>
          <w:rStyle w:val="CommentReference"/>
        </w:rPr>
        <w:commentReference w:id="100"/>
      </w:r>
      <w:r w:rsidR="6B291AFB">
        <w:rPr/>
        <w:t>, liga).</w:t>
      </w:r>
    </w:p>
    <w:p xmlns:wp14="http://schemas.microsoft.com/office/word/2010/wordml" w14:paraId="56F15A43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 xml:space="preserve">Stałe CPA a </w:t>
      </w:r>
      <w:commentRangeStart w:id="101"/>
      <w:r w:rsidRPr="6B291AFB" w:rsidR="6B291AFB">
        <w:rPr>
          <w:b w:val="1"/>
          <w:bCs w:val="1"/>
        </w:rPr>
        <w:t>cap/limity</w:t>
      </w:r>
      <w:commentRangeEnd w:id="101"/>
      <w:r>
        <w:rPr>
          <w:rStyle w:val="CommentReference"/>
        </w:rPr>
        <w:commentReference w:id="101"/>
      </w:r>
      <w:r w:rsidR="6B291AFB">
        <w:rPr/>
        <w:t xml:space="preserve"> i warunki kwalifikacji FTD (min. wpłata, min. liczba zakładów).</w:t>
      </w:r>
    </w:p>
    <w:p xmlns:wp14="http://schemas.microsoft.com/office/word/2010/wordml" w14:paraId="1DF445C2" wp14:textId="5A14DD9E">
      <w:pPr>
        <w:spacing w:after="120"/>
      </w:pPr>
      <w:r w:rsidRPr="4A73A885" w:rsidR="6B291AFB">
        <w:rPr>
          <w:b w:val="1"/>
          <w:bCs w:val="1"/>
        </w:rPr>
        <w:t>Pytanie:</w:t>
      </w:r>
      <w:r w:rsidR="6B291AFB">
        <w:rPr/>
        <w:t xml:space="preserve"> </w:t>
      </w:r>
      <w:r w:rsidRPr="4A73A885" w:rsidR="6B291AFB">
        <w:rPr>
          <w:i w:val="1"/>
          <w:iCs w:val="1"/>
        </w:rPr>
        <w:t>"Jaki model rekomendujesz nowemu partnerowi i dlaczego?"</w:t>
      </w:r>
      <w:r w:rsidR="6B291AFB">
        <w:rPr/>
        <w:t xml:space="preserve"> </w:t>
      </w:r>
      <w:r>
        <w:br/>
      </w:r>
      <w:r w:rsidRPr="4A73A885" w:rsidR="6B291AFB">
        <w:rPr>
          <w:b w:val="1"/>
          <w:bCs w:val="1"/>
        </w:rPr>
        <w:t>Odpowiedź:</w:t>
      </w:r>
      <w:r w:rsidR="6B291AFB">
        <w:rPr/>
        <w:t xml:space="preserve"> </w:t>
      </w:r>
      <w:r w:rsidRPr="4A73A885" w:rsidR="6B291AFB">
        <w:rPr>
          <w:i w:val="1"/>
          <w:iCs w:val="1"/>
        </w:rPr>
        <w:t xml:space="preserve">"Zaczynam od danych o jakości ruchu. Gdy LTV jest niepewny, proponuję hybrydę, a po kilku miesiącach, gdy mam kohorty, </w:t>
      </w:r>
      <w:commentRangeStart w:id="102"/>
      <w:r w:rsidRPr="4A73A885" w:rsidR="6B291AFB">
        <w:rPr>
          <w:i w:val="1"/>
          <w:iCs w:val="1"/>
        </w:rPr>
        <w:t>renegocjuję</w:t>
      </w:r>
      <w:commentRangeEnd w:id="102"/>
      <w:r>
        <w:rPr>
          <w:rStyle w:val="CommentReference"/>
        </w:rPr>
        <w:commentReference w:id="102"/>
      </w:r>
      <w:r w:rsidRPr="4A73A885" w:rsidR="6B291AFB">
        <w:rPr>
          <w:i w:val="1"/>
          <w:iCs w:val="1"/>
        </w:rPr>
        <w:t xml:space="preserve"> w stronę modelu, który lepiej odzwierciedla realną wartość."</w:t>
      </w:r>
    </w:p>
    <w:p xmlns:wp14="http://schemas.microsoft.com/office/word/2010/wordml" w14:paraId="7635E25A" wp14:textId="77777777">
      <w:pPr>
        <w:pStyle w:val="Heading3"/>
      </w:pPr>
      <w:r w:rsidR="6B291AFB">
        <w:rPr/>
        <w:t>2.7. Weryfikacja zgodności regulacyjnej i rejestr ryzyk</w:t>
      </w:r>
    </w:p>
    <w:p xmlns:wp14="http://schemas.microsoft.com/office/word/2010/wordml" w14:paraId="59D3740D" wp14:textId="77777777">
      <w:pPr>
        <w:spacing w:after="120"/>
      </w:pPr>
      <w:r w:rsidRPr="6B291AFB" w:rsidR="6B291AFB">
        <w:rPr>
          <w:b w:val="1"/>
          <w:bCs w:val="1"/>
        </w:rPr>
        <w:t>Co to jest:</w:t>
      </w:r>
      <w:r w:rsidR="6B291AFB">
        <w:rPr/>
        <w:t xml:space="preserve"> sprawdzenie, czy partnerzy i nasze materiały są zgodne z prawem. </w:t>
      </w:r>
      <w:commentRangeStart w:id="103"/>
      <w:r w:rsidRPr="6B291AFB" w:rsidR="6B291AFB">
        <w:rPr>
          <w:b w:val="1"/>
          <w:bCs w:val="1"/>
        </w:rPr>
        <w:t>Rejestr ryzyk</w:t>
      </w:r>
      <w:commentRangeEnd w:id="103"/>
      <w:r>
        <w:rPr>
          <w:rStyle w:val="CommentReference"/>
        </w:rPr>
        <w:commentReference w:id="103"/>
      </w:r>
      <w:r w:rsidR="6B291AFB">
        <w:rPr/>
        <w:t xml:space="preserve"> to arkusz z listą ryzyk (opis, prawdopodobieństwo, wpływ, właściciel, działania, status).</w:t>
      </w:r>
    </w:p>
    <w:p xmlns:wp14="http://schemas.microsoft.com/office/word/2010/wordml" w14:paraId="77641C09" wp14:textId="77777777">
      <w:pPr>
        <w:spacing w:after="120"/>
      </w:pPr>
      <w:r w:rsidRPr="6B291AFB" w:rsidR="6B291AFB">
        <w:rPr>
          <w:b w:val="1"/>
          <w:bCs w:val="1"/>
        </w:rPr>
        <w:t>Polska, kluczowe fakty:</w:t>
      </w:r>
    </w:p>
    <w:p xmlns:wp14="http://schemas.microsoft.com/office/word/2010/wordml" w14:paraId="5899B323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 xml:space="preserve">Podstawa: </w:t>
      </w:r>
      <w:commentRangeStart w:id="104"/>
      <w:r w:rsidR="6B291AFB">
        <w:rPr/>
        <w:t>ustawa o grach hazardowych</w:t>
      </w:r>
      <w:commentRangeEnd w:id="104"/>
      <w:r>
        <w:rPr>
          <w:rStyle w:val="CommentReference"/>
        </w:rPr>
        <w:commentReference w:id="104"/>
      </w:r>
      <w:r w:rsidR="6B291AFB">
        <w:rPr/>
        <w:t xml:space="preserve"> z 19 listopada 2009 r. z nowelizacjami, głównie z 2017 r.</w:t>
      </w:r>
    </w:p>
    <w:p xmlns:wp14="http://schemas.microsoft.com/office/word/2010/wordml" w14:paraId="397C4732" wp14:textId="77777777">
      <w:pPr>
        <w:pStyle w:val="ListParagraph"/>
        <w:numPr>
          <w:ilvl w:val="0"/>
          <w:numId w:val="2"/>
        </w:numPr>
        <w:spacing w:after="60"/>
        <w:rPr/>
      </w:pPr>
      <w:commentRangeStart w:id="105"/>
      <w:r w:rsidR="6B291AFB">
        <w:rPr/>
        <w:t>Artykuł 29</w:t>
      </w:r>
      <w:commentRangeEnd w:id="105"/>
      <w:r>
        <w:rPr>
          <w:rStyle w:val="CommentReference"/>
        </w:rPr>
        <w:commentReference w:id="105"/>
      </w:r>
      <w:r w:rsidR="6B291AFB">
        <w:rPr/>
        <w:t xml:space="preserve"> zabrania reklamy i promocji gier hazardowych, z wyjątkiem </w:t>
      </w:r>
      <w:commentRangeStart w:id="106"/>
      <w:r w:rsidR="6B291AFB">
        <w:rPr/>
        <w:t>zakładów wzajemnych</w:t>
      </w:r>
      <w:commentRangeEnd w:id="106"/>
      <w:r>
        <w:rPr>
          <w:rStyle w:val="CommentReference"/>
        </w:rPr>
        <w:commentReference w:id="106"/>
      </w:r>
      <w:r w:rsidR="6B291AFB">
        <w:rPr/>
        <w:t>, pod warunkiem spełnienia ściśle określonych wymogów. Dlatego promocja bukmacherów jest legalna, ale obwarowana.</w:t>
      </w:r>
    </w:p>
    <w:p xmlns:wp14="http://schemas.microsoft.com/office/word/2010/wordml" w14:paraId="2CAB49FD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>Program partnerski licencjonowanego bukmachera podlega przepisom tej ustawy; materiały muszą mieć m.in. ostrzeżenie o ryzyku, oznaczenie 18+ i numer zezwolenia.</w:t>
      </w:r>
    </w:p>
    <w:p xmlns:wp14="http://schemas.microsoft.com/office/word/2010/wordml" w14:paraId="2663E32D" wp14:textId="77777777">
      <w:pPr>
        <w:pStyle w:val="ListParagraph"/>
        <w:numPr>
          <w:ilvl w:val="0"/>
          <w:numId w:val="2"/>
        </w:numPr>
        <w:spacing w:after="60"/>
        <w:rPr/>
      </w:pPr>
      <w:commentRangeStart w:id="107"/>
      <w:r w:rsidR="6B291AFB">
        <w:rPr/>
        <w:t>KAS</w:t>
      </w:r>
      <w:commentRangeEnd w:id="107"/>
      <w:r>
        <w:rPr>
          <w:rStyle w:val="CommentReference"/>
        </w:rPr>
        <w:commentReference w:id="107"/>
      </w:r>
      <w:r w:rsidR="6B291AFB">
        <w:rPr/>
        <w:t xml:space="preserve"> prowadzi </w:t>
      </w:r>
      <w:commentRangeStart w:id="108"/>
      <w:r w:rsidR="6B291AFB">
        <w:rPr/>
        <w:t>rejestr domen zakazanych</w:t>
      </w:r>
      <w:commentRangeEnd w:id="108"/>
      <w:r>
        <w:rPr>
          <w:rStyle w:val="CommentReference"/>
        </w:rPr>
        <w:commentReference w:id="108"/>
      </w:r>
      <w:r w:rsidR="6B291AFB">
        <w:rPr/>
        <w:t xml:space="preserve"> (blokowanie nielegalnych operatorów), a kasyno online to </w:t>
      </w:r>
      <w:commentRangeStart w:id="109"/>
      <w:r w:rsidR="6B291AFB">
        <w:rPr/>
        <w:t>monopol Totalizatora Sportowego</w:t>
      </w:r>
      <w:commentRangeEnd w:id="109"/>
      <w:r>
        <w:rPr>
          <w:rStyle w:val="CommentReference"/>
        </w:rPr>
        <w:commentReference w:id="109"/>
      </w:r>
      <w:r w:rsidR="6B291AFB">
        <w:rPr/>
        <w:t>.</w:t>
      </w:r>
    </w:p>
    <w:p xmlns:wp14="http://schemas.microsoft.com/office/word/2010/wordml" w14:paraId="106BCCE8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 xml:space="preserve">Promujemy </w:t>
      </w:r>
      <w:r w:rsidRPr="6B291AFB" w:rsidR="6B291AFB">
        <w:rPr>
          <w:b w:val="1"/>
          <w:bCs w:val="1"/>
        </w:rPr>
        <w:t>wyłącznie licencjonowanych</w:t>
      </w:r>
      <w:r w:rsidR="6B291AFB">
        <w:rPr/>
        <w:t xml:space="preserve"> bukmacherów (</w:t>
      </w:r>
      <w:commentRangeStart w:id="110"/>
      <w:r w:rsidR="6B291AFB">
        <w:rPr/>
        <w:t>zezwolenie Ministra Finansów</w:t>
      </w:r>
      <w:commentRangeEnd w:id="110"/>
      <w:r>
        <w:rPr>
          <w:rStyle w:val="CommentReference"/>
        </w:rPr>
        <w:commentReference w:id="110"/>
      </w:r>
      <w:r w:rsidR="6B291AFB">
        <w:rPr/>
        <w:t>). Promocja nielegalnego operatora to ryzyko prawne i reputacyjne.</w:t>
      </w:r>
    </w:p>
    <w:p xmlns:wp14="http://schemas.microsoft.com/office/word/2010/wordml" w14:paraId="3ED1EF2B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 xml:space="preserve">Zakaz kierowania komunikacji do osób niepełnoletnich i sugerowania gwarancji wygranej. Obowiązkowe elementy </w:t>
      </w:r>
      <w:commentRangeStart w:id="111"/>
      <w:r w:rsidR="6B291AFB">
        <w:rPr/>
        <w:t>odpowiedzialnej gry</w:t>
      </w:r>
      <w:commentRangeEnd w:id="111"/>
      <w:r>
        <w:rPr>
          <w:rStyle w:val="CommentReference"/>
        </w:rPr>
        <w:commentReference w:id="111"/>
      </w:r>
      <w:r w:rsidR="6B291AFB">
        <w:rPr/>
        <w:t>.</w:t>
      </w:r>
    </w:p>
    <w:p xmlns:wp14="http://schemas.microsoft.com/office/word/2010/wordml" w14:paraId="40523AD2" wp14:textId="77777777">
      <w:pPr>
        <w:pStyle w:val="ListParagraph"/>
        <w:numPr>
          <w:ilvl w:val="0"/>
          <w:numId w:val="2"/>
        </w:numPr>
        <w:spacing w:after="60"/>
        <w:rPr/>
      </w:pPr>
      <w:commentRangeStart w:id="112"/>
      <w:r w:rsidR="6B291AFB">
        <w:rPr/>
        <w:t>Podatek od gier</w:t>
      </w:r>
      <w:commentRangeEnd w:id="112"/>
      <w:r>
        <w:rPr>
          <w:rStyle w:val="CommentReference"/>
        </w:rPr>
        <w:commentReference w:id="112"/>
      </w:r>
      <w:r w:rsidR="6B291AFB">
        <w:rPr/>
        <w:t xml:space="preserve"> w zakładach wzajemnych: 12% od kwoty stawek (potwierdź przed rozmową, bo przepisy się zmieniają). To dlatego "NGR" w Polsce zależy od definicji w umowie.</w:t>
      </w:r>
    </w:p>
    <w:p xmlns:wp14="http://schemas.microsoft.com/office/word/2010/wordml" w14:paraId="39080448" wp14:textId="77777777">
      <w:pPr>
        <w:spacing w:after="120"/>
      </w:pPr>
      <w:r w:rsidRPr="6B291AFB" w:rsidR="6B291AFB">
        <w:rPr>
          <w:b w:val="1"/>
          <w:bCs w:val="1"/>
        </w:rPr>
        <w:t>Zagranica (firma działa na rynkach europejskich i w Ameryce Południowej), pokaż świadomość trendu:</w:t>
      </w:r>
    </w:p>
    <w:p xmlns:wp14="http://schemas.microsoft.com/office/word/2010/wordml" w14:paraId="2748B4EB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>Bułgaria od 1 sierpnia 2026 wprowadziła osobną licencję dla operatorów afiliacyjnych promujących gry.</w:t>
      </w:r>
    </w:p>
    <w:p xmlns:wp14="http://schemas.microsoft.com/office/word/2010/wordml" w14:paraId="04077D62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 xml:space="preserve">W Brazylii komisja Senatu 2 września 2026 zatwierdziła ustawę zakazującą reklamy zakładów i sponsoringu oraz obejmującą treści partnerów i </w:t>
      </w:r>
      <w:commentRangeStart w:id="113"/>
      <w:r w:rsidR="6B291AFB">
        <w:rPr/>
        <w:t>tipsterów</w:t>
      </w:r>
      <w:commentRangeEnd w:id="113"/>
      <w:r>
        <w:rPr>
          <w:rStyle w:val="CommentReference"/>
        </w:rPr>
        <w:commentReference w:id="113"/>
      </w:r>
      <w:r w:rsidR="6B291AFB">
        <w:rPr/>
        <w:t>. To projekt, nie obowiązujące prawo, ale pokazuje kierunek.</w:t>
      </w:r>
    </w:p>
    <w:p xmlns:wp14="http://schemas.microsoft.com/office/word/2010/wordml" w14:paraId="16742E86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 xml:space="preserve">Wniosek na rozmowie: </w:t>
      </w:r>
      <w:r w:rsidRPr="6B291AFB" w:rsidR="6B291AFB">
        <w:rPr>
          <w:i w:val="1"/>
          <w:iCs w:val="1"/>
        </w:rPr>
        <w:t>"Regulacje wobec afiliacji się zaostrzają, więc rejestr ryzyk to realne narzędzie, a nie formalność."</w:t>
      </w:r>
    </w:p>
    <w:p xmlns:wp14="http://schemas.microsoft.com/office/word/2010/wordml" w14:paraId="129F1050" wp14:textId="77777777">
      <w:pPr>
        <w:spacing w:after="120"/>
      </w:pPr>
      <w:r w:rsidRPr="6B291AFB" w:rsidR="6B291AFB">
        <w:rPr>
          <w:b w:val="1"/>
          <w:bCs w:val="1"/>
        </w:rPr>
        <w:t>Przykładowy rejestr ryzyk (pokaż, że potrafisz go zbudować):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400"/>
        <w:gridCol w:w="2638"/>
      </w:tblGrid>
      <w:tr xmlns:wp14="http://schemas.microsoft.com/office/word/2010/wordml" w:rsidTr="6B291AFB" w14:paraId="60D86E04" wp14:textId="77777777">
        <w:trPr>
          <w:tblHeader/>
        </w:trPr>
        <w:tc>
          <w:tcPr>
            <w:tcW w:w="2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5D66A" wp14:textId="77777777">
            <w:r w:rsidRPr="6B291AFB" w:rsidR="6B291AFB">
              <w:rPr>
                <w:b w:val="1"/>
                <w:bCs w:val="1"/>
              </w:rPr>
              <w:t>Ryzyko</w:t>
            </w:r>
          </w:p>
        </w:tc>
        <w:tc>
          <w:tcPr>
            <w:tcW w:w="20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47ECD" wp14:textId="77777777">
            <w:commentRangeStart w:id="114"/>
            <w:r w:rsidRPr="6B291AFB" w:rsidR="6B291AFB">
              <w:rPr>
                <w:b w:val="1"/>
                <w:bCs w:val="1"/>
              </w:rPr>
              <w:t>Prawdopodobieństwo</w:t>
            </w:r>
            <w:commentRangeEnd w:id="114"/>
            <w:r>
              <w:rPr>
                <w:rStyle w:val="CommentReference"/>
              </w:rPr>
              <w:commentReference w:id="114"/>
            </w:r>
          </w:p>
        </w:tc>
        <w:tc>
          <w:tcPr>
            <w:tcW w:w="24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E9838" wp14:textId="77777777">
            <w:commentRangeStart w:id="115"/>
            <w:r w:rsidRPr="6B291AFB" w:rsidR="6B291AFB">
              <w:rPr>
                <w:b w:val="1"/>
                <w:bCs w:val="1"/>
              </w:rPr>
              <w:t>Wpływ</w:t>
            </w:r>
            <w:commentRangeEnd w:id="115"/>
            <w:r>
              <w:rPr>
                <w:rStyle w:val="CommentReference"/>
              </w:rPr>
              <w:commentReference w:id="115"/>
            </w:r>
          </w:p>
        </w:tc>
        <w:tc>
          <w:tcPr>
            <w:tcW w:w="2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64407" wp14:textId="77777777">
            <w:r w:rsidRPr="6B291AFB" w:rsidR="6B291AFB">
              <w:rPr>
                <w:b w:val="1"/>
                <w:bCs w:val="1"/>
              </w:rPr>
              <w:t>Działanie</w:t>
            </w:r>
          </w:p>
        </w:tc>
      </w:tr>
      <w:tr xmlns:wp14="http://schemas.microsoft.com/office/word/2010/wordml" w:rsidTr="6B291AFB" w14:paraId="2427368B" wp14:textId="77777777">
        <w:trPr>
          <w:tblHeader w:val="false"/>
        </w:trPr>
        <w:tc>
          <w:tcPr>
            <w:tcW w:w="2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43A6B" wp14:textId="77777777">
            <w:r w:rsidR="6B291AFB">
              <w:rPr/>
              <w:t>Nieaktualny bonus na stronie</w:t>
            </w:r>
          </w:p>
        </w:tc>
        <w:tc>
          <w:tcPr>
            <w:tcW w:w="20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8B17E" wp14:textId="77777777">
            <w:r w:rsidR="6B291AFB">
              <w:rPr/>
              <w:t>Średnie</w:t>
            </w:r>
          </w:p>
        </w:tc>
        <w:tc>
          <w:tcPr>
            <w:tcW w:w="24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7D715" wp14:textId="77777777">
            <w:r w:rsidR="6B291AFB">
              <w:rPr/>
              <w:t>Średni (wprowadzanie w błąd)</w:t>
            </w:r>
          </w:p>
        </w:tc>
        <w:tc>
          <w:tcPr>
            <w:tcW w:w="2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60AE4" wp14:textId="77777777">
            <w:r w:rsidR="6B291AFB">
              <w:rPr/>
              <w:t>Cykliczny przegląd ofert, alert od partnera</w:t>
            </w:r>
          </w:p>
        </w:tc>
      </w:tr>
      <w:tr xmlns:wp14="http://schemas.microsoft.com/office/word/2010/wordml" w:rsidTr="6B291AFB" w14:paraId="1C45B859" wp14:textId="77777777">
        <w:trPr>
          <w:tblHeader w:val="false"/>
        </w:trPr>
        <w:tc>
          <w:tcPr>
            <w:tcW w:w="2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9B55A" wp14:textId="77777777">
            <w:r w:rsidR="6B291AFB">
              <w:rPr/>
              <w:t>Partner traci licencję</w:t>
            </w:r>
          </w:p>
        </w:tc>
        <w:tc>
          <w:tcPr>
            <w:tcW w:w="20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458E" wp14:textId="77777777">
            <w:r w:rsidR="6B291AFB">
              <w:rPr/>
              <w:t>Niskie</w:t>
            </w:r>
          </w:p>
        </w:tc>
        <w:tc>
          <w:tcPr>
            <w:tcW w:w="24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B0B1A" wp14:textId="77777777">
            <w:r w:rsidR="6B291AFB">
              <w:rPr/>
              <w:t>Wysoki</w:t>
            </w:r>
          </w:p>
        </w:tc>
        <w:tc>
          <w:tcPr>
            <w:tcW w:w="2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3F112" wp14:textId="77777777">
            <w:r w:rsidR="6B291AFB">
              <w:rPr/>
              <w:t>Sprawdzanie rejestru, plan zastępczy w rankingu</w:t>
            </w:r>
          </w:p>
        </w:tc>
      </w:tr>
      <w:tr xmlns:wp14="http://schemas.microsoft.com/office/word/2010/wordml" w:rsidTr="6B291AFB" w14:paraId="6ED65317" wp14:textId="77777777">
        <w:trPr>
          <w:tblHeader w:val="false"/>
        </w:trPr>
        <w:tc>
          <w:tcPr>
            <w:tcW w:w="2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B939D" wp14:textId="77777777">
            <w:r w:rsidR="6B291AFB">
              <w:rPr/>
              <w:t>Zmiana regulacji reklamowych</w:t>
            </w:r>
          </w:p>
        </w:tc>
        <w:tc>
          <w:tcPr>
            <w:tcW w:w="20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68F31" wp14:textId="77777777">
            <w:r w:rsidR="6B291AFB">
              <w:rPr/>
              <w:t>Średnie</w:t>
            </w:r>
          </w:p>
        </w:tc>
        <w:tc>
          <w:tcPr>
            <w:tcW w:w="24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0BBD8" wp14:textId="77777777">
            <w:r w:rsidR="6B291AFB">
              <w:rPr/>
              <w:t>Wysoki</w:t>
            </w:r>
          </w:p>
        </w:tc>
        <w:tc>
          <w:tcPr>
            <w:tcW w:w="2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E6AC6" wp14:textId="77777777">
            <w:r w:rsidR="6B291AFB">
              <w:rPr/>
              <w:t>Monitoring prawa, konsultacja z prawnikiem</w:t>
            </w:r>
          </w:p>
        </w:tc>
      </w:tr>
      <w:tr xmlns:wp14="http://schemas.microsoft.com/office/word/2010/wordml" w:rsidTr="6B291AFB" w14:paraId="561517AF" wp14:textId="77777777">
        <w:trPr>
          <w:tblHeader w:val="false"/>
        </w:trPr>
        <w:tc>
          <w:tcPr>
            <w:tcW w:w="2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11EFE" wp14:textId="77777777">
            <w:r w:rsidR="6B291AFB">
              <w:rPr/>
              <w:t>Opóźnienia płatności</w:t>
            </w:r>
          </w:p>
        </w:tc>
        <w:tc>
          <w:tcPr>
            <w:tcW w:w="20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2EC49" wp14:textId="77777777">
            <w:r w:rsidR="6B291AFB">
              <w:rPr/>
              <w:t>Średnie</w:t>
            </w:r>
          </w:p>
        </w:tc>
        <w:tc>
          <w:tcPr>
            <w:tcW w:w="24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6A652" wp14:textId="77777777">
            <w:r w:rsidR="6B291AFB">
              <w:rPr/>
              <w:t>Średni</w:t>
            </w:r>
          </w:p>
        </w:tc>
        <w:tc>
          <w:tcPr>
            <w:tcW w:w="2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9FC43" wp14:textId="77777777">
            <w:r w:rsidR="6B291AFB">
              <w:rPr/>
              <w:t xml:space="preserve">Aging, eskalacja, </w:t>
            </w:r>
            <w:commentRangeStart w:id="116"/>
            <w:r w:rsidR="6B291AFB">
              <w:rPr/>
              <w:t>limit ekspozycji</w:t>
            </w:r>
            <w:commentRangeEnd w:id="116"/>
            <w:r>
              <w:rPr>
                <w:rStyle w:val="CommentReference"/>
              </w:rPr>
              <w:commentReference w:id="116"/>
            </w:r>
          </w:p>
        </w:tc>
      </w:tr>
      <w:tr xmlns:wp14="http://schemas.microsoft.com/office/word/2010/wordml" w:rsidTr="6B291AFB" w14:paraId="78C9C970" wp14:textId="77777777">
        <w:trPr>
          <w:tblHeader w:val="false"/>
        </w:trPr>
        <w:tc>
          <w:tcPr>
            <w:tcW w:w="26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691B8" wp14:textId="77777777">
            <w:commentRangeStart w:id="117"/>
            <w:r w:rsidR="6B291AFB">
              <w:rPr/>
              <w:t>Koncentracja przychodu</w:t>
            </w:r>
            <w:commentRangeEnd w:id="117"/>
            <w:r>
              <w:rPr>
                <w:rStyle w:val="CommentReference"/>
              </w:rPr>
              <w:commentReference w:id="117"/>
            </w:r>
            <w:r w:rsidR="6B291AFB">
              <w:rPr/>
              <w:t xml:space="preserve"> na 1 partnerze</w:t>
            </w:r>
          </w:p>
        </w:tc>
        <w:tc>
          <w:tcPr>
            <w:tcW w:w="20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79815" wp14:textId="77777777">
            <w:r w:rsidR="6B291AFB">
              <w:rPr/>
              <w:t>Wysokie</w:t>
            </w:r>
          </w:p>
        </w:tc>
        <w:tc>
          <w:tcPr>
            <w:tcW w:w="24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D7220" wp14:textId="77777777">
            <w:r w:rsidR="6B291AFB">
              <w:rPr/>
              <w:t>Wysoki</w:t>
            </w:r>
          </w:p>
        </w:tc>
        <w:tc>
          <w:tcPr>
            <w:tcW w:w="2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AB413" wp14:textId="77777777">
            <w:commentRangeStart w:id="118"/>
            <w:r w:rsidR="6B291AFB">
              <w:rPr/>
              <w:t>Dywersyfikacja</w:t>
            </w:r>
            <w:commentRangeEnd w:id="118"/>
            <w:r>
              <w:rPr>
                <w:rStyle w:val="CommentReference"/>
              </w:rPr>
              <w:commentReference w:id="118"/>
            </w:r>
            <w:r w:rsidR="6B291AFB">
              <w:rPr/>
              <w:t xml:space="preserve"> portfela</w:t>
            </w:r>
          </w:p>
        </w:tc>
      </w:tr>
    </w:tbl>
    <w:p xmlns:wp14="http://schemas.microsoft.com/office/word/2010/wordml" w14:paraId="672A6659" wp14:textId="77777777">
      <w:pPr>
        <w:spacing w:after="120"/>
      </w:pPr>
    </w:p>
    <w:p xmlns:wp14="http://schemas.microsoft.com/office/word/2010/wordml" w:rsidP="4A73A885" w14:paraId="4DFBF13C" wp14:textId="23AF13ED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</w:pPr>
      <w:r w:rsidRPr="4A73A885" w:rsidR="6B291AFB">
        <w:rPr>
          <w:b w:val="1"/>
          <w:bCs w:val="1"/>
        </w:rPr>
        <w:t>Zastrzeżenie:</w:t>
      </w:r>
      <w:r w:rsidR="6B291AFB">
        <w:rPr/>
        <w:t xml:space="preserve"> nie </w:t>
      </w:r>
      <w:r w:rsidR="5F67FAD2">
        <w:rPr/>
        <w:t xml:space="preserve">jestem </w:t>
      </w:r>
      <w:r w:rsidR="6B291AFB">
        <w:rPr/>
        <w:t xml:space="preserve">prawnikiem. </w:t>
      </w:r>
      <w:r w:rsidRPr="4A73A885" w:rsidR="6B291AFB">
        <w:rPr>
          <w:i w:val="1"/>
          <w:iCs w:val="1"/>
        </w:rPr>
        <w:t>"Znam ramy, a w sprawach granicznych konsultuję z działem prawnym."</w:t>
      </w:r>
    </w:p>
    <w:p xmlns:wp14="http://schemas.microsoft.com/office/word/2010/wordml" w14:paraId="59755AFA" wp14:textId="77777777">
      <w:pPr>
        <w:pStyle w:val="Heading3"/>
      </w:pPr>
      <w:r w:rsidR="6B291AFB">
        <w:rPr/>
        <w:t xml:space="preserve">2.8. Zarządzanie </w:t>
      </w:r>
      <w:commentRangeStart w:id="119"/>
      <w:r w:rsidR="6B291AFB">
        <w:rPr/>
        <w:t>kontami</w:t>
      </w:r>
      <w:commentRangeEnd w:id="119"/>
      <w:r>
        <w:rPr>
          <w:rStyle w:val="CommentReference"/>
        </w:rPr>
        <w:commentReference w:id="119"/>
      </w:r>
      <w:r w:rsidR="6B291AFB">
        <w:rPr/>
        <w:t xml:space="preserve"> w pełnym cyklu życia</w:t>
      </w:r>
    </w:p>
    <w:p xmlns:wp14="http://schemas.microsoft.com/office/word/2010/wordml" w14:paraId="0666219C" wp14:textId="77777777">
      <w:pPr>
        <w:spacing w:after="120"/>
      </w:pPr>
      <w:r w:rsidRPr="6B291AFB" w:rsidR="6B291AFB">
        <w:rPr>
          <w:b w:val="1"/>
          <w:bCs w:val="1"/>
        </w:rPr>
        <w:t>Cykl:</w:t>
      </w:r>
      <w:r w:rsidR="6B291AFB">
        <w:rPr/>
        <w:t xml:space="preserve"> pozyskanie/</w:t>
      </w:r>
      <w:commentRangeStart w:id="120"/>
      <w:r w:rsidR="6B291AFB">
        <w:rPr/>
        <w:t>onboarding</w:t>
      </w:r>
      <w:commentRangeEnd w:id="120"/>
      <w:r>
        <w:rPr>
          <w:rStyle w:val="CommentReference"/>
        </w:rPr>
        <w:commentReference w:id="120"/>
      </w:r>
      <w:r w:rsidR="6B291AFB">
        <w:rPr/>
        <w:t xml:space="preserve"> → aktywacja → rozwój → utrzymanie → (</w:t>
      </w:r>
      <w:commentRangeStart w:id="121"/>
      <w:r w:rsidR="6B291AFB">
        <w:rPr/>
        <w:t>offboarding</w:t>
      </w:r>
      <w:commentRangeEnd w:id="121"/>
      <w:r>
        <w:rPr>
          <w:rStyle w:val="CommentReference"/>
        </w:rPr>
        <w:commentReference w:id="121"/>
      </w:r>
      <w:r w:rsidR="6B291AFB">
        <w:rPr/>
        <w:t>).</w:t>
      </w:r>
    </w:p>
    <w:p xmlns:wp14="http://schemas.microsoft.com/office/word/2010/wordml" w14:paraId="1A871CFA" wp14:textId="77777777">
      <w:pPr>
        <w:pStyle w:val="ListParagraph"/>
        <w:numPr>
          <w:ilvl w:val="0"/>
          <w:numId w:val="2"/>
        </w:numPr>
        <w:spacing w:after="60"/>
        <w:rPr/>
      </w:pPr>
      <w:r w:rsidRPr="6B291AFB" w:rsidR="6B291AFB">
        <w:rPr>
          <w:b w:val="1"/>
          <w:bCs w:val="1"/>
        </w:rPr>
        <w:t>Onboarding:</w:t>
      </w:r>
      <w:r w:rsidR="6B291AFB">
        <w:rPr/>
        <w:t xml:space="preserve"> umowa, warunki prowizji, tracking (linki, parametry), kreacje, dostęp do panelu, </w:t>
      </w:r>
      <w:commentRangeStart w:id="122"/>
      <w:r w:rsidR="6B291AFB">
        <w:rPr/>
        <w:t>test konwersji</w:t>
      </w:r>
      <w:commentRangeEnd w:id="122"/>
      <w:r>
        <w:rPr>
          <w:rStyle w:val="CommentReference"/>
        </w:rPr>
        <w:commentReference w:id="122"/>
      </w:r>
      <w:r w:rsidR="6B291AFB">
        <w:rPr/>
        <w:t>, ustalenie kontaktów.</w:t>
      </w:r>
    </w:p>
    <w:p xmlns:wp14="http://schemas.microsoft.com/office/word/2010/wordml" w14:paraId="5DD18F34" wp14:textId="77777777">
      <w:pPr>
        <w:pStyle w:val="ListParagraph"/>
        <w:numPr>
          <w:ilvl w:val="0"/>
          <w:numId w:val="2"/>
        </w:numPr>
        <w:spacing w:after="60"/>
        <w:rPr/>
      </w:pPr>
      <w:r w:rsidRPr="6B291AFB" w:rsidR="6B291AFB">
        <w:rPr>
          <w:b w:val="1"/>
          <w:bCs w:val="1"/>
        </w:rPr>
        <w:t>Aktywacja i rozwój:</w:t>
      </w:r>
      <w:r w:rsidR="6B291AFB">
        <w:rPr/>
        <w:t xml:space="preserve"> pierwsze wyniki, promocje, eksponowanie w rankingu, review.</w:t>
      </w:r>
    </w:p>
    <w:p xmlns:wp14="http://schemas.microsoft.com/office/word/2010/wordml" w14:paraId="14702646" wp14:textId="77777777">
      <w:pPr>
        <w:pStyle w:val="ListParagraph"/>
        <w:numPr>
          <w:ilvl w:val="0"/>
          <w:numId w:val="2"/>
        </w:numPr>
        <w:spacing w:after="60"/>
        <w:rPr/>
      </w:pPr>
      <w:r w:rsidRPr="6B291AFB" w:rsidR="6B291AFB">
        <w:rPr>
          <w:b w:val="1"/>
          <w:bCs w:val="1"/>
        </w:rPr>
        <w:t>Utrzymanie:</w:t>
      </w:r>
      <w:r w:rsidR="6B291AFB">
        <w:rPr/>
        <w:t xml:space="preserve"> cykliczne przeglądy, monitoring wyników, rozliczenia.</w:t>
      </w:r>
    </w:p>
    <w:p xmlns:wp14="http://schemas.microsoft.com/office/word/2010/wordml" w14:paraId="2F00BBA8" wp14:textId="77777777">
      <w:pPr>
        <w:pStyle w:val="ListParagraph"/>
        <w:numPr>
          <w:ilvl w:val="0"/>
          <w:numId w:val="2"/>
        </w:numPr>
        <w:spacing w:after="60"/>
        <w:rPr/>
      </w:pPr>
      <w:r w:rsidRPr="4A73A885" w:rsidR="6B291AFB">
        <w:rPr>
          <w:b w:val="1"/>
          <w:bCs w:val="1"/>
        </w:rPr>
        <w:t>Offboarding:</w:t>
      </w:r>
      <w:r w:rsidR="6B291AFB">
        <w:rPr/>
        <w:t xml:space="preserve"> wygaszenie promocji, usunięcie z rankingu, zamknięcie rozliczeń (końcowe faktury, saldo), archiwizacja ustaleń, "</w:t>
      </w:r>
      <w:commentRangeStart w:id="123"/>
      <w:r w:rsidR="6B291AFB">
        <w:rPr/>
        <w:t>lessons learned</w:t>
      </w:r>
      <w:commentRangeEnd w:id="123"/>
      <w:r>
        <w:rPr>
          <w:rStyle w:val="CommentReference"/>
        </w:rPr>
        <w:commentReference w:id="123"/>
      </w:r>
      <w:r w:rsidR="6B291AFB">
        <w:rPr/>
        <w:t>".</w:t>
      </w:r>
    </w:p>
    <w:p xmlns:wp14="http://schemas.microsoft.com/office/word/2010/wordml" w14:paraId="167771AF" wp14:textId="77777777">
      <w:pPr>
        <w:pStyle w:val="Heading3"/>
      </w:pPr>
      <w:r w:rsidR="6B291AFB">
        <w:rPr/>
        <w:t>2.9. Odpowiedzialność za wyniki portfela (NGR i marża)</w:t>
      </w:r>
    </w:p>
    <w:p xmlns:wp14="http://schemas.microsoft.com/office/word/2010/wordml" w14:paraId="21FF9A49" wp14:textId="77777777">
      <w:pPr>
        <w:spacing w:after="120"/>
      </w:pPr>
      <w:r w:rsidRPr="6B291AFB" w:rsidR="6B291AFB">
        <w:rPr>
          <w:b w:val="1"/>
          <w:bCs w:val="1"/>
        </w:rPr>
        <w:t>Co to oznacza:</w:t>
      </w:r>
      <w:r w:rsidR="6B291AFB">
        <w:rPr/>
        <w:t xml:space="preserve"> masz liczbę. "To Twoje liczby" to jasny sygnał, że rola jest </w:t>
      </w:r>
      <w:commentRangeStart w:id="125"/>
      <w:r w:rsidRPr="6B291AFB" w:rsidR="6B291AFB">
        <w:rPr>
          <w:b w:val="1"/>
          <w:bCs w:val="1"/>
        </w:rPr>
        <w:t>ownershipowa</w:t>
      </w:r>
      <w:commentRangeEnd w:id="125"/>
      <w:r>
        <w:rPr>
          <w:rStyle w:val="CommentReference"/>
        </w:rPr>
        <w:commentReference w:id="125"/>
      </w:r>
      <w:r w:rsidR="6B291AFB">
        <w:rPr/>
        <w:t>.</w:t>
      </w:r>
    </w:p>
    <w:p xmlns:wp14="http://schemas.microsoft.com/office/word/2010/wordml" w14:paraId="06885EBB" wp14:textId="77777777">
      <w:pPr>
        <w:pStyle w:val="ListParagraph"/>
        <w:numPr>
          <w:ilvl w:val="0"/>
          <w:numId w:val="2"/>
        </w:numPr>
        <w:spacing w:after="60"/>
        <w:rPr/>
      </w:pPr>
      <w:r w:rsidRPr="6B291AFB" w:rsidR="6B291AFB">
        <w:rPr>
          <w:b w:val="1"/>
          <w:bCs w:val="1"/>
        </w:rPr>
        <w:t>NGR</w:t>
      </w:r>
      <w:r w:rsidR="6B291AFB">
        <w:rPr/>
        <w:t xml:space="preserve"> (net gaming revenue): przychód netto bukmachera z graczy (</w:t>
      </w:r>
      <w:commentRangeStart w:id="126"/>
      <w:r w:rsidR="6B291AFB">
        <w:rPr/>
        <w:t>GGR</w:t>
      </w:r>
      <w:commentRangeEnd w:id="126"/>
      <w:r>
        <w:rPr>
          <w:rStyle w:val="CommentReference"/>
        </w:rPr>
        <w:commentReference w:id="126"/>
      </w:r>
      <w:r w:rsidR="6B291AFB">
        <w:rPr/>
        <w:t xml:space="preserve"> minus bonusy, podatki itp., zależnie od definicji).</w:t>
      </w:r>
    </w:p>
    <w:p xmlns:wp14="http://schemas.microsoft.com/office/word/2010/wordml" w14:paraId="45BF6ACB" wp14:textId="77777777">
      <w:pPr>
        <w:pStyle w:val="ListParagraph"/>
        <w:numPr>
          <w:ilvl w:val="0"/>
          <w:numId w:val="2"/>
        </w:numPr>
        <w:spacing w:after="60"/>
        <w:rPr/>
      </w:pPr>
      <w:commentRangeStart w:id="127"/>
      <w:r w:rsidRPr="6B291AFB" w:rsidR="6B291AFB">
        <w:rPr>
          <w:b w:val="1"/>
          <w:bCs w:val="1"/>
        </w:rPr>
        <w:t>Marża</w:t>
      </w:r>
      <w:commentRangeEnd w:id="127"/>
      <w:r>
        <w:rPr>
          <w:rStyle w:val="CommentReference"/>
        </w:rPr>
        <w:commentReference w:id="127"/>
      </w:r>
      <w:r w:rsidR="6B291AFB">
        <w:rPr/>
        <w:t xml:space="preserve"> po naszej stronie: przychód z prowizji minus koszty pozyskania (ruch, treści, linki, narzędzia).</w:t>
      </w:r>
    </w:p>
    <w:p xmlns:wp14="http://schemas.microsoft.com/office/word/2010/wordml" w14:paraId="0DECD041" wp14:textId="77777777">
      <w:pPr>
        <w:pStyle w:val="ListParagraph"/>
        <w:numPr>
          <w:ilvl w:val="0"/>
          <w:numId w:val="2"/>
        </w:numPr>
        <w:spacing w:after="60"/>
        <w:rPr/>
      </w:pPr>
      <w:r w:rsidRPr="6B291AFB" w:rsidR="6B291AFB">
        <w:rPr>
          <w:b w:val="1"/>
          <w:bCs w:val="1"/>
        </w:rPr>
        <w:t>Portfel:</w:t>
      </w:r>
      <w:r w:rsidR="6B291AFB">
        <w:rPr/>
        <w:t xml:space="preserve"> zbiór partnerów, dla których zarządzasz wynikiem, razem z koncentracją, trendem i wkładem każdego.</w:t>
      </w:r>
    </w:p>
    <w:p xmlns:wp14="http://schemas.microsoft.com/office/word/2010/wordml" w14:paraId="4EF97A81" wp14:textId="77777777">
      <w:pPr>
        <w:spacing w:after="120"/>
      </w:pPr>
      <w:r w:rsidRPr="6B291AFB" w:rsidR="6B291AFB">
        <w:rPr>
          <w:b w:val="1"/>
          <w:bCs w:val="1"/>
        </w:rPr>
        <w:t>Dźwignie wpływu:</w:t>
      </w:r>
      <w:r w:rsidR="6B291AFB">
        <w:rPr/>
        <w:t xml:space="preserve"> negocjacja stawek, dobór modelu (CPA/</w:t>
      </w:r>
      <w:commentRangeStart w:id="128"/>
      <w:r w:rsidR="6B291AFB">
        <w:rPr/>
        <w:t>RS</w:t>
      </w:r>
      <w:commentRangeEnd w:id="128"/>
      <w:r>
        <w:rPr>
          <w:rStyle w:val="CommentReference"/>
        </w:rPr>
        <w:commentReference w:id="128"/>
      </w:r>
      <w:r w:rsidR="6B291AFB">
        <w:rPr/>
        <w:t>/hybryda), pozycja w rankingu, kampanie sezonowe, optymalizacja źródeł ruchu, ograniczanie kosztów.</w:t>
      </w:r>
    </w:p>
    <w:p xmlns:wp14="http://schemas.microsoft.com/office/word/2010/wordml" w14:paraId="5E1B2172" wp14:textId="07191483">
      <w:pPr>
        <w:spacing w:after="120"/>
      </w:pPr>
      <w:r w:rsidRPr="4A73A885" w:rsidR="6B291AFB">
        <w:rPr>
          <w:b w:val="1"/>
          <w:bCs w:val="1"/>
        </w:rPr>
        <w:t>Pytanie:</w:t>
      </w:r>
      <w:r w:rsidR="6B291AFB">
        <w:rPr/>
        <w:t xml:space="preserve"> </w:t>
      </w:r>
      <w:r w:rsidRPr="4A73A885" w:rsidR="6B291AFB">
        <w:rPr>
          <w:i w:val="1"/>
          <w:iCs w:val="1"/>
        </w:rPr>
        <w:t>"Co robisz, gdy portfel spada?"</w:t>
      </w:r>
      <w:r w:rsidR="6B291AFB">
        <w:rPr/>
        <w:t xml:space="preserve"> </w:t>
      </w:r>
    </w:p>
    <w:p xmlns:wp14="http://schemas.microsoft.com/office/word/2010/wordml" w:rsidP="4A73A885" w14:paraId="5F5A98F8" wp14:textId="66001E2E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</w:pPr>
      <w:r w:rsidRPr="4A73A885" w:rsidR="6B291AFB">
        <w:rPr>
          <w:b w:val="1"/>
          <w:bCs w:val="1"/>
        </w:rPr>
        <w:t>Odpowiedź</w:t>
      </w:r>
      <w:r w:rsidR="6B291AFB">
        <w:rPr/>
        <w:t xml:space="preserve">: </w:t>
      </w:r>
      <w:r w:rsidR="0B0683D3">
        <w:rPr/>
        <w:t xml:space="preserve">Rozbijam </w:t>
      </w:r>
      <w:r w:rsidR="6B291AFB">
        <w:rPr/>
        <w:t>spadek na składowe (ruch, konwersja, wartość gracza, stawki, sezonowość), zlokalizu</w:t>
      </w:r>
      <w:r w:rsidR="5CFC6503">
        <w:rPr/>
        <w:t>j</w:t>
      </w:r>
      <w:r w:rsidR="6B291AFB">
        <w:rPr/>
        <w:t xml:space="preserve"> źródło, zaplanuj działanie dla każdej składowej, ustal, kiedy zmierzysz efekt.</w:t>
      </w:r>
    </w:p>
    <w:p xmlns:wp14="http://schemas.microsoft.com/office/word/2010/wordml" w14:paraId="184EE6B8" wp14:textId="77777777">
      <w:pPr>
        <w:pStyle w:val="Heading3"/>
      </w:pPr>
      <w:r w:rsidR="6B291AFB">
        <w:rPr/>
        <w:t>2.10. Forecast i tłumaczenie rozbieżności</w:t>
      </w:r>
    </w:p>
    <w:p xmlns:wp14="http://schemas.microsoft.com/office/word/2010/wordml" w14:paraId="3A648C70" wp14:textId="77777777">
      <w:pPr>
        <w:spacing w:after="120"/>
      </w:pPr>
      <w:r w:rsidRPr="6B291AFB" w:rsidR="6B291AFB">
        <w:rPr>
          <w:b w:val="1"/>
          <w:bCs w:val="1"/>
        </w:rPr>
        <w:t>Jak zbudować forecast w Sheets:</w:t>
      </w:r>
    </w:p>
    <w:p xmlns:wp14="http://schemas.microsoft.com/office/word/2010/wordml" w14:paraId="498C892E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 xml:space="preserve">Baza: historyczne FTD i </w:t>
      </w:r>
      <w:commentRangeStart w:id="129"/>
      <w:r w:rsidR="6B291AFB">
        <w:rPr/>
        <w:t>NGR/FTD</w:t>
      </w:r>
      <w:commentRangeEnd w:id="129"/>
      <w:r>
        <w:rPr>
          <w:rStyle w:val="CommentReference"/>
        </w:rPr>
        <w:commentReference w:id="129"/>
      </w:r>
      <w:r w:rsidR="6B291AFB">
        <w:rPr/>
        <w:t xml:space="preserve"> wg partnera.</w:t>
      </w:r>
    </w:p>
    <w:p xmlns:wp14="http://schemas.microsoft.com/office/word/2010/wordml" w14:paraId="5A34E2F2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>Założenia: ruch (trend, sezonowość), konwersja, LTV/retencja, stawki, zmiany kontraktowe.</w:t>
      </w:r>
    </w:p>
    <w:p xmlns:wp14="http://schemas.microsoft.com/office/word/2010/wordml" w14:paraId="17A1B1D9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 xml:space="preserve">Trzy </w:t>
      </w:r>
      <w:commentRangeStart w:id="130"/>
      <w:r w:rsidR="6B291AFB">
        <w:rPr/>
        <w:t>scenariusze</w:t>
      </w:r>
      <w:commentRangeEnd w:id="130"/>
      <w:r>
        <w:rPr>
          <w:rStyle w:val="CommentReference"/>
        </w:rPr>
        <w:commentReference w:id="130"/>
      </w:r>
      <w:r w:rsidR="6B291AFB">
        <w:rPr/>
        <w:t>: bazowy, optymistyczny, pesymistyczny.</w:t>
      </w:r>
    </w:p>
    <w:p xmlns:wp14="http://schemas.microsoft.com/office/word/2010/wordml" w14:paraId="412B29B7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>Kalendarz wydarzeń sportowych (Euro, mundial, Liga Mistrzów, początek sezonu ligi).</w:t>
      </w:r>
    </w:p>
    <w:p xmlns:wp14="http://schemas.microsoft.com/office/word/2010/wordml" w14:paraId="751D0CE8" wp14:textId="77777777">
      <w:pPr>
        <w:spacing w:after="120"/>
      </w:pPr>
      <w:r w:rsidRPr="6B291AFB" w:rsidR="6B291AFB">
        <w:rPr>
          <w:b w:val="1"/>
          <w:bCs w:val="1"/>
        </w:rPr>
        <w:t xml:space="preserve">Analiza rozbieżności (forecast vs </w:t>
      </w:r>
      <w:commentRangeStart w:id="131"/>
      <w:r w:rsidRPr="6B291AFB" w:rsidR="6B291AFB">
        <w:rPr>
          <w:b w:val="1"/>
          <w:bCs w:val="1"/>
        </w:rPr>
        <w:t>actual</w:t>
      </w:r>
      <w:commentRangeEnd w:id="131"/>
      <w:r>
        <w:rPr>
          <w:rStyle w:val="CommentReference"/>
        </w:rPr>
        <w:commentReference w:id="131"/>
      </w:r>
      <w:r w:rsidRPr="6B291AFB" w:rsidR="6B291AFB">
        <w:rPr>
          <w:b w:val="1"/>
          <w:bCs w:val="1"/>
        </w:rPr>
        <w:t>), ramy "</w:t>
      </w:r>
      <w:commentRangeStart w:id="132"/>
      <w:r w:rsidRPr="6B291AFB" w:rsidR="6B291AFB">
        <w:rPr>
          <w:b w:val="1"/>
          <w:bCs w:val="1"/>
        </w:rPr>
        <w:t>PVM</w:t>
      </w:r>
      <w:commentRangeEnd w:id="132"/>
      <w:r>
        <w:rPr>
          <w:rStyle w:val="CommentReference"/>
        </w:rPr>
        <w:commentReference w:id="132"/>
      </w:r>
      <w:r w:rsidRPr="6B291AFB" w:rsidR="6B291AFB">
        <w:rPr>
          <w:b w:val="1"/>
          <w:bCs w:val="1"/>
        </w:rPr>
        <w:t>":</w:t>
      </w:r>
    </w:p>
    <w:p xmlns:wp14="http://schemas.microsoft.com/office/word/2010/wordml" w14:paraId="03EA164E" wp14:textId="77777777">
      <w:pPr>
        <w:pStyle w:val="ListParagraph"/>
        <w:numPr>
          <w:ilvl w:val="0"/>
          <w:numId w:val="2"/>
        </w:numPr>
        <w:spacing w:after="60"/>
        <w:rPr/>
      </w:pPr>
      <w:r w:rsidRPr="6B291AFB" w:rsidR="6B291AFB">
        <w:rPr>
          <w:b w:val="1"/>
          <w:bCs w:val="1"/>
        </w:rPr>
        <w:t>Price/stawka:</w:t>
      </w:r>
      <w:r w:rsidR="6B291AFB">
        <w:rPr/>
        <w:t xml:space="preserve"> zmieniły się warunki prowizji.</w:t>
      </w:r>
    </w:p>
    <w:p xmlns:wp14="http://schemas.microsoft.com/office/word/2010/wordml" w14:paraId="4B43060F" wp14:textId="77777777">
      <w:pPr>
        <w:pStyle w:val="ListParagraph"/>
        <w:numPr>
          <w:ilvl w:val="0"/>
          <w:numId w:val="2"/>
        </w:numPr>
        <w:spacing w:after="60"/>
        <w:rPr/>
      </w:pPr>
      <w:r w:rsidRPr="6B291AFB" w:rsidR="6B291AFB">
        <w:rPr>
          <w:b w:val="1"/>
          <w:bCs w:val="1"/>
        </w:rPr>
        <w:t>Volume/ruch:</w:t>
      </w:r>
      <w:r w:rsidR="6B291AFB">
        <w:rPr/>
        <w:t xml:space="preserve"> mniej lub więcej FTD niż zakładano.</w:t>
      </w:r>
    </w:p>
    <w:p xmlns:wp14="http://schemas.microsoft.com/office/word/2010/wordml" w14:paraId="232E32C3" wp14:textId="77777777">
      <w:pPr>
        <w:pStyle w:val="ListParagraph"/>
        <w:numPr>
          <w:ilvl w:val="0"/>
          <w:numId w:val="2"/>
        </w:numPr>
        <w:spacing w:after="60"/>
        <w:rPr/>
      </w:pPr>
      <w:r w:rsidRPr="6B291AFB" w:rsidR="6B291AFB">
        <w:rPr>
          <w:b w:val="1"/>
          <w:bCs w:val="1"/>
        </w:rPr>
        <w:t>Mix/jakość:</w:t>
      </w:r>
      <w:r w:rsidR="6B291AFB">
        <w:rPr/>
        <w:t xml:space="preserve"> inni gracze, inne źródła, inny partner.</w:t>
      </w:r>
    </w:p>
    <w:p xmlns:wp14="http://schemas.microsoft.com/office/word/2010/wordml" w14:paraId="28D4519F" wp14:textId="77777777">
      <w:pPr>
        <w:pStyle w:val="ListParagraph"/>
        <w:numPr>
          <w:ilvl w:val="0"/>
          <w:numId w:val="2"/>
        </w:numPr>
        <w:spacing w:after="60"/>
        <w:rPr/>
      </w:pPr>
      <w:r w:rsidRPr="6B291AFB" w:rsidR="6B291AFB">
        <w:rPr>
          <w:b w:val="1"/>
          <w:bCs w:val="1"/>
        </w:rPr>
        <w:t>Timing:</w:t>
      </w:r>
      <w:r w:rsidR="6B291AFB">
        <w:rPr/>
        <w:t xml:space="preserve"> opóźnione rozliczenia, przesunięcie sezonu.</w:t>
      </w:r>
    </w:p>
    <w:p xmlns:wp14="http://schemas.microsoft.com/office/word/2010/wordml" w14:paraId="0D2EC5A0" wp14:textId="77777777">
      <w:pPr>
        <w:pStyle w:val="ListParagraph"/>
        <w:numPr>
          <w:ilvl w:val="0"/>
          <w:numId w:val="2"/>
        </w:numPr>
        <w:spacing w:after="60"/>
        <w:rPr/>
      </w:pPr>
      <w:r w:rsidRPr="4A73A885" w:rsidR="6B291AFB">
        <w:rPr>
          <w:b w:val="1"/>
          <w:bCs w:val="1"/>
        </w:rPr>
        <w:t>Jednorazowe:</w:t>
      </w:r>
      <w:r w:rsidR="6B291AFB">
        <w:rPr/>
        <w:t xml:space="preserve"> wygrane graczy, korekty, negative carryover.</w:t>
      </w:r>
    </w:p>
    <w:p xmlns:wp14="http://schemas.microsoft.com/office/word/2010/wordml" w:rsidP="4A73A885" w14:paraId="4CC0E9D3" wp14:textId="4B879D0A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</w:pPr>
      <w:r w:rsidRPr="4A73A885" w:rsidR="5D13B195">
        <w:rPr>
          <w:b w:val="1"/>
          <w:bCs w:val="1"/>
        </w:rPr>
        <w:t>Założenia</w:t>
      </w:r>
      <w:r w:rsidRPr="4A73A885" w:rsidR="6B291AFB">
        <w:rPr>
          <w:b w:val="1"/>
          <w:bCs w:val="1"/>
        </w:rPr>
        <w:t>:</w:t>
      </w:r>
      <w:r w:rsidR="6B291AFB">
        <w:rPr/>
        <w:t xml:space="preserve"> </w:t>
      </w:r>
      <w:r w:rsidRPr="4A73A885" w:rsidR="6B291AFB">
        <w:rPr>
          <w:i w:val="1"/>
          <w:iCs w:val="1"/>
        </w:rPr>
        <w:t>"Forecast to hipoteza z założeniami. Jak się mylę, pokazuję, które założenie nie zadziałało, i poprawiam model."</w:t>
      </w:r>
    </w:p>
    <w:p xmlns:wp14="http://schemas.microsoft.com/office/word/2010/wordml" w14:paraId="01FF62B1" wp14:textId="77777777">
      <w:pPr>
        <w:pStyle w:val="Heading2"/>
      </w:pPr>
      <w:r w:rsidR="6B291AFB">
        <w:rPr/>
        <w:t>3. Wymagania: punkt po punkcie</w:t>
      </w:r>
    </w:p>
    <w:p xmlns:wp14="http://schemas.microsoft.com/office/word/2010/wordml" w14:paraId="22FEF9E1" wp14:textId="77777777">
      <w:pPr>
        <w:pStyle w:val="Heading3"/>
      </w:pPr>
      <w:r w:rsidR="6B291AFB">
        <w:rPr/>
        <w:t>3.1. Zrozumienie sportu i poruszanie się w świecie sportowym</w:t>
      </w:r>
    </w:p>
    <w:p xmlns:wp14="http://schemas.microsoft.com/office/word/2010/wordml" w14:paraId="2FDF9869" wp14:textId="77777777">
      <w:pPr>
        <w:spacing w:after="120"/>
      </w:pPr>
      <w:r w:rsidR="6B291AFB">
        <w:rPr/>
        <w:t>Przygotuj się praktycznie:</w:t>
      </w:r>
    </w:p>
    <w:p xmlns:wp14="http://schemas.microsoft.com/office/word/2010/wordml" w14:paraId="6A70281E" wp14:textId="4D19AB84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 xml:space="preserve">Bądź na bieżąco z wydarzeniami: ligi (Ekstraklasa, Premier </w:t>
      </w:r>
      <w:r w:rsidR="6B291AFB">
        <w:rPr/>
        <w:t>League</w:t>
      </w:r>
      <w:r w:rsidR="6B291AFB">
        <w:rPr/>
        <w:t xml:space="preserve">, </w:t>
      </w:r>
      <w:r w:rsidR="6B291AFB">
        <w:rPr/>
        <w:t>LaLiga</w:t>
      </w:r>
      <w:r w:rsidR="6B291AFB">
        <w:rPr/>
        <w:t xml:space="preserve">), Liga Mistrzów, tenis, NBA, </w:t>
      </w:r>
      <w:commentRangeStart w:id="133"/>
      <w:r w:rsidR="6B291AFB">
        <w:rPr/>
        <w:t>MMA/KSW</w:t>
      </w:r>
      <w:commentRangeEnd w:id="133"/>
      <w:r>
        <w:rPr>
          <w:rStyle w:val="CommentReference"/>
        </w:rPr>
        <w:commentReference w:id="133"/>
      </w:r>
      <w:r w:rsidR="6B291AFB">
        <w:rPr/>
        <w:t>, żużel (firma daje wejścia na żużel, sporty walki i piłkę).</w:t>
      </w:r>
    </w:p>
    <w:p xmlns:wp14="http://schemas.microsoft.com/office/word/2010/wordml" w14:paraId="1E67355E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>Wiedz, jak sport przekłada się na przychód: duże turnieje podnoszą ruch i FTD, rynek bywa sezonowy, wyniki zależą też od wyników zakładów (</w:t>
      </w:r>
      <w:commentRangeStart w:id="135"/>
      <w:r w:rsidR="6B291AFB">
        <w:rPr/>
        <w:t>wariancja</w:t>
      </w:r>
      <w:commentRangeEnd w:id="135"/>
      <w:r>
        <w:rPr>
          <w:rStyle w:val="CommentReference"/>
        </w:rPr>
        <w:commentReference w:id="135"/>
      </w:r>
      <w:r w:rsidR="6B291AFB">
        <w:rPr/>
        <w:t>).</w:t>
      </w:r>
    </w:p>
    <w:p xmlns:wp14="http://schemas.microsoft.com/office/word/2010/wordml" w14:paraId="716B90C4" wp14:textId="77777777">
      <w:pPr>
        <w:pStyle w:val="Heading3"/>
      </w:pPr>
      <w:r w:rsidR="6B291AFB">
        <w:rPr/>
        <w:t>3.2. Arkusze kalkulacyjne (najlepiej Google Sheets)</w:t>
      </w:r>
    </w:p>
    <w:p xmlns:wp14="http://schemas.microsoft.com/office/word/2010/wordml" w14:paraId="0D8C0199" wp14:textId="4DCAD7E0">
      <w:pPr>
        <w:spacing w:after="120"/>
      </w:pPr>
      <w:r w:rsidR="28F5EBC1">
        <w:rPr/>
        <w:t>Przykładowe narzędzia</w:t>
      </w:r>
      <w:r w:rsidR="6B291AFB">
        <w:rPr/>
        <w:t xml:space="preserve">: QUERY, ARRAYFORMULA, XLOOKUP/VLOOKUP, </w:t>
      </w:r>
      <w:commentRangeStart w:id="136"/>
      <w:r w:rsidR="6B291AFB">
        <w:rPr/>
        <w:t>SUMIFS/COUNTIFS</w:t>
      </w:r>
      <w:commentRangeEnd w:id="136"/>
      <w:r>
        <w:rPr>
          <w:rStyle w:val="CommentReference"/>
        </w:rPr>
        <w:commentReference w:id="136"/>
      </w:r>
      <w:r w:rsidR="6B291AFB">
        <w:rPr/>
        <w:t xml:space="preserve">, tabele przestawne, </w:t>
      </w:r>
      <w:commentRangeStart w:id="137"/>
      <w:r w:rsidR="6B291AFB">
        <w:rPr/>
        <w:t>IMPORTRANGE</w:t>
      </w:r>
      <w:commentRangeEnd w:id="137"/>
      <w:r>
        <w:rPr>
          <w:rStyle w:val="CommentReference"/>
        </w:rPr>
        <w:commentReference w:id="137"/>
      </w:r>
      <w:r w:rsidR="6B291AFB">
        <w:rPr/>
        <w:t xml:space="preserve">, wykresy, </w:t>
      </w:r>
      <w:commentRangeStart w:id="138"/>
      <w:r w:rsidR="6B291AFB">
        <w:rPr/>
        <w:t>walidacja danych</w:t>
      </w:r>
      <w:commentRangeEnd w:id="138"/>
      <w:r>
        <w:rPr>
          <w:rStyle w:val="CommentReference"/>
        </w:rPr>
        <w:commentReference w:id="138"/>
      </w:r>
      <w:r w:rsidR="6B291AFB">
        <w:rPr/>
        <w:t xml:space="preserve">, </w:t>
      </w:r>
      <w:commentRangeStart w:id="139"/>
      <w:r w:rsidR="6B291AFB">
        <w:rPr/>
        <w:t>ochrona zakresów</w:t>
      </w:r>
      <w:commentRangeEnd w:id="139"/>
      <w:r>
        <w:rPr>
          <w:rStyle w:val="CommentReference"/>
        </w:rPr>
        <w:commentReference w:id="139"/>
      </w:r>
      <w:r w:rsidR="6B291AFB">
        <w:rPr/>
        <w:t>, współpraca/komentarze.</w:t>
      </w:r>
    </w:p>
    <w:p xmlns:wp14="http://schemas.microsoft.com/office/word/2010/wordml" w14:paraId="0E0D20DC" wp14:textId="77777777">
      <w:pPr>
        <w:pStyle w:val="Heading3"/>
      </w:pPr>
      <w:r w:rsidR="6B291AFB">
        <w:rPr/>
        <w:t>3.3. Modelowanie finansowe i prognozowanie</w:t>
      </w:r>
    </w:p>
    <w:p xmlns:wp14="http://schemas.microsoft.com/office/word/2010/wordml" w14:paraId="7086AFD1" wp14:textId="77777777">
      <w:pPr>
        <w:spacing w:after="120"/>
      </w:pPr>
      <w:r w:rsidR="6B291AFB">
        <w:rPr/>
        <w:t xml:space="preserve">Patrz 2.6 i 2.10. Dodaj: </w:t>
      </w:r>
      <w:commentRangeStart w:id="140"/>
      <w:r w:rsidR="6B291AFB">
        <w:rPr/>
        <w:t>analiza wrażliwości</w:t>
      </w:r>
      <w:commentRangeEnd w:id="140"/>
      <w:r>
        <w:rPr>
          <w:rStyle w:val="CommentReference"/>
        </w:rPr>
        <w:commentReference w:id="140"/>
      </w:r>
      <w:r w:rsidR="6B291AFB">
        <w:rPr/>
        <w:t xml:space="preserve"> (co jeśli retencja −10%), scenariusze, zasada "model przejrzysty, założenia na wierzchu".</w:t>
      </w:r>
    </w:p>
    <w:p xmlns:wp14="http://schemas.microsoft.com/office/word/2010/wordml" w14:paraId="286DF9BC" wp14:textId="77777777">
      <w:pPr>
        <w:pStyle w:val="Heading3"/>
      </w:pPr>
      <w:r w:rsidR="6B291AFB">
        <w:rPr/>
        <w:t>3.4. Podstawy compliance regulacyjnego w iGamingu w Polsce</w:t>
      </w:r>
    </w:p>
    <w:p xmlns:wp14="http://schemas.microsoft.com/office/word/2010/wordml" w14:paraId="00CC6F28" wp14:textId="77777777">
      <w:pPr>
        <w:spacing w:after="120"/>
      </w:pPr>
      <w:r w:rsidR="6B291AFB">
        <w:rPr/>
        <w:t>Patrz 2.7.</w:t>
      </w:r>
    </w:p>
    <w:p xmlns:wp14="http://schemas.microsoft.com/office/word/2010/wordml" w14:paraId="344F84E9" wp14:textId="77777777">
      <w:pPr>
        <w:pStyle w:val="Heading3"/>
      </w:pPr>
      <w:r w:rsidR="6B291AFB">
        <w:rPr/>
        <w:t xml:space="preserve">3.5. Dokładność, </w:t>
      </w:r>
      <w:commentRangeStart w:id="141"/>
      <w:r w:rsidR="6B291AFB">
        <w:rPr/>
        <w:t>proaktywność</w:t>
      </w:r>
      <w:commentRangeEnd w:id="141"/>
      <w:r>
        <w:rPr>
          <w:rStyle w:val="CommentReference"/>
        </w:rPr>
        <w:commentReference w:id="141"/>
      </w:r>
      <w:r w:rsidR="6B291AFB">
        <w:rPr/>
        <w:t>, otwartość na nowe pomysły</w:t>
      </w:r>
    </w:p>
    <w:p xmlns:wp14="http://schemas.microsoft.com/office/word/2010/wordml" w:rsidP="3B687CB2" w14:paraId="72799D7B" wp14:textId="4F743478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</w:pPr>
      <w:r w:rsidR="7F1880B5">
        <w:rPr/>
        <w:t>Stosowanie metody</w:t>
      </w:r>
      <w:r w:rsidR="6B291AFB">
        <w:rPr/>
        <w:t xml:space="preserve"> (</w:t>
      </w:r>
      <w:commentRangeStart w:id="142"/>
      <w:r w:rsidR="6B291AFB">
        <w:rPr/>
        <w:t>STAR</w:t>
      </w:r>
      <w:commentRangeEnd w:id="142"/>
      <w:r>
        <w:rPr>
          <w:rStyle w:val="CommentReference"/>
        </w:rPr>
        <w:commentReference w:id="142"/>
      </w:r>
      <w:r w:rsidR="6B291AFB">
        <w:rPr/>
        <w:t>).</w:t>
      </w:r>
    </w:p>
    <w:p xmlns:wp14="http://schemas.microsoft.com/office/word/2010/wordml" w14:paraId="03F9490B" wp14:textId="77777777">
      <w:pPr>
        <w:pStyle w:val="Heading3"/>
      </w:pPr>
      <w:r w:rsidR="6B291AFB">
        <w:rPr/>
        <w:t>3.6. Odporność na stres i praca pod presją czasu</w:t>
      </w:r>
    </w:p>
    <w:p xmlns:wp14="http://schemas.microsoft.com/office/word/2010/wordml" w14:paraId="1DC68342" wp14:textId="36971866">
      <w:pPr>
        <w:spacing w:after="120"/>
      </w:pPr>
      <w:r w:rsidR="6B291AFB">
        <w:rPr/>
        <w:t>Rola ma stały rytm (</w:t>
      </w:r>
      <w:commentRangeStart w:id="143"/>
      <w:r w:rsidR="6B291AFB">
        <w:rPr/>
        <w:t>zamknięcie miesiąca</w:t>
      </w:r>
      <w:commentRangeEnd w:id="143"/>
      <w:r>
        <w:rPr>
          <w:rStyle w:val="CommentReference"/>
        </w:rPr>
        <w:commentReference w:id="143"/>
      </w:r>
      <w:r w:rsidR="6B291AFB">
        <w:rPr/>
        <w:t>, rozliczenia) i zrywy (turnieje, zmiany ofert).</w:t>
      </w:r>
    </w:p>
    <w:p xmlns:wp14="http://schemas.microsoft.com/office/word/2010/wordml" w14:paraId="7CA4DDFE" wp14:textId="51105808">
      <w:pPr>
        <w:pStyle w:val="Heading3"/>
      </w:pPr>
      <w:r w:rsidR="6B291AFB">
        <w:rPr/>
        <w:t>3.7. Angielski</w:t>
      </w:r>
    </w:p>
    <w:p xmlns:wp14="http://schemas.microsoft.com/office/word/2010/wordml" w14:paraId="7D89F5B6" wp14:textId="1F3C2906">
      <w:pPr>
        <w:spacing w:after="120"/>
      </w:pPr>
      <w:r w:rsidR="6B291AFB">
        <w:rPr/>
        <w:t xml:space="preserve">Słownictwo: </w:t>
      </w:r>
      <w:commentRangeStart w:id="146"/>
      <w:r w:rsidRPr="40E509F9" w:rsidR="6B291AFB">
        <w:rPr>
          <w:i w:val="1"/>
          <w:iCs w:val="1"/>
        </w:rPr>
        <w:t>conversion rate, retention, cohort, revenue share, payout, reconciliation, forecast, compliance, onboarding</w:t>
      </w:r>
      <w:commentRangeEnd w:id="146"/>
      <w:r>
        <w:rPr>
          <w:rStyle w:val="CommentReference"/>
        </w:rPr>
        <w:commentReference w:id="146"/>
      </w:r>
      <w:r w:rsidR="6B291AFB">
        <w:rPr/>
        <w:t>.</w:t>
      </w:r>
    </w:p>
    <w:p xmlns:wp14="http://schemas.microsoft.com/office/word/2010/wordml" w:rsidP="3B687CB2" w14:paraId="0FBFD6FC" wp14:textId="3AB19C9B">
      <w:pPr>
        <w:pStyle w:val="Heading2"/>
        <w:suppressLineNumbers w:val="0"/>
        <w:bidi w:val="0"/>
        <w:spacing w:before="320" w:beforeAutospacing="off" w:after="120" w:afterAutospacing="off" w:line="259" w:lineRule="auto"/>
        <w:ind w:left="0" w:right="0"/>
        <w:jc w:val="left"/>
      </w:pPr>
      <w:r w:rsidR="6B291AFB">
        <w:rPr/>
        <w:t xml:space="preserve">4. </w:t>
      </w:r>
      <w:r w:rsidR="277ABE84">
        <w:rPr/>
        <w:t>Metryki</w:t>
      </w:r>
    </w:p>
    <w:p xmlns:wp14="http://schemas.microsoft.com/office/word/2010/wordml" w14:paraId="429E6FB0" wp14:textId="77777777">
      <w:pPr>
        <w:spacing w:after="120"/>
      </w:pPr>
      <w:r w:rsidRPr="6B291AFB" w:rsidR="6B291AFB">
        <w:rPr>
          <w:b w:val="1"/>
          <w:bCs w:val="1"/>
        </w:rPr>
        <w:t>Metryki iGamingu (szybki słownik):</w:t>
      </w:r>
    </w:p>
    <w:p xmlns:wp14="http://schemas.microsoft.com/office/word/2010/wordml" w14:paraId="632AAACF" wp14:textId="77777777">
      <w:pPr>
        <w:pStyle w:val="ListParagraph"/>
        <w:numPr>
          <w:ilvl w:val="0"/>
          <w:numId w:val="2"/>
        </w:numPr>
        <w:spacing w:after="60"/>
        <w:rPr/>
      </w:pPr>
      <w:r w:rsidRPr="6B291AFB" w:rsidR="6B291AFB">
        <w:rPr>
          <w:b w:val="1"/>
          <w:bCs w:val="1"/>
        </w:rPr>
        <w:t>GGR:</w:t>
      </w:r>
      <w:r w:rsidR="6B291AFB">
        <w:rPr/>
        <w:t xml:space="preserve"> </w:t>
      </w:r>
      <w:commentRangeStart w:id="147"/>
      <w:r w:rsidR="6B291AFB">
        <w:rPr/>
        <w:t>stawki</w:t>
      </w:r>
      <w:commentRangeEnd w:id="147"/>
      <w:r>
        <w:rPr>
          <w:rStyle w:val="CommentReference"/>
        </w:rPr>
        <w:commentReference w:id="147"/>
      </w:r>
      <w:r w:rsidR="6B291AFB">
        <w:rPr/>
        <w:t xml:space="preserve"> minus wypłacone wygrane (</w:t>
      </w:r>
      <w:commentRangeStart w:id="148"/>
      <w:r w:rsidR="6B291AFB">
        <w:rPr/>
        <w:t>przychód brutto</w:t>
      </w:r>
      <w:commentRangeEnd w:id="148"/>
      <w:r>
        <w:rPr>
          <w:rStyle w:val="CommentReference"/>
        </w:rPr>
        <w:commentReference w:id="148"/>
      </w:r>
      <w:r w:rsidR="6B291AFB">
        <w:rPr/>
        <w:t xml:space="preserve"> operatora).</w:t>
      </w:r>
    </w:p>
    <w:p xmlns:wp14="http://schemas.microsoft.com/office/word/2010/wordml" w14:paraId="75E26085" wp14:textId="77777777">
      <w:pPr>
        <w:pStyle w:val="ListParagraph"/>
        <w:numPr>
          <w:ilvl w:val="0"/>
          <w:numId w:val="2"/>
        </w:numPr>
        <w:spacing w:after="60"/>
        <w:rPr/>
      </w:pPr>
      <w:r w:rsidRPr="6B291AFB" w:rsidR="6B291AFB">
        <w:rPr>
          <w:b w:val="1"/>
          <w:bCs w:val="1"/>
        </w:rPr>
        <w:t>NGR:</w:t>
      </w:r>
      <w:r w:rsidR="6B291AFB">
        <w:rPr/>
        <w:t xml:space="preserve"> GGR minus bonusy, podatki, opłaty (definicja zależy od umowy).</w:t>
      </w:r>
    </w:p>
    <w:p xmlns:wp14="http://schemas.microsoft.com/office/word/2010/wordml" w14:paraId="664174B2" wp14:textId="77777777">
      <w:pPr>
        <w:pStyle w:val="ListParagraph"/>
        <w:numPr>
          <w:ilvl w:val="0"/>
          <w:numId w:val="2"/>
        </w:numPr>
        <w:spacing w:after="60"/>
        <w:rPr/>
      </w:pPr>
      <w:r w:rsidRPr="6B291AFB" w:rsidR="6B291AFB">
        <w:rPr>
          <w:b w:val="1"/>
          <w:bCs w:val="1"/>
        </w:rPr>
        <w:t>FTD:</w:t>
      </w:r>
      <w:r w:rsidR="6B291AFB">
        <w:rPr/>
        <w:t xml:space="preserve"> first-time depositor, gracz, który wpłacił pierwszy raz.</w:t>
      </w:r>
    </w:p>
    <w:p xmlns:wp14="http://schemas.microsoft.com/office/word/2010/wordml" w14:paraId="3928C1F1" wp14:textId="77777777">
      <w:pPr>
        <w:pStyle w:val="ListParagraph"/>
        <w:numPr>
          <w:ilvl w:val="0"/>
          <w:numId w:val="2"/>
        </w:numPr>
        <w:spacing w:after="60"/>
        <w:rPr/>
      </w:pPr>
      <w:r w:rsidRPr="6B291AFB" w:rsidR="6B291AFB">
        <w:rPr>
          <w:b w:val="1"/>
          <w:bCs w:val="1"/>
        </w:rPr>
        <w:t>LTV, churn:</w:t>
      </w:r>
      <w:r w:rsidR="6B291AFB">
        <w:rPr/>
        <w:t xml:space="preserve"> patrz 2.5.</w:t>
      </w:r>
    </w:p>
    <w:p xmlns:wp14="http://schemas.microsoft.com/office/word/2010/wordml" w14:paraId="18A73C4F" wp14:textId="77777777">
      <w:pPr>
        <w:pStyle w:val="ListParagraph"/>
        <w:numPr>
          <w:ilvl w:val="0"/>
          <w:numId w:val="2"/>
        </w:numPr>
        <w:spacing w:after="60"/>
        <w:rPr/>
      </w:pPr>
      <w:r w:rsidR="6B291AFB">
        <w:rPr/>
        <w:t xml:space="preserve">Dodatkowo: </w:t>
      </w:r>
      <w:commentRangeStart w:id="149"/>
      <w:r w:rsidRPr="6B291AFB" w:rsidR="6B291AFB">
        <w:rPr>
          <w:b w:val="1"/>
          <w:bCs w:val="1"/>
        </w:rPr>
        <w:t>CPA</w:t>
      </w:r>
      <w:commentRangeEnd w:id="149"/>
      <w:r>
        <w:rPr>
          <w:rStyle w:val="CommentReference"/>
        </w:rPr>
        <w:commentReference w:id="149"/>
      </w:r>
      <w:r w:rsidRPr="6B291AFB" w:rsidR="6B291AFB">
        <w:rPr>
          <w:b w:val="1"/>
          <w:bCs w:val="1"/>
        </w:rPr>
        <w:t xml:space="preserve">, </w:t>
      </w:r>
      <w:commentRangeStart w:id="150"/>
      <w:r w:rsidRPr="6B291AFB" w:rsidR="6B291AFB">
        <w:rPr>
          <w:b w:val="1"/>
          <w:bCs w:val="1"/>
        </w:rPr>
        <w:t>RevShare</w:t>
      </w:r>
      <w:commentRangeEnd w:id="150"/>
      <w:r>
        <w:rPr>
          <w:rStyle w:val="CommentReference"/>
        </w:rPr>
        <w:commentReference w:id="150"/>
      </w:r>
      <w:r w:rsidR="6B291AFB">
        <w:rPr/>
        <w:t xml:space="preserve">, </w:t>
      </w:r>
      <w:commentRangeStart w:id="151"/>
      <w:r w:rsidRPr="6B291AFB" w:rsidR="6B291AFB">
        <w:rPr>
          <w:b w:val="1"/>
          <w:bCs w:val="1"/>
        </w:rPr>
        <w:t>ARPU, ARPPU</w:t>
      </w:r>
      <w:commentRangeEnd w:id="151"/>
      <w:r>
        <w:rPr>
          <w:rStyle w:val="CommentReference"/>
        </w:rPr>
        <w:commentReference w:id="151"/>
      </w:r>
      <w:r w:rsidR="6B291AFB">
        <w:rPr/>
        <w:t xml:space="preserve">, </w:t>
      </w:r>
      <w:commentRangeStart w:id="152"/>
      <w:r w:rsidRPr="6B291AFB" w:rsidR="6B291AFB">
        <w:rPr>
          <w:b w:val="1"/>
          <w:bCs w:val="1"/>
        </w:rPr>
        <w:t>CR</w:t>
      </w:r>
      <w:commentRangeEnd w:id="152"/>
      <w:r>
        <w:rPr>
          <w:rStyle w:val="CommentReference"/>
        </w:rPr>
        <w:commentReference w:id="152"/>
      </w:r>
      <w:r w:rsidR="6B291AFB">
        <w:rPr/>
        <w:t xml:space="preserve">, </w:t>
      </w:r>
      <w:commentRangeStart w:id="153"/>
      <w:r w:rsidRPr="6B291AFB" w:rsidR="6B291AFB">
        <w:rPr>
          <w:b w:val="1"/>
          <w:bCs w:val="1"/>
        </w:rPr>
        <w:t>EPC</w:t>
      </w:r>
      <w:commentRangeEnd w:id="153"/>
      <w:r>
        <w:rPr>
          <w:rStyle w:val="CommentReference"/>
        </w:rPr>
        <w:commentReference w:id="153"/>
      </w:r>
      <w:r w:rsidR="6B291AFB">
        <w:rPr/>
        <w:t xml:space="preserve"> (earnings per click), </w:t>
      </w:r>
      <w:commentRangeStart w:id="154"/>
      <w:r w:rsidRPr="6B291AFB" w:rsidR="6B291AFB">
        <w:rPr>
          <w:b w:val="1"/>
          <w:bCs w:val="1"/>
        </w:rPr>
        <w:t>active players</w:t>
      </w:r>
      <w:commentRangeEnd w:id="154"/>
      <w:r>
        <w:rPr>
          <w:rStyle w:val="CommentReference"/>
        </w:rPr>
        <w:commentReference w:id="154"/>
      </w:r>
      <w:r w:rsidR="6B291AFB">
        <w:rPr/>
        <w:t xml:space="preserve">, </w:t>
      </w:r>
      <w:commentRangeStart w:id="155"/>
      <w:r w:rsidRPr="6B291AFB" w:rsidR="6B291AFB">
        <w:rPr>
          <w:b w:val="1"/>
          <w:bCs w:val="1"/>
        </w:rPr>
        <w:t>hold %</w:t>
      </w:r>
      <w:commentRangeEnd w:id="155"/>
      <w:r>
        <w:rPr>
          <w:rStyle w:val="CommentReference"/>
        </w:rPr>
        <w:commentReference w:id="155"/>
      </w:r>
      <w:r w:rsidR="6B291AFB">
        <w:rPr/>
        <w:t xml:space="preserve">, </w:t>
      </w:r>
      <w:commentRangeStart w:id="156"/>
      <w:r w:rsidRPr="6B291AFB" w:rsidR="6B291AFB">
        <w:rPr>
          <w:b w:val="1"/>
          <w:bCs w:val="1"/>
        </w:rPr>
        <w:t>bonus abuse</w:t>
      </w:r>
      <w:commentRangeEnd w:id="156"/>
      <w:r>
        <w:rPr>
          <w:rStyle w:val="CommentReference"/>
        </w:rPr>
        <w:commentReference w:id="156"/>
      </w:r>
      <w:r w:rsidR="6B291AFB">
        <w:rPr/>
        <w:t xml:space="preserve">, </w:t>
      </w:r>
      <w:commentRangeStart w:id="157"/>
      <w:r w:rsidRPr="6B291AFB" w:rsidR="6B291AFB">
        <w:rPr>
          <w:b w:val="1"/>
          <w:bCs w:val="1"/>
        </w:rPr>
        <w:t>KYC</w:t>
      </w:r>
      <w:commentRangeEnd w:id="157"/>
      <w:r>
        <w:rPr>
          <w:rStyle w:val="CommentReference"/>
        </w:rPr>
        <w:commentReference w:id="157"/>
      </w:r>
      <w:r w:rsidR="6B291AFB">
        <w:rPr/>
        <w:t>.</w:t>
      </w:r>
    </w:p>
    <w:p xmlns:wp14="http://schemas.microsoft.com/office/word/2010/wordml" w:rsidP="40E509F9" w14:paraId="4C9D7EB1" wp14:textId="36B85CAC">
      <w:pPr>
        <w:spacing w:after="120"/>
        <w:rPr>
          <w:b w:val="1"/>
          <w:bCs w:val="1"/>
        </w:rPr>
      </w:pPr>
      <w:commentRangeStart w:id="158"/>
      <w:r w:rsidRPr="40E509F9" w:rsidR="6B291AFB">
        <w:rPr>
          <w:b w:val="1"/>
          <w:bCs w:val="1"/>
        </w:rPr>
        <w:t>Attio</w:t>
      </w:r>
      <w:commentRangeEnd w:id="158"/>
      <w:r>
        <w:rPr>
          <w:rStyle w:val="CommentReference"/>
        </w:rPr>
        <w:commentReference w:id="158"/>
      </w:r>
      <w:r w:rsidRPr="40E509F9" w:rsidR="6B291AFB">
        <w:rPr>
          <w:b w:val="1"/>
          <w:bCs w:val="1"/>
        </w:rPr>
        <w:t xml:space="preserve"> (</w:t>
      </w:r>
      <w:commentRangeStart w:id="159"/>
      <w:r w:rsidRPr="40E509F9" w:rsidR="6B291AFB">
        <w:rPr>
          <w:b w:val="1"/>
          <w:bCs w:val="1"/>
        </w:rPr>
        <w:t>CRM</w:t>
      </w:r>
      <w:commentRangeEnd w:id="159"/>
      <w:r>
        <w:rPr>
          <w:rStyle w:val="CommentReference"/>
        </w:rPr>
        <w:commentReference w:id="159"/>
      </w:r>
      <w:r w:rsidRPr="40E509F9" w:rsidR="6B291AFB">
        <w:rPr>
          <w:b w:val="1"/>
          <w:bCs w:val="1"/>
        </w:rPr>
        <w:t xml:space="preserve">), </w:t>
      </w:r>
      <w:commentRangeStart w:id="160"/>
      <w:r w:rsidRPr="40E509F9" w:rsidR="6B291AFB">
        <w:rPr>
          <w:b w:val="1"/>
          <w:bCs w:val="1"/>
        </w:rPr>
        <w:t>JIRA</w:t>
      </w:r>
      <w:commentRangeEnd w:id="160"/>
      <w:r>
        <w:rPr>
          <w:rStyle w:val="CommentReference"/>
        </w:rPr>
        <w:commentReference w:id="160"/>
      </w:r>
      <w:r w:rsidRPr="40E509F9" w:rsidR="6B291AFB">
        <w:rPr>
          <w:b w:val="1"/>
          <w:bCs w:val="1"/>
        </w:rPr>
        <w:t xml:space="preserve">, </w:t>
      </w:r>
      <w:commentRangeStart w:id="161"/>
      <w:r w:rsidRPr="40E509F9" w:rsidR="6B291AFB">
        <w:rPr>
          <w:b w:val="1"/>
          <w:bCs w:val="1"/>
        </w:rPr>
        <w:t>Confluence</w:t>
      </w:r>
      <w:commentRangeEnd w:id="161"/>
      <w:r>
        <w:rPr>
          <w:rStyle w:val="CommentReference"/>
        </w:rPr>
        <w:commentReference w:id="161"/>
      </w:r>
    </w:p>
    <w:p w:rsidR="4831CD18" w:rsidP="2C1A6BC1" w:rsidRDefault="4831CD18" w14:paraId="25B284B4" w14:textId="19AF929A">
      <w:pPr>
        <w:pStyle w:val="Normal"/>
      </w:pPr>
    </w:p>
    <w:p w:rsidR="317CDC9E" w:rsidP="3B687CB2" w:rsidRDefault="317CDC9E" w14:paraId="6B7B3310" w14:textId="60D68713">
      <w:pPr>
        <w:pStyle w:val="Heading2"/>
        <w:suppressLineNumbers w:val="0"/>
        <w:bidi w:val="0"/>
        <w:spacing w:before="320" w:beforeAutospacing="off" w:after="120" w:afterAutospacing="off" w:line="259" w:lineRule="auto"/>
        <w:ind w:left="0" w:right="0"/>
        <w:jc w:val="left"/>
        <w:rPr>
          <w:noProof/>
          <w:lang w:val="pl-PL"/>
        </w:rPr>
      </w:pPr>
      <w:r w:rsidRPr="3B687CB2" w:rsidR="77F4CAB4">
        <w:rPr>
          <w:noProof/>
          <w:lang w:val="pl-PL"/>
        </w:rPr>
        <w:t>5</w:t>
      </w:r>
      <w:r w:rsidRPr="3B687CB2" w:rsidR="317CDC9E">
        <w:rPr>
          <w:noProof/>
          <w:lang w:val="pl-PL"/>
        </w:rPr>
        <w:t xml:space="preserve">. </w:t>
      </w:r>
      <w:r w:rsidRPr="3B687CB2" w:rsidR="32AB6390">
        <w:rPr>
          <w:noProof/>
          <w:lang w:val="pl-PL"/>
        </w:rPr>
        <w:t xml:space="preserve">Zadanie - </w:t>
      </w:r>
      <w:r w:rsidRPr="3B687CB2" w:rsidR="32AB6390">
        <w:rPr>
          <w:noProof/>
          <w:lang w:val="pl-PL"/>
        </w:rPr>
        <w:t>P</w:t>
      </w:r>
      <w:r w:rsidRPr="3B687CB2" w:rsidR="1023562C">
        <w:rPr>
          <w:noProof/>
          <w:lang w:val="pl-PL"/>
        </w:rPr>
        <w:t>yta</w:t>
      </w:r>
      <w:r w:rsidRPr="3B687CB2" w:rsidR="719EBA76">
        <w:rPr>
          <w:noProof/>
          <w:lang w:val="pl-PL"/>
        </w:rPr>
        <w:t>nia</w:t>
      </w:r>
      <w:r w:rsidRPr="3B687CB2" w:rsidR="1023562C">
        <w:rPr>
          <w:noProof/>
          <w:lang w:val="pl-PL"/>
        </w:rPr>
        <w:t xml:space="preserve"> techniczn</w:t>
      </w:r>
      <w:r w:rsidRPr="3B687CB2" w:rsidR="59491C89">
        <w:rPr>
          <w:noProof/>
          <w:lang w:val="pl-PL"/>
        </w:rPr>
        <w:t>e</w:t>
      </w:r>
    </w:p>
    <w:p w:rsidR="75ABB98F" w:rsidP="2C1A6BC1" w:rsidRDefault="75ABB98F" w14:paraId="6BB6EDB5" w14:textId="4D5B88B4">
      <w:pPr>
        <w:spacing w:before="240" w:beforeAutospacing="off" w:after="240" w:afterAutospacing="off"/>
      </w:pPr>
      <w:r w:rsidRPr="2C1A6BC1" w:rsidR="75ABB98F">
        <w:rPr>
          <w:rFonts w:ascii="Arial" w:hAnsi="Arial" w:eastAsia="Arial" w:cs="Arial"/>
          <w:b w:val="1"/>
          <w:bCs w:val="1"/>
          <w:noProof/>
          <w:sz w:val="22"/>
          <w:szCs w:val="22"/>
          <w:lang w:val="pl-PL"/>
        </w:rPr>
        <w:t>1. Jaka jest różnica między GGR a NGR i dlaczego to ważne dla nas?</w:t>
      </w:r>
      <w:r>
        <w:br/>
      </w:r>
      <w:r w:rsidRPr="2C1A6BC1" w:rsidR="75ABB98F">
        <w:rPr>
          <w:rFonts w:ascii="Arial" w:hAnsi="Arial" w:eastAsia="Arial" w:cs="Arial"/>
          <w:noProof/>
          <w:sz w:val="22"/>
          <w:szCs w:val="22"/>
          <w:lang w:val="pl-PL"/>
        </w:rPr>
        <w:t xml:space="preserve"> GGR to stawki graczy minus wypłacone wygrane, czyli przychód brutto bukmachera. NGR to GGR po odliczeniu bonusów, podatków i opłat, zależnie od definicji w umowie. Ważne dla nas, bo przy RevShare procent liczy się od NGR. Dlatego zawsze sprawdzam w umowie definicję, bo różne odliczenia dają różną bazę prowizji.</w:t>
      </w:r>
    </w:p>
    <w:p w:rsidR="75ABB98F" w:rsidP="2C1A6BC1" w:rsidRDefault="75ABB98F" w14:paraId="7A5FC419" w14:textId="41AFA7F8">
      <w:pPr>
        <w:spacing w:before="240" w:beforeAutospacing="off" w:after="240" w:afterAutospacing="off"/>
      </w:pPr>
      <w:r w:rsidRPr="2C1A6BC1" w:rsidR="75ABB98F">
        <w:rPr>
          <w:rFonts w:ascii="Arial" w:hAnsi="Arial" w:eastAsia="Arial" w:cs="Arial"/>
          <w:b w:val="1"/>
          <w:bCs w:val="1"/>
          <w:noProof/>
          <w:sz w:val="22"/>
          <w:szCs w:val="22"/>
          <w:lang w:val="pl-PL"/>
        </w:rPr>
        <w:t>2. Kiedy wybierzesz CPA, kiedy RevShare, a kiedy hybrydę?</w:t>
      </w:r>
      <w:r>
        <w:br/>
      </w:r>
      <w:r w:rsidRPr="2C1A6BC1" w:rsidR="75ABB98F">
        <w:rPr>
          <w:rFonts w:ascii="Arial" w:hAnsi="Arial" w:eastAsia="Arial" w:cs="Arial"/>
          <w:noProof/>
          <w:sz w:val="22"/>
          <w:szCs w:val="22"/>
          <w:lang w:val="pl-PL"/>
        </w:rPr>
        <w:t xml:space="preserve"> Zależy od wartości gracza (LTV) i retencji. CPA, gdy gracze szybko odpadają i mało generują, bo dostajemy pieniądze od razu. RevShare, gdy gracze zostają długo i dużo grają. Hybrydę, gdy LTV jest niepewny. Przykład: CPA 150 zł vs RevShare 30%: RevShare wygrywa dopiero, gdy skumulowany NGR gracza przekracza 500 zł (150 ÷ 0,30). Po kilku miesiącach sprawdzam kohorty i renegocjuję.</w:t>
      </w:r>
    </w:p>
    <w:p w:rsidR="75ABB98F" w:rsidP="2C1A6BC1" w:rsidRDefault="75ABB98F" w14:paraId="79FB41DA" w14:textId="7226938D">
      <w:pPr>
        <w:spacing w:before="240" w:beforeAutospacing="off" w:after="240" w:afterAutospacing="off"/>
      </w:pPr>
      <w:r w:rsidRPr="2C1A6BC1" w:rsidR="75ABB98F">
        <w:rPr>
          <w:rFonts w:ascii="Arial" w:hAnsi="Arial" w:eastAsia="Arial" w:cs="Arial"/>
          <w:b w:val="1"/>
          <w:bCs w:val="1"/>
          <w:noProof/>
          <w:sz w:val="22"/>
          <w:szCs w:val="22"/>
          <w:lang w:val="pl-PL"/>
        </w:rPr>
        <w:t>3. Jak policzysz LTV kohorty i do czego go użyjesz?</w:t>
      </w:r>
      <w:r>
        <w:br/>
      </w:r>
      <w:r w:rsidRPr="2C1A6BC1" w:rsidR="75ABB98F">
        <w:rPr>
          <w:rFonts w:ascii="Arial" w:hAnsi="Arial" w:eastAsia="Arial" w:cs="Arial"/>
          <w:noProof/>
          <w:sz w:val="22"/>
          <w:szCs w:val="22"/>
          <w:lang w:val="pl-PL"/>
        </w:rPr>
        <w:t xml:space="preserve"> Biorę grupę graczy, którzy zaczęli w jednym miesiącu, sumuję ich NGR (lub naszą prowizję) w kolejnych miesiącach i dzielę przez liczbę FTD. Wychodzi LTV 3, 6, 12 miesięcy. Używam go do wyboru modelu rozliczenia, do liczenia zwrotu kosztu pozyskania (payback) i do porównania jakości ruchu z różnych źródeł. Brakujące miesiące mogę ekstrapolować, ale zaznaczam to jako założenie.</w:t>
      </w:r>
    </w:p>
    <w:p w:rsidR="75ABB98F" w:rsidP="2C1A6BC1" w:rsidRDefault="75ABB98F" w14:paraId="046EE41E" w14:textId="1A2CD7F1">
      <w:pPr>
        <w:spacing w:before="240" w:beforeAutospacing="off" w:after="240" w:afterAutospacing="off"/>
      </w:pPr>
      <w:r w:rsidRPr="2C1A6BC1" w:rsidR="75ABB98F">
        <w:rPr>
          <w:rFonts w:ascii="Arial" w:hAnsi="Arial" w:eastAsia="Arial" w:cs="Arial"/>
          <w:b w:val="1"/>
          <w:bCs w:val="1"/>
          <w:noProof/>
          <w:sz w:val="22"/>
          <w:szCs w:val="22"/>
          <w:lang w:val="pl-PL"/>
        </w:rPr>
        <w:t>4. Napisz zapytanie SQL, które policzy FTD, NGR i NGR na FTD dla każdego partnera i miesiąca.</w:t>
      </w:r>
    </w:p>
    <w:p w:rsidR="75ABB98F" w:rsidP="2C1A6BC1" w:rsidRDefault="75ABB98F" w14:paraId="47C30972" w14:textId="306BAFC8">
      <w:pPr>
        <w:spacing w:before="0" w:beforeAutospacing="off" w:after="0" w:afterAutospacing="off"/>
      </w:pPr>
      <w:r w:rsidRPr="2C1A6BC1" w:rsidR="75ABB98F">
        <w:rPr>
          <w:rFonts w:ascii="Arial" w:hAnsi="Arial" w:eastAsia="Arial" w:cs="Arial"/>
          <w:noProof/>
          <w:sz w:val="22"/>
          <w:szCs w:val="22"/>
          <w:lang w:val="pl-PL"/>
        </w:rPr>
        <w:t>sql</w:t>
      </w:r>
    </w:p>
    <w:p w:rsidR="75ABB98F" w:rsidP="2C1A6BC1" w:rsidRDefault="75ABB98F" w14:paraId="5C4D346A" w14:textId="5E17D2E8">
      <w:pPr>
        <w:spacing w:before="0" w:beforeAutospacing="off" w:after="0" w:afterAutospacing="off"/>
      </w:pPr>
      <w:r w:rsidRPr="2C1A6BC1" w:rsidR="75ABB98F">
        <w:rPr>
          <w:rFonts w:ascii="Consolas" w:hAnsi="Consolas" w:eastAsia="Consolas" w:cs="Consolas"/>
          <w:noProof/>
          <w:color w:val="CC7BF4"/>
          <w:sz w:val="22"/>
          <w:szCs w:val="22"/>
          <w:lang w:val="pl-PL"/>
        </w:rPr>
        <w:t>SELECT</w:t>
      </w:r>
      <w:r w:rsidRPr="2C1A6BC1" w:rsidR="75ABB98F">
        <w:rPr>
          <w:rFonts w:ascii="Consolas" w:hAnsi="Consolas" w:eastAsia="Consolas" w:cs="Consolas"/>
          <w:noProof/>
          <w:color w:val="EAECF0"/>
          <w:sz w:val="22"/>
          <w:szCs w:val="22"/>
          <w:lang w:val="pl-PL"/>
        </w:rPr>
        <w:t xml:space="preserve"> p.partner_id,</w:t>
      </w:r>
      <w:r>
        <w:br/>
      </w:r>
      <w:r w:rsidRPr="2C1A6BC1" w:rsidR="75ABB98F">
        <w:rPr>
          <w:rFonts w:ascii="Consolas" w:hAnsi="Consolas" w:eastAsia="Consolas" w:cs="Consolas"/>
          <w:noProof/>
          <w:color w:val="EAECF0"/>
          <w:sz w:val="22"/>
          <w:szCs w:val="22"/>
          <w:lang w:val="pl-PL"/>
        </w:rPr>
        <w:t xml:space="preserve">       TRUNC(p.ftd_date, </w:t>
      </w:r>
      <w:r w:rsidRPr="2C1A6BC1" w:rsidR="75ABB98F">
        <w:rPr>
          <w:rFonts w:ascii="Consolas" w:hAnsi="Consolas" w:eastAsia="Consolas" w:cs="Consolas"/>
          <w:noProof/>
          <w:color w:val="9BE963"/>
          <w:sz w:val="22"/>
          <w:szCs w:val="22"/>
          <w:lang w:val="pl-PL"/>
        </w:rPr>
        <w:t>'MM'</w:t>
      </w:r>
      <w:r w:rsidRPr="2C1A6BC1" w:rsidR="75ABB98F">
        <w:rPr>
          <w:rFonts w:ascii="Consolas" w:hAnsi="Consolas" w:eastAsia="Consolas" w:cs="Consolas"/>
          <w:noProof/>
          <w:color w:val="EAECF0"/>
          <w:sz w:val="22"/>
          <w:szCs w:val="22"/>
          <w:lang w:val="pl-PL"/>
        </w:rPr>
        <w:t xml:space="preserve">)                         </w:t>
      </w:r>
      <w:r w:rsidRPr="2C1A6BC1" w:rsidR="75ABB98F">
        <w:rPr>
          <w:rFonts w:ascii="Consolas" w:hAnsi="Consolas" w:eastAsia="Consolas" w:cs="Consolas"/>
          <w:noProof/>
          <w:color w:val="CC7BF4"/>
          <w:sz w:val="22"/>
          <w:szCs w:val="22"/>
          <w:lang w:val="pl-PL"/>
        </w:rPr>
        <w:t>AS</w:t>
      </w:r>
      <w:r w:rsidRPr="2C1A6BC1" w:rsidR="75ABB98F">
        <w:rPr>
          <w:rFonts w:ascii="Consolas" w:hAnsi="Consolas" w:eastAsia="Consolas" w:cs="Consolas"/>
          <w:noProof/>
          <w:color w:val="EAECF0"/>
          <w:sz w:val="22"/>
          <w:szCs w:val="22"/>
          <w:lang w:val="pl-PL"/>
        </w:rPr>
        <w:t xml:space="preserve"> cohort_month,</w:t>
      </w:r>
      <w:r>
        <w:br/>
      </w:r>
      <w:r w:rsidRPr="2C1A6BC1" w:rsidR="75ABB98F">
        <w:rPr>
          <w:rFonts w:ascii="Consolas" w:hAnsi="Consolas" w:eastAsia="Consolas" w:cs="Consolas"/>
          <w:noProof/>
          <w:color w:val="EAECF0"/>
          <w:sz w:val="22"/>
          <w:szCs w:val="22"/>
          <w:lang w:val="pl-PL"/>
        </w:rPr>
        <w:t xml:space="preserve">       </w:t>
      </w:r>
      <w:r w:rsidRPr="2C1A6BC1" w:rsidR="75ABB98F">
        <w:rPr>
          <w:rFonts w:ascii="Consolas" w:hAnsi="Consolas" w:eastAsia="Consolas" w:cs="Consolas"/>
          <w:noProof/>
          <w:color w:val="70B8FF"/>
          <w:sz w:val="22"/>
          <w:szCs w:val="22"/>
          <w:lang w:val="pl-PL"/>
        </w:rPr>
        <w:t>COUNT</w:t>
      </w:r>
      <w:r w:rsidRPr="2C1A6BC1" w:rsidR="75ABB98F">
        <w:rPr>
          <w:rFonts w:ascii="Consolas" w:hAnsi="Consolas" w:eastAsia="Consolas" w:cs="Consolas"/>
          <w:noProof/>
          <w:color w:val="EAECF0"/>
          <w:sz w:val="22"/>
          <w:szCs w:val="22"/>
          <w:lang w:val="pl-PL"/>
        </w:rPr>
        <w:t>(</w:t>
      </w:r>
      <w:r w:rsidRPr="2C1A6BC1" w:rsidR="75ABB98F">
        <w:rPr>
          <w:rFonts w:ascii="Consolas" w:hAnsi="Consolas" w:eastAsia="Consolas" w:cs="Consolas"/>
          <w:noProof/>
          <w:color w:val="CC7BF4"/>
          <w:sz w:val="22"/>
          <w:szCs w:val="22"/>
          <w:lang w:val="pl-PL"/>
        </w:rPr>
        <w:t>DISTINCT</w:t>
      </w:r>
      <w:r w:rsidRPr="2C1A6BC1" w:rsidR="75ABB98F">
        <w:rPr>
          <w:rFonts w:ascii="Consolas" w:hAnsi="Consolas" w:eastAsia="Consolas" w:cs="Consolas"/>
          <w:noProof/>
          <w:color w:val="EAECF0"/>
          <w:sz w:val="22"/>
          <w:szCs w:val="22"/>
          <w:lang w:val="pl-PL"/>
        </w:rPr>
        <w:t xml:space="preserve"> p.player_id)                     </w:t>
      </w:r>
      <w:r w:rsidRPr="2C1A6BC1" w:rsidR="75ABB98F">
        <w:rPr>
          <w:rFonts w:ascii="Consolas" w:hAnsi="Consolas" w:eastAsia="Consolas" w:cs="Consolas"/>
          <w:noProof/>
          <w:color w:val="CC7BF4"/>
          <w:sz w:val="22"/>
          <w:szCs w:val="22"/>
          <w:lang w:val="pl-PL"/>
        </w:rPr>
        <w:t>AS</w:t>
      </w:r>
      <w:r w:rsidRPr="2C1A6BC1" w:rsidR="75ABB98F">
        <w:rPr>
          <w:rFonts w:ascii="Consolas" w:hAnsi="Consolas" w:eastAsia="Consolas" w:cs="Consolas"/>
          <w:noProof/>
          <w:color w:val="EAECF0"/>
          <w:sz w:val="22"/>
          <w:szCs w:val="22"/>
          <w:lang w:val="pl-PL"/>
        </w:rPr>
        <w:t xml:space="preserve"> ftd,</w:t>
      </w:r>
      <w:r>
        <w:br/>
      </w:r>
      <w:r w:rsidRPr="2C1A6BC1" w:rsidR="75ABB98F">
        <w:rPr>
          <w:rFonts w:ascii="Consolas" w:hAnsi="Consolas" w:eastAsia="Consolas" w:cs="Consolas"/>
          <w:noProof/>
          <w:color w:val="EAECF0"/>
          <w:sz w:val="22"/>
          <w:szCs w:val="22"/>
          <w:lang w:val="pl-PL"/>
        </w:rPr>
        <w:t xml:space="preserve">       </w:t>
      </w:r>
      <w:r w:rsidRPr="2C1A6BC1" w:rsidR="75ABB98F">
        <w:rPr>
          <w:rFonts w:ascii="Consolas" w:hAnsi="Consolas" w:eastAsia="Consolas" w:cs="Consolas"/>
          <w:noProof/>
          <w:color w:val="70B8FF"/>
          <w:sz w:val="22"/>
          <w:szCs w:val="22"/>
          <w:lang w:val="pl-PL"/>
        </w:rPr>
        <w:t>SUM</w:t>
      </w:r>
      <w:r w:rsidRPr="2C1A6BC1" w:rsidR="75ABB98F">
        <w:rPr>
          <w:rFonts w:ascii="Consolas" w:hAnsi="Consolas" w:eastAsia="Consolas" w:cs="Consolas"/>
          <w:noProof/>
          <w:color w:val="EAECF0"/>
          <w:sz w:val="22"/>
          <w:szCs w:val="22"/>
          <w:lang w:val="pl-PL"/>
        </w:rPr>
        <w:t xml:space="preserve">(n.ngr)                                      </w:t>
      </w:r>
      <w:r w:rsidRPr="2C1A6BC1" w:rsidR="75ABB98F">
        <w:rPr>
          <w:rFonts w:ascii="Consolas" w:hAnsi="Consolas" w:eastAsia="Consolas" w:cs="Consolas"/>
          <w:noProof/>
          <w:color w:val="CC7BF4"/>
          <w:sz w:val="22"/>
          <w:szCs w:val="22"/>
          <w:lang w:val="pl-PL"/>
        </w:rPr>
        <w:t>AS</w:t>
      </w:r>
      <w:r w:rsidRPr="2C1A6BC1" w:rsidR="75ABB98F">
        <w:rPr>
          <w:rFonts w:ascii="Consolas" w:hAnsi="Consolas" w:eastAsia="Consolas" w:cs="Consolas"/>
          <w:noProof/>
          <w:color w:val="EAECF0"/>
          <w:sz w:val="22"/>
          <w:szCs w:val="22"/>
          <w:lang w:val="pl-PL"/>
        </w:rPr>
        <w:t xml:space="preserve"> ngr,</w:t>
      </w:r>
      <w:r>
        <w:br/>
      </w:r>
      <w:r w:rsidRPr="2C1A6BC1" w:rsidR="75ABB98F">
        <w:rPr>
          <w:rFonts w:ascii="Consolas" w:hAnsi="Consolas" w:eastAsia="Consolas" w:cs="Consolas"/>
          <w:noProof/>
          <w:color w:val="EAECF0"/>
          <w:sz w:val="22"/>
          <w:szCs w:val="22"/>
          <w:lang w:val="pl-PL"/>
        </w:rPr>
        <w:t xml:space="preserve">       </w:t>
      </w:r>
      <w:r w:rsidRPr="2C1A6BC1" w:rsidR="75ABB98F">
        <w:rPr>
          <w:rFonts w:ascii="Consolas" w:hAnsi="Consolas" w:eastAsia="Consolas" w:cs="Consolas"/>
          <w:noProof/>
          <w:color w:val="70B8FF"/>
          <w:sz w:val="22"/>
          <w:szCs w:val="22"/>
          <w:lang w:val="pl-PL"/>
        </w:rPr>
        <w:t>SUM</w:t>
      </w:r>
      <w:r w:rsidRPr="2C1A6BC1" w:rsidR="75ABB98F">
        <w:rPr>
          <w:rFonts w:ascii="Consolas" w:hAnsi="Consolas" w:eastAsia="Consolas" w:cs="Consolas"/>
          <w:noProof/>
          <w:color w:val="EAECF0"/>
          <w:sz w:val="22"/>
          <w:szCs w:val="22"/>
          <w:lang w:val="pl-PL"/>
        </w:rPr>
        <w:t xml:space="preserve">(n.ngr) / </w:t>
      </w:r>
      <w:r w:rsidRPr="2C1A6BC1" w:rsidR="75ABB98F">
        <w:rPr>
          <w:rFonts w:ascii="Consolas" w:hAnsi="Consolas" w:eastAsia="Consolas" w:cs="Consolas"/>
          <w:noProof/>
          <w:color w:val="70B8FF"/>
          <w:sz w:val="22"/>
          <w:szCs w:val="22"/>
          <w:lang w:val="pl-PL"/>
        </w:rPr>
        <w:t>COUNT</w:t>
      </w:r>
      <w:r w:rsidRPr="2C1A6BC1" w:rsidR="75ABB98F">
        <w:rPr>
          <w:rFonts w:ascii="Consolas" w:hAnsi="Consolas" w:eastAsia="Consolas" w:cs="Consolas"/>
          <w:noProof/>
          <w:color w:val="EAECF0"/>
          <w:sz w:val="22"/>
          <w:szCs w:val="22"/>
          <w:lang w:val="pl-PL"/>
        </w:rPr>
        <w:t>(</w:t>
      </w:r>
      <w:r w:rsidRPr="2C1A6BC1" w:rsidR="75ABB98F">
        <w:rPr>
          <w:rFonts w:ascii="Consolas" w:hAnsi="Consolas" w:eastAsia="Consolas" w:cs="Consolas"/>
          <w:noProof/>
          <w:color w:val="CC7BF4"/>
          <w:sz w:val="22"/>
          <w:szCs w:val="22"/>
          <w:lang w:val="pl-PL"/>
        </w:rPr>
        <w:t>DISTINCT</w:t>
      </w:r>
      <w:r w:rsidRPr="2C1A6BC1" w:rsidR="75ABB98F">
        <w:rPr>
          <w:rFonts w:ascii="Consolas" w:hAnsi="Consolas" w:eastAsia="Consolas" w:cs="Consolas"/>
          <w:noProof/>
          <w:color w:val="EAECF0"/>
          <w:sz w:val="22"/>
          <w:szCs w:val="22"/>
          <w:lang w:val="pl-PL"/>
        </w:rPr>
        <w:t xml:space="preserve"> p.player_id)        </w:t>
      </w:r>
      <w:r w:rsidRPr="2C1A6BC1" w:rsidR="75ABB98F">
        <w:rPr>
          <w:rFonts w:ascii="Consolas" w:hAnsi="Consolas" w:eastAsia="Consolas" w:cs="Consolas"/>
          <w:noProof/>
          <w:color w:val="CC7BF4"/>
          <w:sz w:val="22"/>
          <w:szCs w:val="22"/>
          <w:lang w:val="pl-PL"/>
        </w:rPr>
        <w:t>AS</w:t>
      </w:r>
      <w:r w:rsidRPr="2C1A6BC1" w:rsidR="75ABB98F">
        <w:rPr>
          <w:rFonts w:ascii="Consolas" w:hAnsi="Consolas" w:eastAsia="Consolas" w:cs="Consolas"/>
          <w:noProof/>
          <w:color w:val="EAECF0"/>
          <w:sz w:val="22"/>
          <w:szCs w:val="22"/>
          <w:lang w:val="pl-PL"/>
        </w:rPr>
        <w:t xml:space="preserve"> ngr_per_ftd</w:t>
      </w:r>
      <w:r>
        <w:br/>
      </w:r>
      <w:r w:rsidRPr="2C1A6BC1" w:rsidR="75ABB98F">
        <w:rPr>
          <w:rFonts w:ascii="Consolas" w:hAnsi="Consolas" w:eastAsia="Consolas" w:cs="Consolas"/>
          <w:noProof/>
          <w:color w:val="CC7BF4"/>
          <w:sz w:val="22"/>
          <w:szCs w:val="22"/>
          <w:lang w:val="pl-PL"/>
        </w:rPr>
        <w:t>FROM</w:t>
      </w:r>
      <w:r w:rsidRPr="2C1A6BC1" w:rsidR="75ABB98F">
        <w:rPr>
          <w:rFonts w:ascii="Consolas" w:hAnsi="Consolas" w:eastAsia="Consolas" w:cs="Consolas"/>
          <w:noProof/>
          <w:color w:val="EAECF0"/>
          <w:sz w:val="22"/>
          <w:szCs w:val="22"/>
          <w:lang w:val="pl-PL"/>
        </w:rPr>
        <w:t xml:space="preserve">   players p</w:t>
      </w:r>
      <w:r>
        <w:br/>
      </w:r>
      <w:r w:rsidRPr="2C1A6BC1" w:rsidR="75ABB98F">
        <w:rPr>
          <w:rFonts w:ascii="Consolas" w:hAnsi="Consolas" w:eastAsia="Consolas" w:cs="Consolas"/>
          <w:noProof/>
          <w:color w:val="CC7BF4"/>
          <w:sz w:val="22"/>
          <w:szCs w:val="22"/>
          <w:lang w:val="pl-PL"/>
        </w:rPr>
        <w:t>LEFT JOIN</w:t>
      </w:r>
      <w:r w:rsidRPr="2C1A6BC1" w:rsidR="75ABB98F">
        <w:rPr>
          <w:rFonts w:ascii="Consolas" w:hAnsi="Consolas" w:eastAsia="Consolas" w:cs="Consolas"/>
          <w:noProof/>
          <w:color w:val="EAECF0"/>
          <w:sz w:val="22"/>
          <w:szCs w:val="22"/>
          <w:lang w:val="pl-PL"/>
        </w:rPr>
        <w:t xml:space="preserve"> ngr_monthly n </w:t>
      </w:r>
      <w:r w:rsidRPr="2C1A6BC1" w:rsidR="75ABB98F">
        <w:rPr>
          <w:rFonts w:ascii="Consolas" w:hAnsi="Consolas" w:eastAsia="Consolas" w:cs="Consolas"/>
          <w:noProof/>
          <w:color w:val="CC7BF4"/>
          <w:sz w:val="22"/>
          <w:szCs w:val="22"/>
          <w:lang w:val="pl-PL"/>
        </w:rPr>
        <w:t>ON</w:t>
      </w:r>
      <w:r w:rsidRPr="2C1A6BC1" w:rsidR="75ABB98F">
        <w:rPr>
          <w:rFonts w:ascii="Consolas" w:hAnsi="Consolas" w:eastAsia="Consolas" w:cs="Consolas"/>
          <w:noProof/>
          <w:color w:val="EAECF0"/>
          <w:sz w:val="22"/>
          <w:szCs w:val="22"/>
          <w:lang w:val="pl-PL"/>
        </w:rPr>
        <w:t xml:space="preserve"> n.player_id = p.player_id</w:t>
      </w:r>
      <w:r>
        <w:br/>
      </w:r>
      <w:r w:rsidRPr="2C1A6BC1" w:rsidR="75ABB98F">
        <w:rPr>
          <w:rFonts w:ascii="Consolas" w:hAnsi="Consolas" w:eastAsia="Consolas" w:cs="Consolas"/>
          <w:noProof/>
          <w:color w:val="CC7BF4"/>
          <w:sz w:val="22"/>
          <w:szCs w:val="22"/>
          <w:lang w:val="pl-PL"/>
        </w:rPr>
        <w:t>GROUP  BY</w:t>
      </w:r>
      <w:r w:rsidRPr="2C1A6BC1" w:rsidR="75ABB98F">
        <w:rPr>
          <w:rFonts w:ascii="Consolas" w:hAnsi="Consolas" w:eastAsia="Consolas" w:cs="Consolas"/>
          <w:noProof/>
          <w:color w:val="EAECF0"/>
          <w:sz w:val="22"/>
          <w:szCs w:val="22"/>
          <w:lang w:val="pl-PL"/>
        </w:rPr>
        <w:t xml:space="preserve"> p.partner_id, TRUNC(p.ftd_date, </w:t>
      </w:r>
      <w:r w:rsidRPr="2C1A6BC1" w:rsidR="75ABB98F">
        <w:rPr>
          <w:rFonts w:ascii="Consolas" w:hAnsi="Consolas" w:eastAsia="Consolas" w:cs="Consolas"/>
          <w:noProof/>
          <w:color w:val="9BE963"/>
          <w:sz w:val="22"/>
          <w:szCs w:val="22"/>
          <w:lang w:val="pl-PL"/>
        </w:rPr>
        <w:t>'MM'</w:t>
      </w:r>
      <w:r w:rsidRPr="2C1A6BC1" w:rsidR="75ABB98F">
        <w:rPr>
          <w:rFonts w:ascii="Consolas" w:hAnsi="Consolas" w:eastAsia="Consolas" w:cs="Consolas"/>
          <w:noProof/>
          <w:color w:val="EAECF0"/>
          <w:sz w:val="22"/>
          <w:szCs w:val="22"/>
          <w:lang w:val="pl-PL"/>
        </w:rPr>
        <w:t>);</w:t>
      </w:r>
    </w:p>
    <w:p w:rsidR="75ABB98F" w:rsidP="2C1A6BC1" w:rsidRDefault="75ABB98F" w14:paraId="41DEE22F" w14:textId="05424611">
      <w:pPr>
        <w:spacing w:before="240" w:beforeAutospacing="off" w:after="240" w:afterAutospacing="off"/>
      </w:pPr>
      <w:r w:rsidRPr="2C1A6BC1" w:rsidR="75ABB98F">
        <w:rPr>
          <w:rFonts w:ascii="Arial" w:hAnsi="Arial" w:eastAsia="Arial" w:cs="Arial"/>
          <w:noProof/>
          <w:sz w:val="22"/>
          <w:szCs w:val="22"/>
          <w:lang w:val="pl-PL"/>
        </w:rPr>
        <w:t xml:space="preserve">Zwracam uwagę na </w:t>
      </w:r>
      <w:r w:rsidRPr="2C1A6BC1" w:rsidR="75ABB98F">
        <w:rPr>
          <w:rFonts w:ascii="Consolas" w:hAnsi="Consolas" w:eastAsia="Consolas" w:cs="Consolas"/>
          <w:noProof/>
          <w:sz w:val="22"/>
          <w:szCs w:val="22"/>
          <w:lang w:val="pl-PL"/>
        </w:rPr>
        <w:t>COUNT(DISTINCT ...)</w:t>
      </w:r>
      <w:r w:rsidRPr="2C1A6BC1" w:rsidR="75ABB98F">
        <w:rPr>
          <w:rFonts w:ascii="Arial" w:hAnsi="Arial" w:eastAsia="Arial" w:cs="Arial"/>
          <w:noProof/>
          <w:sz w:val="22"/>
          <w:szCs w:val="22"/>
          <w:lang w:val="pl-PL"/>
        </w:rPr>
        <w:t>: po złączeniu z tabelą miesięczną jeden gracz ma wiele wierszy, więc zwykły COUNT zawyżyłby FTD. To klasyczny błąd, który wyłapuję kontrolą sum.</w:t>
      </w:r>
    </w:p>
    <w:p w:rsidR="75ABB98F" w:rsidP="2C1A6BC1" w:rsidRDefault="75ABB98F" w14:paraId="726DFFFF" w14:textId="47BD84A1">
      <w:pPr>
        <w:spacing w:before="240" w:beforeAutospacing="off" w:after="240" w:afterAutospacing="off"/>
      </w:pPr>
      <w:r w:rsidRPr="2C1A6BC1" w:rsidR="75ABB98F">
        <w:rPr>
          <w:rFonts w:ascii="Arial" w:hAnsi="Arial" w:eastAsia="Arial" w:cs="Arial"/>
          <w:b w:val="1"/>
          <w:bCs w:val="1"/>
          <w:noProof/>
          <w:sz w:val="22"/>
          <w:szCs w:val="22"/>
          <w:lang w:val="pl-PL"/>
        </w:rPr>
        <w:t>5. Partner kwestionuje 15% naszych FTD. Co robisz?</w:t>
      </w:r>
      <w:r>
        <w:br/>
      </w:r>
      <w:r w:rsidRPr="2C1A6BC1" w:rsidR="75ABB98F">
        <w:rPr>
          <w:rFonts w:ascii="Arial" w:hAnsi="Arial" w:eastAsia="Arial" w:cs="Arial"/>
          <w:noProof/>
          <w:sz w:val="22"/>
          <w:szCs w:val="22"/>
          <w:lang w:val="pl-PL"/>
        </w:rPr>
        <w:t xml:space="preserve"> Proszę o listę odrzuconych graczy z przyczynami (np. duplikaty, fraud, niespełniona minimalna wpłata). Porównuję ją z naszymi danymi i z definicją kwalifikującego FTD w umowie. Tam, gdzie definicja jest jasna, akceptuję. Tam, gdzie jest niejasna lub partner stosuje inne zasady niż w umowie, negocjuję z dowodami. Wszystko zapisuję w arkuszu rozbieżności i aktualizuję dokumentację.</w:t>
      </w:r>
    </w:p>
    <w:p w:rsidR="75ABB98F" w:rsidP="2C1A6BC1" w:rsidRDefault="75ABB98F" w14:paraId="3E12627E" w14:textId="50776C93">
      <w:pPr>
        <w:spacing w:before="240" w:beforeAutospacing="off" w:after="240" w:afterAutospacing="off"/>
      </w:pPr>
      <w:r w:rsidRPr="2C1A6BC1" w:rsidR="75ABB98F">
        <w:rPr>
          <w:rFonts w:ascii="Arial" w:hAnsi="Arial" w:eastAsia="Arial" w:cs="Arial"/>
          <w:b w:val="1"/>
          <w:bCs w:val="1"/>
          <w:noProof/>
          <w:sz w:val="22"/>
          <w:szCs w:val="22"/>
          <w:lang w:val="pl-PL"/>
        </w:rPr>
        <w:t>6. Czym jest negative carryover i jak wpływa na rozliczenie?</w:t>
      </w:r>
      <w:r>
        <w:br/>
      </w:r>
      <w:r w:rsidRPr="2C1A6BC1" w:rsidR="75ABB98F">
        <w:rPr>
          <w:rFonts w:ascii="Arial" w:hAnsi="Arial" w:eastAsia="Arial" w:cs="Arial"/>
          <w:noProof/>
          <w:sz w:val="22"/>
          <w:szCs w:val="22"/>
          <w:lang w:val="pl-PL"/>
        </w:rPr>
        <w:t xml:space="preserve"> Gdy gracze w danym miesiącu wygrają więcej, niż przegrają, NGR jest ujemny. W części umów ta strata jest przenoszona na kolejne okresy i pomniejsza prowizję, zanim znów zaczniemy dostawać pieniądze. To częsty punkt sporu. Dlatego przy forecaście wliczam ryzyko takich korekt, a w umowie sprawdzam, czy carryover jest ograniczony czasowo.</w:t>
      </w:r>
    </w:p>
    <w:p w:rsidR="75ABB98F" w:rsidP="2C1A6BC1" w:rsidRDefault="75ABB98F" w14:paraId="2A9A04BD" w14:textId="51D31F1B">
      <w:pPr>
        <w:spacing w:before="240" w:beforeAutospacing="off" w:after="240" w:afterAutospacing="off"/>
      </w:pPr>
      <w:r w:rsidRPr="2C1A6BC1" w:rsidR="75ABB98F">
        <w:rPr>
          <w:rFonts w:ascii="Arial" w:hAnsi="Arial" w:eastAsia="Arial" w:cs="Arial"/>
          <w:b w:val="1"/>
          <w:bCs w:val="1"/>
          <w:noProof/>
          <w:sz w:val="22"/>
          <w:szCs w:val="22"/>
          <w:lang w:val="pl-PL"/>
        </w:rPr>
        <w:t>7. Jak zbudujesz forecast prowizji na 12 miesięcy?</w:t>
      </w:r>
      <w:r>
        <w:br/>
      </w:r>
      <w:r w:rsidRPr="2C1A6BC1" w:rsidR="75ABB98F">
        <w:rPr>
          <w:rFonts w:ascii="Arial" w:hAnsi="Arial" w:eastAsia="Arial" w:cs="Arial"/>
          <w:noProof/>
          <w:sz w:val="22"/>
          <w:szCs w:val="22"/>
          <w:lang w:val="pl-PL"/>
        </w:rPr>
        <w:t xml:space="preserve"> Zaczynam od poziomu bazowego FTD z ostatnich 12 miesięcy bez miesięcy nietypowych (np. mundial). Dodaję trend, indeks sezonowości z historii i zdarzenia sportowe. Mnożę przez NGR na FTD i efektywną stawkę prowizji. Robię trzy scenariusze: bazowy, optymistyczny i pesymistyczny. Wszystkie założenia są w osobnych komórkach, żeby można je zmieniać i widzieć wpływ (analiza wrażliwości).</w:t>
      </w:r>
    </w:p>
    <w:p w:rsidR="75ABB98F" w:rsidP="2C1A6BC1" w:rsidRDefault="75ABB98F" w14:paraId="361A4B07" w14:textId="4A2314DC">
      <w:pPr>
        <w:spacing w:before="240" w:beforeAutospacing="off" w:after="240" w:afterAutospacing="off"/>
      </w:pPr>
      <w:r w:rsidRPr="2C1A6BC1" w:rsidR="75ABB98F">
        <w:rPr>
          <w:rFonts w:ascii="Arial" w:hAnsi="Arial" w:eastAsia="Arial" w:cs="Arial"/>
          <w:b w:val="1"/>
          <w:bCs w:val="1"/>
          <w:noProof/>
          <w:sz w:val="22"/>
          <w:szCs w:val="22"/>
          <w:lang w:val="pl-PL"/>
        </w:rPr>
        <w:t>8. Wynik jest poniżej planu o 10%. Jak to wyjaśnisz?</w:t>
      </w:r>
      <w:r>
        <w:br/>
      </w:r>
      <w:r w:rsidRPr="2C1A6BC1" w:rsidR="75ABB98F">
        <w:rPr>
          <w:rFonts w:ascii="Arial" w:hAnsi="Arial" w:eastAsia="Arial" w:cs="Arial"/>
          <w:noProof/>
          <w:sz w:val="22"/>
          <w:szCs w:val="22"/>
          <w:lang w:val="pl-PL"/>
        </w:rPr>
        <w:t xml:space="preserve"> Rozbijam odchylenie na ruch, jakość graczy (NGR na FTD), stawkę i zdarzenia jednorazowe, wg PVM. Prowizja to FTD × NGR/FTD × stawka, więc zmieniam po jednym czynniku z planu na wykonanie. Suma efektów musi dać całe odchylenie (to moja kontrola). Potem wskazuję partnera i przyczynę, oddzielam to, co możemy naprawić (ruch, jakość), od tego, co jest poza nami (stawka partnera, korekta jednorazowa), i proponuję działanie.</w:t>
      </w:r>
    </w:p>
    <w:p w:rsidR="75ABB98F" w:rsidP="2C1A6BC1" w:rsidRDefault="75ABB98F" w14:paraId="07D160F8" w14:textId="52AB6266">
      <w:pPr>
        <w:spacing w:before="240" w:beforeAutospacing="off" w:after="240" w:afterAutospacing="off"/>
      </w:pPr>
      <w:r w:rsidRPr="2C1A6BC1" w:rsidR="75ABB98F">
        <w:rPr>
          <w:rFonts w:ascii="Arial" w:hAnsi="Arial" w:eastAsia="Arial" w:cs="Arial"/>
          <w:b w:val="1"/>
          <w:bCs w:val="1"/>
          <w:noProof/>
          <w:sz w:val="22"/>
          <w:szCs w:val="22"/>
          <w:lang w:val="pl-PL"/>
        </w:rPr>
        <w:t>9. Co wiesz o regulacjach hazardowych w Polsce, istotnych dla afiliacji?</w:t>
      </w:r>
      <w:r>
        <w:br/>
      </w:r>
      <w:r w:rsidRPr="2C1A6BC1" w:rsidR="75ABB98F">
        <w:rPr>
          <w:rFonts w:ascii="Arial" w:hAnsi="Arial" w:eastAsia="Arial" w:cs="Arial"/>
          <w:noProof/>
          <w:sz w:val="22"/>
          <w:szCs w:val="22"/>
          <w:lang w:val="pl-PL"/>
        </w:rPr>
        <w:t xml:space="preserve"> Podstawą jest ustawa o grach hazardowych. Art. 29 zabrania reklamy hazardu, z wyjątkiem zakładów wzajemnych u licencjonowanych podmiotów, pod ścisłymi warunkami (m.in. oznaczenie 18+, ostrzeżenie o ryzyku). Promujemy wyłącznie bukmacherów z zezwoleniem Ministra Finansów. Kasyno online to monopol Totalizatora Sportowego. Szczegóły i zmiany przepisów konsultuję z działem prawnym, bo nie jestem prawnikiem.</w:t>
      </w:r>
    </w:p>
    <w:p w:rsidR="2C1A6BC1" w:rsidP="40E509F9" w:rsidRDefault="2C1A6BC1" w14:paraId="02791231" w14:textId="428EA9F4">
      <w:pPr>
        <w:spacing w:before="240" w:beforeAutospacing="off" w:after="240" w:afterAutospacing="off"/>
      </w:pPr>
      <w:r w:rsidRPr="3B687CB2" w:rsidR="75ABB98F">
        <w:rPr>
          <w:rFonts w:ascii="Arial" w:hAnsi="Arial" w:eastAsia="Arial" w:cs="Arial"/>
          <w:b w:val="1"/>
          <w:bCs w:val="1"/>
          <w:noProof/>
          <w:sz w:val="22"/>
          <w:szCs w:val="22"/>
          <w:lang w:val="pl-PL"/>
        </w:rPr>
        <w:t>10. Dostajesz dwa raporty w Excelu (nasz i partnera) i masz znaleźć rozbieżności. Jak to zrobisz?</w:t>
      </w:r>
      <w:r>
        <w:br/>
      </w:r>
      <w:r w:rsidRPr="3B687CB2" w:rsidR="75ABB98F">
        <w:rPr>
          <w:rFonts w:ascii="Arial" w:hAnsi="Arial" w:eastAsia="Arial" w:cs="Arial"/>
          <w:noProof/>
          <w:sz w:val="22"/>
          <w:szCs w:val="22"/>
          <w:lang w:val="pl-PL"/>
        </w:rPr>
        <w:t xml:space="preserve"> Łączę oba zestawienia po wspólnym kluczu (np. identyfikator gracza lub miesiąc i partner) przez INDEX/MATCH albo XLOOKUP, a sumy porównuję przez SUMIFS i tabelę przestawną. Dodaję kolumnę różnicy i filtruję niezerowe wartości. Przy powtarzalnym procesie automatyzuję to</w:t>
      </w:r>
      <w:r w:rsidRPr="3B687CB2" w:rsidR="67498F5D">
        <w:rPr>
          <w:rFonts w:ascii="Arial" w:hAnsi="Arial" w:eastAsia="Arial" w:cs="Arial"/>
          <w:noProof/>
          <w:sz w:val="22"/>
          <w:szCs w:val="22"/>
          <w:lang w:val="pl-PL"/>
        </w:rPr>
        <w:t xml:space="preserve"> </w:t>
      </w:r>
      <w:r w:rsidRPr="3B687CB2" w:rsidR="75ABB98F">
        <w:rPr>
          <w:rFonts w:ascii="Arial" w:hAnsi="Arial" w:eastAsia="Arial" w:cs="Arial"/>
          <w:noProof/>
          <w:sz w:val="22"/>
          <w:szCs w:val="22"/>
          <w:lang w:val="pl-PL"/>
        </w:rPr>
        <w:t>w PL/SQL, VBA i Task Scheduler</w:t>
      </w:r>
      <w:r w:rsidRPr="3B687CB2" w:rsidR="4EC3AEB2">
        <w:rPr>
          <w:rFonts w:ascii="Arial" w:hAnsi="Arial" w:eastAsia="Arial" w:cs="Arial"/>
          <w:noProof/>
          <w:sz w:val="22"/>
          <w:szCs w:val="22"/>
          <w:lang w:val="pl-PL"/>
        </w:rPr>
        <w:t>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nitials="C" w:author="Claude" w:date="2026-10-17T12:09:05.630Z" w:id="8">
    <w:p xmlns:wp14="http://schemas.microsoft.com/office/word/2010/wordml" w14:paraId="6B730903" wp14:textId="77777777">
      <w:r>
        <w:t xml:space="preserve">Afiliat (publisher) – firma lub osoba, która na swoich stronach poleca cudze usługi i zarabia na prowizji. Tu afiliatem jest iGamingNuts, a „produktem” są bukmacherzy.</w:t>
      </w:r>
    </w:p>
  </w:comment>
  <w:comment w:initials="C" w:author="Claude" w:date="2026-10-17T12:09:05.630Z" w:id="9">
    <w:p xmlns:wp14="http://schemas.microsoft.com/office/word/2010/wordml" w14:paraId="0266D8AF" wp14:textId="77777777">
      <w:r>
        <w:t xml:space="preserve">Ranking bukmacherów – lista na stronie, np. „Najlepsi bukmacherzy 2026”, z kolejnością od najlepszego. Pozycja w rankingu ma duży wpływ na to, ilu graczy kliknie w danego bukmachera.</w:t>
      </w:r>
    </w:p>
  </w:comment>
  <w:comment w:initials="C" w:author="Claude" w:date="2026-10-17T12:09:05.631Z" w:id="10">
    <w:p xmlns:wp14="http://schemas.microsoft.com/office/word/2010/wordml" w14:paraId="7E0B2753" wp14:textId="77777777">
      <w:r>
        <w:t xml:space="preserve">Typy – podpowiedzi i prognozy, kto wygra mecz (tzw. typowanie wyników).</w:t>
      </w:r>
    </w:p>
  </w:comment>
  <w:comment w:initials="C" w:author="Claude" w:date="2026-10-17T12:09:05.631Z" w:id="11">
    <w:p xmlns:wp14="http://schemas.microsoft.com/office/word/2010/wordml" w14:paraId="3443B80E" wp14:textId="77777777">
      <w:r>
        <w:t xml:space="preserve">Operator – firma, która przyjmuje zakłady od graczy (np. STS, Fortuna). W branży mówi się „operator” albo po prostu „bukmacher”. To oni płacą iGamingNuts prowizje.</w:t>
      </w:r>
    </w:p>
  </w:comment>
  <w:comment w:initials="C" w:author="Claude" w:date="2026-10-17T12:09:05.631Z" w:id="12">
    <w:p xmlns:wp14="http://schemas.microsoft.com/office/word/2010/wordml" w14:paraId="632132FA" wp14:textId="77777777">
      <w:r>
        <w:t xml:space="preserve">CPA (Cost Per Acquisition) – stała kwota, którą bukmacher płaci za każdego pozyskanego gracza (zwykle takiego, który pierwszy raz wpłacił pieniądze). Np. 150 zł za gracza, niezależnie od tego, ile potem zagra.</w:t>
      </w:r>
    </w:p>
  </w:comment>
  <w:comment w:initials="C" w:author="Claude" w:date="2026-10-17T12:09:05.631Z" w:id="13">
    <w:p xmlns:wp14="http://schemas.microsoft.com/office/word/2010/wordml" w14:paraId="7A0C1A7B" wp14:textId="77777777">
      <w:r>
        <w:t xml:space="preserve">RevShare (Revenue Share, „podział przychodu”) – zamiast stałej kwoty dostajesz procent od zysku bukmachera z danego gracza, co miesiąc. Np. 30%: jeśli bukmacher zarobi na graczu 100 zł, Ty dostajesz 30 zł. Im dłużej gracz gra, tym więcej zarabiasz.</w:t>
      </w:r>
    </w:p>
  </w:comment>
  <w:comment w:initials="C" w:author="Claude" w:date="2026-10-17T12:09:05.631Z" w:id="14">
    <w:p xmlns:wp14="http://schemas.microsoft.com/office/word/2010/wordml" w14:paraId="78856188" wp14:textId="77777777">
      <w:r>
        <w:t xml:space="preserve">Hybryda (w rozliczeniach) – połączenie obu modeli: mniejsza stała kwota (CPA) plus mniejszy procent (RevShare). Np. 50 zł za gracza + 15% od jego przychodu.</w:t>
      </w:r>
    </w:p>
  </w:comment>
  <w:comment w:initials="C" w:author="Claude" w:date="2026-10-17T12:09:05.632Z" w:id="15">
    <w:p xmlns:wp14="http://schemas.microsoft.com/office/word/2010/wordml" w14:paraId="1186722A" wp14:textId="77777777">
      <w:r>
        <w:t xml:space="preserve">Deal – ustalone z partnerem warunki współpracy: wysokość prowizji, model rozliczenia, promocje dla graczy.</w:t>
      </w:r>
    </w:p>
  </w:comment>
  <w:comment w:initials="C" w:author="Claude" w:date="2026-10-17T12:09:05.632Z" w:id="16">
    <w:p xmlns:wp14="http://schemas.microsoft.com/office/word/2010/wordml" w14:paraId="7B95FB6E" wp14:textId="77777777">
      <w:r>
        <w:t xml:space="preserve">Portfel – wszyscy partnerzy (bukmacherzy), którymi się opiekujesz, razem z ich wynikami. Jak portfel inwestycyjny: kilka „pozycji”, każda daje inny dochód.</w:t>
      </w:r>
    </w:p>
  </w:comment>
  <w:comment w:initials="C" w:author="Claude" w:date="2026-10-17T12:09:05.632Z" w:id="17">
    <w:p xmlns:wp14="http://schemas.microsoft.com/office/word/2010/wordml" w14:paraId="20472D3E" wp14:textId="77777777">
      <w:r>
        <w:t xml:space="preserve">To najbardziej znani bukmacherzy legalnie działający w Polsce. Warto wiedzieć, jak się nazywają i czym się różnią (bonusy, oferta).</w:t>
      </w:r>
    </w:p>
  </w:comment>
  <w:comment w:initials="C" w:author="Claude" w:date="2026-10-17T12:09:05.640Z" w:id="20">
    <w:p xmlns:wp14="http://schemas.microsoft.com/office/word/2010/wordml" w14:paraId="277F71AE" wp14:textId="77777777">
      <w:r>
        <w:t xml:space="preserve">Ruch – liczba odwiedzających stronę. „Jakość ruchu” oznacza, czy ci odwiedzający faktycznie zakładają konta i grają, czy tylko wchodzą i wychodzą.</w:t>
      </w:r>
    </w:p>
  </w:comment>
  <w:comment w:initials="C" w:author="Claude" w:date="2026-10-17T12:09:05.640Z" w:id="21">
    <w:p xmlns:wp14="http://schemas.microsoft.com/office/word/2010/wordml" w14:paraId="1DDC9365" wp14:textId="77777777">
      <w:r>
        <w:t xml:space="preserve">QBR (Quarterly Business Review) – przegląd kwartalny, MBR (Monthly Business Review) – miesięczny. To regularne spotkanie z partnerem, na którym omawiacie wyniki i plany.</w:t>
      </w:r>
    </w:p>
  </w:comment>
  <w:comment w:initials="C" w:author="Claude" w:date="2026-10-17T12:09:05.640Z" w:id="22">
    <w:p xmlns:wp14="http://schemas.microsoft.com/office/word/2010/wordml" w14:paraId="61C9CCD1" wp14:textId="77777777">
      <w:r>
        <w:t xml:space="preserve">To tzw. lejek (ścieżka gracza): ktoś klika link na stronie → zakłada konto → wpłaca pierwszy raz → generuje przychód. Na każdym etapie część osób odpada, dlatego liczby są coraz mniejsze.</w:t>
      </w:r>
    </w:p>
  </w:comment>
  <w:comment w:initials="C" w:author="Claude" w:date="2026-10-17T12:09:05.640Z" w:id="23">
    <w:p xmlns:wp14="http://schemas.microsoft.com/office/word/2010/wordml" w14:paraId="01115E08" wp14:textId="77777777">
      <w:r>
        <w:t xml:space="preserve">FTD (First Time Deposit) – gracz, który wpłacił pieniądze po raz pierwszy. To podstawowa „jednostka” liczenia, ilu graczy przyprowadziła strona.</w:t>
      </w:r>
    </w:p>
  </w:comment>
  <w:comment w:initials="C" w:author="Claude" w:date="2026-10-17T12:09:05.640Z" w:id="24">
    <w:p xmlns:wp14="http://schemas.microsoft.com/office/word/2010/wordml" w14:paraId="4A0F3F51" wp14:textId="77777777">
      <w:r>
        <w:t xml:space="preserve">NGR (Net Gaming Revenue) – przychód bukmachera z gry po odliczeniu określonych kosztów, np. bonusów i podatków. To kwota, od której liczony jest procent prowizji w modelu RevShare.</w:t>
      </w:r>
    </w:p>
  </w:comment>
  <w:comment w:initials="C" w:author="Claude" w:date="2026-10-17T12:09:05.640Z" w:id="25">
    <w:p xmlns:wp14="http://schemas.microsoft.com/office/word/2010/wordml" w14:paraId="25858317" wp14:textId="77777777">
      <w:r>
        <w:t xml:space="preserve">Konwersja – odsetek osób, które wykonały pożądaną czynność. Np. 100 kliknięć i 5 pierwszych wpłat = konwersja klik→FTD wynosi 5%.</w:t>
      </w:r>
    </w:p>
  </w:comment>
  <w:comment w:initials="C" w:author="Claude" w:date="2026-10-17T12:09:05.640Z" w:id="26">
    <w:p xmlns:wp14="http://schemas.microsoft.com/office/word/2010/wordml" w14:paraId="7E711E8C" wp14:textId="77777777">
      <w:r>
        <w:t xml:space="preserve">Retencja – ilu graczy wraca i nadal korzysta z serwisu po pewnym czasie (np. po 30 dniach). Wysoka retencja = gracze zostają na dłużej.</w:t>
      </w:r>
    </w:p>
  </w:comment>
  <w:comment w:initials="C" w:author="Claude" w:date="2026-10-17T12:09:05.640Z" w:id="27">
    <w:p xmlns:wp14="http://schemas.microsoft.com/office/word/2010/wordml" w14:paraId="2705B8EA" wp14:textId="77777777">
      <w:r>
        <w:t xml:space="preserve">LTV (Lifetime Value) – ile przychodu lub wartości przynosi jeden gracz przez cały okres korzystania z serwisu. Im wyższe LTV, tym bardziej opłaca się taki gracz.</w:t>
      </w:r>
    </w:p>
  </w:comment>
  <w:comment w:initials="C" w:author="Claude" w:date="2026-10-17T12:09:05.640Z" w:id="28">
    <w:p xmlns:wp14="http://schemas.microsoft.com/office/word/2010/wordml" w14:paraId="28A47C70" wp14:textId="77777777">
      <w:r>
        <w:t xml:space="preserve">Bonus hunterzy – osoby, które szukają głównie bonusów i promocji, a niekoniecznie zostają na dłużej. Dla bukmachera są mało opłacalni, bo szybko odchodzą.</w:t>
      </w:r>
    </w:p>
  </w:comment>
  <w:comment w:initials="C" w:author="Claude" w:date="2026-10-17T12:09:05.640Z" w:id="29">
    <w:p xmlns:wp14="http://schemas.microsoft.com/office/word/2010/wordml" w14:paraId="0B632135" wp14:textId="77777777">
      <w:r>
        <w:t xml:space="preserve">Stawka (w tym miejscu) – wysokość prowizji, np. 150 zł CPA albo 30% RevShare. Uwaga: w bukmacherce „stawka” oznacza też kwotę obstawioną przez gracza – znaczenie wynika z kontekstu.</w:t>
      </w:r>
    </w:p>
  </w:comment>
  <w:comment w:initials="C" w:author="Claude" w:date="2026-10-17T12:09:05.641Z" w:id="30">
    <w:p xmlns:wp14="http://schemas.microsoft.com/office/word/2010/wordml" w14:paraId="3276F5FA" wp14:textId="77777777">
      <w:r>
        <w:t xml:space="preserve">Cap / limit – górny limit w umowie, np. maksymalna liczba graczy miesięcznie, za których bukmacher zapłaci CPA. Podniesienie limitu pozwala zarobić więcej.</w:t>
      </w:r>
    </w:p>
  </w:comment>
  <w:comment w:initials="C" w:author="Claude" w:date="2026-10-17T12:09:05.641Z" w:id="31">
    <w:p xmlns:wp14="http://schemas.microsoft.com/office/word/2010/wordml" w14:paraId="35B2B6A2" wp14:textId="77777777">
      <w:r>
        <w:t xml:space="preserve">Landing page – strona, na którą trafia człowiek po kliknięciu reklamy lub linku. Dobra jest prosta i skłania do założenia konta.</w:t>
      </w:r>
    </w:p>
  </w:comment>
  <w:comment w:initials="C" w:author="Claude" w:date="2026-10-17T12:09:05.651Z" w:id="32">
    <w:p xmlns:wp14="http://schemas.microsoft.com/office/word/2010/wordml" w14:paraId="7AF930D3" wp14:textId="77777777">
      <w:r>
        <w:t xml:space="preserve">Review – przegląd/spotkanie podsumowujące wyniki.</w:t>
      </w:r>
    </w:p>
  </w:comment>
  <w:comment w:initials="C" w:author="Claude" w:date="2026-10-17T12:09:05.651Z" w:id="33">
    <w:p xmlns:wp14="http://schemas.microsoft.com/office/word/2010/wordml" w14:paraId="30136550" wp14:textId="77777777">
      <w:r>
        <w:t xml:space="preserve">Hipoteza – przypuszczenie do sprawdzenia, np. „gracze z tej promocji szybko odchodzą, więc poprośmy partnera o inny bonus”. Pokazuje, że nie tylko prezentujesz liczby, ale proponujesz, co z nimi zrobić.</w:t>
      </w:r>
    </w:p>
  </w:comment>
  <w:comment w:initials="C" w:author="Claude" w:date="2026-10-17T12:09:05.651Z" w:id="34">
    <w:p xmlns:wp14="http://schemas.microsoft.com/office/word/2010/wordml" w14:paraId="7C36B8A7" wp14:textId="77777777">
      <w:r>
        <w:t xml:space="preserve">Wolumen – ilość. Tu: ilu graczy (FTD) przyprowadzasz partnerowi.</w:t>
      </w:r>
    </w:p>
  </w:comment>
  <w:comment w:initials="C" w:author="Claude" w:date="2026-10-17T12:09:05.651Z" w:id="35">
    <w:p xmlns:wp14="http://schemas.microsoft.com/office/word/2010/wordml" w14:paraId="450F1180" wp14:textId="77777777">
      <w:r>
        <w:t xml:space="preserve">Ekskluzywność – np. obietnica, że w danym miejscu na stronie promujesz tylko tego bukmachera. Partner chętniej płaci więcej za wyłączność.</w:t>
      </w:r>
    </w:p>
  </w:comment>
  <w:comment w:initials="C" w:author="Claude" w:date="2026-10-17T12:09:05.651Z" w:id="36">
    <w:p xmlns:wp14="http://schemas.microsoft.com/office/word/2010/wordml" w14:paraId="5F8FD4EB" wp14:textId="77777777">
      <w:r>
        <w:t xml:space="preserve">Sezonowość – regularne wahania w ciągu roku. W zakładach ruch rośnie np. podczas mistrzostw świata, a spada w przerwie między sezonami lig.</w:t>
      </w:r>
    </w:p>
  </w:comment>
  <w:comment w:initials="C" w:author="Claude" w:date="2026-10-17T12:09:05.651Z" w:id="37">
    <w:p xmlns:wp14="http://schemas.microsoft.com/office/word/2010/wordml" w14:paraId="57763780" wp14:textId="77777777">
      <w:r>
        <w:t xml:space="preserve">Dźwignia (negocjacyjna) – mocny argument, który daje przewagę w rozmowie. Np. możliwość przeniesienia ruchu do konkurencyjnego bukmachera.</w:t>
      </w:r>
    </w:p>
  </w:comment>
  <w:comment w:initials="C" w:author="Claude" w:date="2026-10-17T12:09:05.651Z" w:id="38">
    <w:p xmlns:wp14="http://schemas.microsoft.com/office/word/2010/wordml" w14:paraId="68115F83" wp14:textId="77777777">
      <w:r>
        <w:t xml:space="preserve">Węzeł – punkt, przez który przechodzą wszystkie informacje (jak centralka telefoniczna). Wszyscy pytają Ciebie, a Ty wiesz, kogo poinformować.</w:t>
      </w:r>
    </w:p>
  </w:comment>
  <w:comment w:initials="C" w:author="Claude" w:date="2026-10-17T12:09:05.651Z" w:id="39">
    <w:p xmlns:wp14="http://schemas.microsoft.com/office/word/2010/wordml" w14:paraId="3BBC45EE" wp14:textId="77777777">
      <w:r>
        <w:t xml:space="preserve">Kreacje – materiały reklamowe, np. banery, grafiki i teksty reklam dostarczane przez bukmachera.</w:t>
      </w:r>
    </w:p>
  </w:comment>
  <w:comment w:initials="C" w:author="Claude" w:date="2026-10-17T12:09:05.651Z" w:id="40">
    <w:p xmlns:wp14="http://schemas.microsoft.com/office/word/2010/wordml" w14:paraId="3125FC91" wp14:textId="77777777">
      <w:r>
        <w:t xml:space="preserve">Tracking – system śledzenia, który rejestruje, że dany gracz przyszedł z konkretnej strony (przez specjalny link). Dzięki niemu wiadomo, komu należy się prowizja. Jak coś się w nim zmieni, prowizje mogą się nie naliczać.</w:t>
      </w:r>
    </w:p>
  </w:comment>
  <w:comment w:initials="C" w:author="Claude" w:date="2026-10-17T12:09:05.651Z" w:id="41">
    <w:p xmlns:wp14="http://schemas.microsoft.com/office/word/2010/wordml" w14:paraId="2C8B635A" wp14:textId="77777777">
      <w:r>
        <w:t xml:space="preserve">Content (zespół treści) – osoby, które piszą i aktualizują teksty na stronie (rankingi, opisy bonusów).</w:t>
      </w:r>
    </w:p>
  </w:comment>
  <w:comment w:initials="C" w:author="Claude" w:date="2026-10-17T12:09:05.651Z" w:id="42">
    <w:p xmlns:wp14="http://schemas.microsoft.com/office/word/2010/wordml" w14:paraId="70F05E45" wp14:textId="77777777">
      <w:r>
        <w:t xml:space="preserve">Dev (developerzy) – programiści, którzy naprawiają i zmieniają techniczne elementy serwisu.</w:t>
      </w:r>
    </w:p>
  </w:comment>
  <w:comment w:initials="C" w:author="Claude" w:date="2026-10-17T12:09:05.651Z" w:id="43">
    <w:p xmlns:wp14="http://schemas.microsoft.com/office/word/2010/wordml" w14:paraId="2F081866" wp14:textId="77777777">
      <w:r>
        <w:t xml:space="preserve">Jedno źródło prawdy – jedno miejsce, w którym zapisane jest, co ustalono (a nie rozproszone po mailach i rozmowach). Dzięki temu wszyscy pracują na tych samych informacjach.</w:t>
      </w:r>
    </w:p>
  </w:comment>
  <w:comment w:initials="C" w:author="Claude" w:date="2026-10-17T12:09:05.651Z" w:id="44">
    <w:p xmlns:wp14="http://schemas.microsoft.com/office/word/2010/wordml" w14:paraId="78E47853" wp14:textId="77777777">
      <w:r>
        <w:t xml:space="preserve">Confluence / Notion – narzędzia internetowe do tworzenia dokumentacji, notatek i firmowej bazy wiedzy.</w:t>
      </w:r>
    </w:p>
  </w:comment>
  <w:comment w:initials="C" w:author="Claude" w:date="2026-10-17T12:09:05.651Z" w:id="48">
    <w:p xmlns:wp14="http://schemas.microsoft.com/office/word/2010/wordml" w14:paraId="56E8E156" wp14:textId="77777777">
      <w:r>
        <w:t xml:space="preserve">Brand bidding – kupowanie reklam w Google na nazwę marki innej firmy (np. na frazę „STS bonus”). Partnerzy często zakazują tego afiliatom, bo to podkrada ruch.</w:t>
      </w:r>
    </w:p>
  </w:comment>
  <w:comment w:initials="C" w:author="Claude" w:date="2026-10-17T12:09:05.651Z" w:id="49">
    <w:p xmlns:wp14="http://schemas.microsoft.com/office/word/2010/wordml" w14:paraId="4586C5F6" wp14:textId="77777777">
      <w:r>
        <w:t xml:space="preserve">Afiliat (publisher) – firma lub osoba, która na swoich stronach poleca cudze usługi i zarabia na prowizji. Tu afiliatem jest iGamingNuts, a „produktem” są bukmacherzy.</w:t>
      </w:r>
    </w:p>
  </w:comment>
  <w:comment w:initials="C" w:author="Claude" w:date="2026-10-17T12:09:05.651Z" w:id="50">
    <w:p xmlns:wp14="http://schemas.microsoft.com/office/word/2010/wordml" w14:paraId="447852A9" wp14:textId="77777777">
      <w:r>
        <w:t xml:space="preserve">Frazy kontrolne – lista wyszukiwanych haseł (np. „bonus bukmacher”), które regularnie wpisujesz w Google, żeby sprawdzić, co się wyświetla.</w:t>
      </w:r>
    </w:p>
  </w:comment>
  <w:comment w:initials="C" w:author="Claude" w:date="2026-10-17T12:09:05.651Z" w:id="51">
    <w:p xmlns:wp14="http://schemas.microsoft.com/office/word/2010/wordml" w14:paraId="4EFCC88E" wp14:textId="77777777">
      <w:r>
        <w:t xml:space="preserve">URL – adres strony internetowej (np. https://…).</w:t>
      </w:r>
    </w:p>
  </w:comment>
  <w:comment w:initials="C" w:author="Claude" w:date="2026-10-17T12:09:05.651Z" w:id="52">
    <w:p xmlns:wp14="http://schemas.microsoft.com/office/word/2010/wordml" w14:paraId="74CA75E1" wp14:textId="77777777">
      <w:r>
        <w:t xml:space="preserve">Eskalacja – przekazanie sprawy wyżej (przełożonemu lub kierownictwu partnera), gdy zwykła rozmowa nie rozwiązuje problemu.</w:t>
      </w:r>
    </w:p>
  </w:comment>
  <w:comment w:initials="C" w:author="Claude" w:date="2026-10-17T12:09:05.651Z" w:id="53">
    <w:p xmlns:wp14="http://schemas.microsoft.com/office/word/2010/wordml" w14:paraId="1CD5E278" wp14:textId="77777777">
      <w:r>
        <w:t xml:space="preserve">Reconciliation (uzgadnianie rozliczeń) – porównywanie dwóch zestawień (Twojego i partnera) i wyjaśnianie różnic, aż kwoty się zgadzają.</w:t>
      </w:r>
    </w:p>
  </w:comment>
  <w:comment w:initials="C" w:author="Claude" w:date="2026-10-17T12:09:05.651Z" w:id="54">
    <w:p xmlns:wp14="http://schemas.microsoft.com/office/word/2010/wordml" w14:paraId="46FD82FD" wp14:textId="77777777">
      <w:r>
        <w:t xml:space="preserve">FTD (First Time Deposit) – gracz, który wpłacił pieniądze po raz pierwszy. To podstawowa „jednostka” liczenia, ilu graczy przyprowadziła strona.</w:t>
      </w:r>
    </w:p>
  </w:comment>
  <w:comment w:initials="C" w:author="Claude" w:date="2026-10-17T12:09:05.651Z" w:id="55">
    <w:p xmlns:wp14="http://schemas.microsoft.com/office/word/2010/wordml" w14:paraId="5D333C7C" wp14:textId="77777777">
      <w:r>
        <w:t xml:space="preserve">NGR (Net Gaming Revenue) – przychód bukmachera z gry po odliczeniu określonych kosztów, np. bonusów i podatków. To kwota, od której liczony jest procent prowizji w modelu RevShare.</w:t>
      </w:r>
    </w:p>
  </w:comment>
  <w:comment w:initials="C" w:author="Claude" w:date="2026-10-17T12:09:05.651Z" w:id="56">
    <w:p xmlns:wp14="http://schemas.microsoft.com/office/word/2010/wordml" w14:paraId="0396B391" wp14:textId="77777777">
      <w:r>
        <w:t xml:space="preserve">Aging – podział należności według tego, jak dawno minął termin płatności (np. 0–30, 31–60, 60+ dni). Im starsza należność, tym trudniej ją odzyskać.</w:t>
      </w:r>
    </w:p>
  </w:comment>
  <w:comment w:initials="C" w:author="Claude" w:date="2026-10-17T12:09:05.651Z" w:id="57">
    <w:p xmlns:wp14="http://schemas.microsoft.com/office/word/2010/wordml" w14:paraId="213DA21F" wp14:textId="77777777">
      <w:r>
        <w:t xml:space="preserve">Panel partnerski – strona internetowa bukmachera, na której afiliat widzi swoje statystyki i prowizje.</w:t>
      </w:r>
    </w:p>
  </w:comment>
  <w:comment w:initials="C" w:author="Claude" w:date="2026-10-17T12:09:05.652Z" w:id="58">
    <w:p xmlns:wp14="http://schemas.microsoft.com/office/word/2010/wordml" w14:paraId="6C694F19" wp14:textId="77777777">
      <w:r>
        <w:t xml:space="preserve">Income Access i MyAffiliates – popularne systemy, w których bukmacherzy prowadzą programy partnerskie (liczą kliknięcia, graczy i prowizje).</w:t>
      </w:r>
    </w:p>
  </w:comment>
  <w:comment w:initials="C" w:author="Claude" w:date="2026-10-17T12:09:05.652Z" w:id="59">
    <w:p xmlns:wp14="http://schemas.microsoft.com/office/word/2010/wordml" w14:paraId="23E613D2" wp14:textId="77777777">
      <w:r>
        <w:t xml:space="preserve">Negative carryover (przeniesienie ujemnego wyniku) – gdy gracze w danym miesiącu wygrali więcej, niż przegrali, bukmacher ma stratę. W niektórych umowach ta strata jest odejmowana od prowizji w następnych miesiącach.</w:t>
      </w:r>
    </w:p>
  </w:comment>
  <w:comment w:initials="C" w:author="Claude" w:date="2026-10-17T12:09:05.652Z" w:id="60">
    <w:p xmlns:wp14="http://schemas.microsoft.com/office/word/2010/wordml" w14:paraId="6D08CDDB" wp14:textId="77777777">
      <w:r>
        <w:t xml:space="preserve">Okno atrybucji – czas, w którym gracz jest „przypisany” do Twojej strony. Np. 30 dni od kliknięcia: jeśli wpłaci później, prowizja już Ci się nie należy.</w:t>
      </w:r>
    </w:p>
  </w:comment>
  <w:comment w:initials="C" w:author="Claude" w:date="2026-10-17T12:09:05.652Z" w:id="61">
    <w:p xmlns:wp14="http://schemas.microsoft.com/office/word/2010/wordml" w14:paraId="0D8F3386" wp14:textId="77777777">
      <w:r>
        <w:t xml:space="preserve">Follow-up – kolejne przypomnienie lub wiadomość po wcześniejszej rozmowie lub mailu.</w:t>
      </w:r>
    </w:p>
  </w:comment>
  <w:comment w:initials="C" w:author="Claude" w:date="2026-10-17T12:09:05.652Z" w:id="62">
    <w:p xmlns:wp14="http://schemas.microsoft.com/office/word/2010/wordml" w14:paraId="4394CA0A" wp14:textId="77777777">
      <w:r>
        <w:t xml:space="preserve">Saldo – wynik końcowy (zysk lub strata) w danym okresie.</w:t>
      </w:r>
    </w:p>
  </w:comment>
  <w:comment w:initials="C" w:author="Claude" w:date="2026-10-17T12:09:05.652Z" w:id="63">
    <w:p xmlns:wp14="http://schemas.microsoft.com/office/word/2010/wordml" w14:paraId="58BE1C20" wp14:textId="77777777">
      <w:r>
        <w:t xml:space="preserve">Chargeback – zwrot płatności zgłoszony przez gracza do banku. Fraud – oszustwo (np. fałszywe konta). W takich przypadkach bukmacher może uznać FTD za nieważne i nie zapłacić prowizji.</w:t>
      </w:r>
    </w:p>
  </w:comment>
  <w:comment w:initials="C" w:author="Claude" w:date="2026-10-17T12:09:05.652Z" w:id="64">
    <w:p xmlns:wp14="http://schemas.microsoft.com/office/word/2010/wordml" w14:paraId="5DE38751" wp14:textId="77777777">
      <w:r>
        <w:t xml:space="preserve">Ryzyko kursowe – gdy rozliczasz się w euro lub dolarach, a koszty masz w złotych, zmiana kursu waluty może zmniejszyć Twój zysk.</w:t>
      </w:r>
    </w:p>
  </w:comment>
  <w:comment w:initials="C" w:author="Claude" w:date="2026-10-17T12:09:05.652Z" w:id="65">
    <w:p xmlns:wp14="http://schemas.microsoft.com/office/word/2010/wordml" w14:paraId="77FFCC5F" wp14:textId="77777777">
      <w:r>
        <w:t xml:space="preserve">Należności – pieniądze, które ktoś jest Ci winien (tu: bukmacher wobec afiliata). Przeterminowane = nie zapłacił w terminie.</w:t>
      </w:r>
    </w:p>
  </w:comment>
  <w:comment w:initials="C" w:author="Claude" w:date="2026-10-17T12:09:05.652Z" w:id="67">
    <w:p xmlns:wp14="http://schemas.microsoft.com/office/word/2010/wordml" w14:paraId="25AA8E17" wp14:textId="77777777">
      <w:r>
        <w:t xml:space="preserve">Kohorta – grupa graczy, którzy zaczęli w tym samym okresie (np. wszyscy z grudnia), obserwowana w kolejnych miesiącach. Pozwala porównać, jak zachowują się różne „roczniki” graczy.</w:t>
      </w:r>
    </w:p>
  </w:comment>
  <w:comment w:initials="C" w:author="Claude" w:date="2026-10-17T12:09:05.652Z" w:id="68">
    <w:p xmlns:wp14="http://schemas.microsoft.com/office/word/2010/wordml" w14:paraId="1FB8765A" wp14:textId="77777777">
      <w:r>
        <w:t xml:space="preserve">LTV (Lifetime Value) – ile przychodu lub wartości przynosi jeden gracz przez cały okres korzystania z serwisu. Im wyższe LTV, tym bardziej opłaca się taki gracz.</w:t>
      </w:r>
    </w:p>
  </w:comment>
  <w:comment w:initials="C" w:author="Claude" w:date="2026-10-17T12:09:05.652Z" w:id="69">
    <w:p xmlns:wp14="http://schemas.microsoft.com/office/word/2010/wordml" w14:paraId="7D803F1F" wp14:textId="77777777">
      <w:r>
        <w:t xml:space="preserve">Horyzont – okres, dla którego liczysz wynik. LTV 6M = wartość gracza w ciągu pierwszych 6 miesięcy, LTV 12M = w ciągu roku.</w:t>
      </w:r>
    </w:p>
  </w:comment>
  <w:comment w:initials="C" w:author="Claude" w:date="2026-10-17T12:09:05.652Z" w:id="70">
    <w:p xmlns:wp14="http://schemas.microsoft.com/office/word/2010/wordml" w14:paraId="6F81F034" wp14:textId="77777777">
      <w:r>
        <w:t xml:space="preserve">Payback period (okres zwrotu) – czas, po którym zyski z grupy graczy zrównają się z kosztem ich pozyskania. Np. wydałeś 100 zł, a po 3 miesiącach zarobiłeś już 100 zł – payback wynosi 3 miesiące.</w:t>
      </w:r>
    </w:p>
  </w:comment>
  <w:comment w:initials="C" w:author="Claude" w:date="2026-10-17T12:09:05.652Z" w:id="71">
    <w:p xmlns:wp14="http://schemas.microsoft.com/office/word/2010/wordml" w14:paraId="1B8011E5" wp14:textId="77777777">
      <w:r>
        <w:t xml:space="preserve">Skumulowany – narastający, sumowany od początku. Np. po miesiącu 1: 60 zł, po miesiącu 2: 60 + 50 = 110 zł.</w:t>
      </w:r>
    </w:p>
  </w:comment>
  <w:comment w:initials="C" w:author="Claude" w:date="2026-10-17T12:09:05.652Z" w:id="72">
    <w:p xmlns:wp14="http://schemas.microsoft.com/office/word/2010/wordml" w14:paraId="2366672E" wp14:textId="77777777">
      <w:r>
        <w:t xml:space="preserve">Geo – kraj lub region, z którego pochodzi gracz. Wartość graczy różni się w zależności od kraju.</w:t>
      </w:r>
    </w:p>
  </w:comment>
  <w:comment w:initials="C" w:author="Claude" w:date="2026-10-17T12:09:05.652Z" w:id="73">
    <w:p xmlns:wp14="http://schemas.microsoft.com/office/word/2010/wordml" w14:paraId="1D8F1BF7" wp14:textId="77777777">
      <w:r>
        <w:t xml:space="preserve">Churn – odsetek graczy, którzy przestali grać w danym okresie (odpływ). Np. churn 20% w miesiącu = co piąty gracz odpada.</w:t>
      </w:r>
    </w:p>
  </w:comment>
  <w:comment w:initials="C" w:author="Claude" w:date="2026-10-17T12:09:05.652Z" w:id="74">
    <w:p xmlns:wp14="http://schemas.microsoft.com/office/word/2010/wordml" w14:paraId="47F8F465" wp14:textId="77777777">
      <w:r>
        <w:t xml:space="preserve">Google Sheets – darmowy arkusz kalkulacyjny od Google (odpowiednik Excela w przeglądarce).</w:t>
      </w:r>
    </w:p>
  </w:comment>
  <w:comment w:initials="C" w:author="Claude" w:date="2026-10-17T12:09:05.652Z" w:id="75">
    <w:p xmlns:wp14="http://schemas.microsoft.com/office/word/2010/wordml" w14:paraId="03F67AFC" wp14:textId="77777777">
      <w:r>
        <w:t xml:space="preserve">Tabela przestawna – narzędzie do szybkiego podsumowywania dużych tabel (np. suma NGR dla każdego partnera w każdym miesiącu) bez pisania formuł.</w:t>
      </w:r>
    </w:p>
  </w:comment>
  <w:comment w:initials="C" w:author="Claude" w:date="2026-10-17T12:09:05.652Z" w:id="76">
    <w:p xmlns:wp14="http://schemas.microsoft.com/office/word/2010/wordml" w14:paraId="3C0A5B48" wp14:textId="77777777">
      <w:r>
        <w:t xml:space="preserve">QUERY – funkcja w Google Sheets, która pozwala filtrować i sumować dane za pomocą prostych poleceń, podobnych do SQL.</w:t>
      </w:r>
    </w:p>
  </w:comment>
  <w:comment w:initials="C" w:author="Claude" w:date="2026-10-17T12:09:05.652Z" w:id="77">
    <w:p xmlns:wp14="http://schemas.microsoft.com/office/word/2010/wordml" w14:paraId="31662CE8" wp14:textId="77777777">
      <w:r>
        <w:t xml:space="preserve">ARRAYFORMULA – funkcja, która stosuje jedną formułę do całej kolumny naraz (zamiast przeciągać ją w dół).</w:t>
      </w:r>
    </w:p>
  </w:comment>
  <w:comment w:initials="C" w:author="Claude" w:date="2026-10-17T12:09:05.652Z" w:id="78">
    <w:p xmlns:wp14="http://schemas.microsoft.com/office/word/2010/wordml" w14:paraId="785A15E6" wp14:textId="77777777">
      <w:r>
        <w:t xml:space="preserve">VLOOKUP / XLOOKUP – funkcje, które szukają wartości w tabeli i zwracają powiązane dane (np. nazwę partnera po jego numerze).</w:t>
      </w:r>
    </w:p>
  </w:comment>
  <w:comment w:initials="C" w:author="Claude" w:date="2026-10-17T12:09:05.653Z" w:id="79">
    <w:p xmlns:wp14="http://schemas.microsoft.com/office/word/2010/wordml" w14:paraId="7ECABFEC" wp14:textId="77777777">
      <w:r>
        <w:t xml:space="preserve">SUMIFS / COUNTIFS – funkcje, które sumują lub liczą dane spełniające warunki (np. suma NGR tylko dla partnera X w styczniu).</w:t>
      </w:r>
    </w:p>
  </w:comment>
  <w:comment w:initials="C" w:author="Claude" w:date="2026-10-17T12:09:05.653Z" w:id="80">
    <w:p xmlns:wp14="http://schemas.microsoft.com/office/word/2010/wordml" w14:paraId="1BD892CB" wp14:textId="77777777">
      <w:r>
        <w:t xml:space="preserve">SQL – język do wyciągania danych z baz danych (np. „pokaż wszystkich graczy z grudnia”).</w:t>
      </w:r>
    </w:p>
  </w:comment>
  <w:comment w:initials="C" w:author="Claude" w:date="2026-10-17T12:09:05.653Z" w:id="81">
    <w:p xmlns:wp14="http://schemas.microsoft.com/office/word/2010/wordml" w14:paraId="0C88D4C9" wp14:textId="77777777">
      <w:r>
        <w:t xml:space="preserve">Looker Studio – darmowe narzędzie Google do robienia interaktywnych wykresów i raportów (dashboardów).</w:t>
      </w:r>
    </w:p>
  </w:comment>
  <w:comment w:initials="C" w:author="Claude" w:date="2026-10-17T12:09:05.653Z" w:id="83">
    <w:p xmlns:wp14="http://schemas.microsoft.com/office/word/2010/wordml" w14:paraId="0F7C6922" wp14:textId="77777777">
      <w:r>
        <w:t xml:space="preserve">CPA (Cost Per Acquisition) – stała kwota, którą bukmacher płaci za każdego pozyskanego gracza (zwykle takiego, który pierwszy raz wpłacił pieniądze). Np. 150 zł za gracza, niezależnie od tego, ile potem zagra.</w:t>
      </w:r>
    </w:p>
  </w:comment>
  <w:comment w:initials="C" w:author="Claude" w:date="2026-10-17T12:09:05.653Z" w:id="84">
    <w:p xmlns:wp14="http://schemas.microsoft.com/office/word/2010/wordml" w14:paraId="48665682" wp14:textId="77777777">
      <w:r>
        <w:t xml:space="preserve">FTD (First Time Deposit) – gracz, który wpłacił pieniądze po raz pierwszy. To podstawowa „jednostka” liczenia, ilu graczy przyprowadziła strona.</w:t>
      </w:r>
    </w:p>
  </w:comment>
  <w:comment w:initials="C" w:author="Claude" w:date="2026-10-17T12:09:05.653Z" w:id="85">
    <w:p xmlns:wp14="http://schemas.microsoft.com/office/word/2010/wordml" w14:paraId="4CFF6844" wp14:textId="77777777">
      <w:r>
        <w:t xml:space="preserve">LTV (Lifetime Value) – ile przychodu lub wartości przynosi jeden gracz przez cały okres korzystania z serwisu. Im wyższe LTV, tym bardziej opłaca się taki gracz.</w:t>
      </w:r>
    </w:p>
  </w:comment>
  <w:comment w:initials="C" w:author="Claude" w:date="2026-10-17T12:09:05.654Z" w:id="86">
    <w:p xmlns:wp14="http://schemas.microsoft.com/office/word/2010/wordml" w14:paraId="20CA3BDA" wp14:textId="77777777">
      <w:r>
        <w:t xml:space="preserve">RevShare (Revenue Share, „podział przychodu”) – zamiast stałej kwoty dostajesz procent od zysku bukmachera z danego gracza, co miesiąc. Np. 30%: jeśli bukmacher zarobi na graczu 100 zł, Ty dostajesz 30 zł. Im dłużej gracz gra, tym więcej zarabiasz.</w:t>
      </w:r>
    </w:p>
  </w:comment>
  <w:comment w:initials="C" w:author="Claude" w:date="2026-10-17T12:09:05.654Z" w:id="87">
    <w:p xmlns:wp14="http://schemas.microsoft.com/office/word/2010/wordml" w14:paraId="41193761" wp14:textId="77777777">
      <w:r>
        <w:t xml:space="preserve">NGR (Net Gaming Revenue) – przychód bukmachera z gry po odliczeniu określonych kosztów, np. bonusów i podatków. To kwota, od której liczony jest procent prowizji w modelu RevShare.</w:t>
      </w:r>
    </w:p>
  </w:comment>
  <w:comment w:initials="C" w:author="Claude" w:date="2026-10-17T12:09:05.654Z" w:id="88">
    <w:p xmlns:wp14="http://schemas.microsoft.com/office/word/2010/wordml" w14:paraId="301F0953" wp14:textId="77777777">
      <w:r>
        <w:t xml:space="preserve">Dożywotnio – prowizja jest płacona tak długo, jak gracz gra u bukmachera (bez limitu czasu). Czasem umowa ogranicza to np. do 12–24 miesięcy.</w:t>
      </w:r>
    </w:p>
  </w:comment>
  <w:comment w:initials="C" w:author="Claude" w:date="2026-10-17T12:09:05.654Z" w:id="89">
    <w:p xmlns:wp14="http://schemas.microsoft.com/office/word/2010/wordml" w14:paraId="488AF71C" wp14:textId="77777777">
      <w:r>
        <w:t xml:space="preserve">Wolne wpływy – pieniądze przychodzą po trochu, miesiąc po miesiącu, zamiast od razu jako jedna kwota.</w:t>
      </w:r>
    </w:p>
  </w:comment>
  <w:comment w:initials="C" w:author="Claude" w:date="2026-10-17T12:09:05.654Z" w:id="90">
    <w:p xmlns:wp14="http://schemas.microsoft.com/office/word/2010/wordml" w14:paraId="52A74BEE" wp14:textId="77777777">
      <w:r>
        <w:t xml:space="preserve">Przychód cykliczny – regularny, powtarzalny co miesiąc (jak abonament).</w:t>
      </w:r>
    </w:p>
  </w:comment>
  <w:comment w:initials="C" w:author="Claude" w:date="2026-10-17T12:09:05.655Z" w:id="91">
    <w:p xmlns:wp14="http://schemas.microsoft.com/office/word/2010/wordml" w14:paraId="7D5892AA" wp14:textId="77777777">
      <w:r>
        <w:t xml:space="preserve">Hybryda (w rozliczeniach) – połączenie obu modeli: mniejsza stała kwota (CPA) plus mniejszy procent (RevShare). Np. 50 zł za gracza + 15% od jego przychodu.</w:t>
      </w:r>
    </w:p>
  </w:comment>
  <w:comment w:initials="C" w:author="Claude" w:date="2026-10-17T12:09:05.656Z" w:id="92">
    <w:p xmlns:wp14="http://schemas.microsoft.com/office/word/2010/wordml" w14:paraId="20A9A85F" wp14:textId="77777777">
      <w:r>
        <w:t xml:space="preserve">Skąd 72: 30% z 240 zł to 0,30 × 240 = 72 zł. Czyli w tym scenariuszu z RevShare dostalibyśmy 72 zł od gracza, a z CPA 150 zł.</w:t>
      </w:r>
    </w:p>
  </w:comment>
  <w:comment w:initials="C" w:author="Claude" w:date="2026-10-17T12:09:05.656Z" w:id="93">
    <w:p xmlns:wp14="http://schemas.microsoft.com/office/word/2010/wordml" w14:paraId="21EDA734" wp14:textId="77777777">
      <w:r>
        <w:t xml:space="preserve">Break-even (próg opłacalności) – punkt, w którym obie opcje dają ten sam wynik. Powyżej tego progu jedna opcja jest lepsza, poniżej – druga.</w:t>
      </w:r>
    </w:p>
  </w:comment>
  <w:comment w:initials="C" w:author="Claude" w:date="2026-10-17T12:09:05.656Z" w:id="94">
    <w:p xmlns:wp14="http://schemas.microsoft.com/office/word/2010/wordml" w14:paraId="2A3E5D0B" wp14:textId="77777777">
      <w:r>
        <w:t xml:space="preserve">Sens: żeby 30% z NGR dało 150 zł (tyle co CPA), NGR musi wynieść 150 ÷ 0,30 = 500 zł.</w:t>
      </w:r>
    </w:p>
  </w:comment>
  <w:comment w:initials="C" w:author="Claude" w:date="2026-10-17T12:09:05.657Z" w:id="95">
    <w:p xmlns:wp14="http://schemas.microsoft.com/office/word/2010/wordml" w14:paraId="2AE82A61" wp14:textId="77777777">
      <w:r>
        <w:t xml:space="preserve">Stopa dyskontowa – uwzględnia, że pieniądze dziś są więcej warte niż te same pieniądze za rok (można je wykorzystać od razu). CPA daje gotówkę od razu, RevShare rozkłada ją w czasie.</w:t>
      </w:r>
    </w:p>
  </w:comment>
  <w:comment w:initials="C" w:author="Claude" w:date="2026-10-17T12:09:05.657Z" w:id="96">
    <w:p xmlns:wp14="http://schemas.microsoft.com/office/word/2010/wordml" w14:paraId="28A26077" wp14:textId="77777777">
      <w:r>
        <w:t xml:space="preserve">Opłaty płatnicze – prowizje, które bukmacher płaci firmom obsługującym płatności (banki, BLIK, karty).</w:t>
      </w:r>
    </w:p>
  </w:comment>
  <w:comment w:initials="C" w:author="Claude" w:date="2026-10-17T12:09:05.658Z" w:id="97">
    <w:p xmlns:wp14="http://schemas.microsoft.com/office/word/2010/wordml" w14:paraId="595C5921" wp14:textId="77777777">
      <w:r>
        <w:t xml:space="preserve">Baza RevShare – kwota, od której liczony jest procent. Im więcej odliczeń, tym mniejsza baza i mniejsza prowizja.</w:t>
      </w:r>
    </w:p>
  </w:comment>
  <w:comment w:initials="C" w:author="Claude" w:date="2026-10-17T12:09:05.658Z" w:id="98">
    <w:p xmlns:wp14="http://schemas.microsoft.com/office/word/2010/wordml" w14:paraId="2C185FD2" wp14:textId="77777777">
      <w:r>
        <w:t xml:space="preserve">Negative carryover (przeniesienie ujemnego wyniku) – gdy gracze w danym miesiącu wygrali więcej, niż przegrali, bukmacher ma stratę. W niektórych umowach ta strata jest odejmowana od prowizji w następnych miesiącach.</w:t>
      </w:r>
    </w:p>
  </w:comment>
  <w:comment w:initials="C" w:author="Claude" w:date="2026-10-17T12:09:05.658Z" w:id="99">
    <w:p xmlns:wp14="http://schemas.microsoft.com/office/word/2010/wordml" w14:paraId="311F1087" wp14:textId="77777777">
      <w:r>
        <w:t xml:space="preserve">Payback period (okres zwrotu) – czas, po którym zyski z grupy graczy zrównają się z kosztem ich pozyskania. Np. wydałeś 100 zł, a po 3 miesiącach zarobiłeś już 100 zł – payback wynosi 3 miesiące.</w:t>
      </w:r>
    </w:p>
  </w:comment>
  <w:comment w:initials="C" w:author="Claude" w:date="2026-10-17T12:09:05.658Z" w:id="100">
    <w:p xmlns:wp14="http://schemas.microsoft.com/office/word/2010/wordml" w14:paraId="3BDD377C" wp14:textId="77777777">
      <w:r>
        <w:t xml:space="preserve">Euro – Mistrzostwa Europy w piłce nożnej. Mundial – Mistrzostwa Świata. Takie turnieje powodują skokowy wzrost zainteresowania zakładami.</w:t>
      </w:r>
    </w:p>
  </w:comment>
  <w:comment w:initials="C" w:author="Claude" w:date="2026-10-17T12:09:05.658Z" w:id="101">
    <w:p xmlns:wp14="http://schemas.microsoft.com/office/word/2010/wordml" w14:paraId="2E71E388" wp14:textId="77777777">
      <w:r>
        <w:t xml:space="preserve">Cap / limit – górny limit w umowie, np. maksymalna liczba graczy miesięcznie, za których bukmacher zapłaci CPA. Podniesienie limitu pozwala zarobić więcej.</w:t>
      </w:r>
    </w:p>
  </w:comment>
  <w:comment w:initials="C" w:author="Claude" w:date="2026-10-17T12:09:05.659Z" w:id="102">
    <w:p xmlns:wp14="http://schemas.microsoft.com/office/word/2010/wordml" w14:paraId="49069EBB" wp14:textId="77777777">
      <w:r>
        <w:t xml:space="preserve">Renegocjować – ponownie negocjować warunki umowy, tym razem na podstawie zebranych danych.</w:t>
      </w:r>
    </w:p>
  </w:comment>
  <w:comment w:initials="C" w:author="Claude" w:date="2026-10-17T12:09:05.659Z" w:id="103">
    <w:p xmlns:wp14="http://schemas.microsoft.com/office/word/2010/wordml" w14:paraId="57278937" wp14:textId="77777777">
      <w:r>
        <w:t xml:space="preserve">Rejestr ryzyk – tabela, w której zapisujesz, co może pójść źle, jak bardzo jest to prawdopodobne, jak duże byłyby szkody i co robisz, żeby temu zapobiec.</w:t>
      </w:r>
    </w:p>
  </w:comment>
  <w:comment w:initials="C" w:author="Claude" w:date="2026-10-17T12:09:05.659Z" w:id="104">
    <w:p xmlns:wp14="http://schemas.microsoft.com/office/word/2010/wordml" w14:paraId="7B5C2FC7" wp14:textId="77777777">
      <w:r>
        <w:t xml:space="preserve">Ustawa o grach hazardowych – główny polski akt prawny regulujący zakłady, kasyna i loterie. Określa, kto może organizować gry i jak je reklamować.</w:t>
      </w:r>
    </w:p>
  </w:comment>
  <w:comment w:initials="C" w:author="Claude" w:date="2026-10-17T12:09:05.659Z" w:id="105">
    <w:p xmlns:wp14="http://schemas.microsoft.com/office/word/2010/wordml" w14:paraId="7B9EA81B" wp14:textId="77777777">
      <w:r>
        <w:t xml:space="preserve">Artykuł 29 – przepis ustawy, który zakazuje reklamy hazardu. Dla zakładów u licencjonowanych bukmacherów przewidziano wyjątek, ale ściśle ograniczony.</w:t>
      </w:r>
    </w:p>
  </w:comment>
  <w:comment w:initials="C" w:author="Claude" w:date="2026-10-17T12:09:05.659Z" w:id="106">
    <w:p xmlns:wp14="http://schemas.microsoft.com/office/word/2010/wordml" w14:paraId="7E0F3EEE" wp14:textId="77777777">
      <w:r>
        <w:t xml:space="preserve">Zakłady wzajemne – prawnicza nazwa zakładów sportowych u bukmachera (obstawianie wyników wydarzeń).</w:t>
      </w:r>
    </w:p>
  </w:comment>
  <w:comment w:initials="C" w:author="Claude" w:date="2026-10-17T12:09:05.659Z" w:id="107">
    <w:p xmlns:wp14="http://schemas.microsoft.com/office/word/2010/wordml" w14:paraId="4ADC199D" wp14:textId="77777777">
      <w:r>
        <w:t xml:space="preserve">KAS – Krajowa Administracja Skarbowa (urzędy skarbowe i celno-skarbowe), czuwa nad rynkiem hazardu w Polsce.</w:t>
      </w:r>
    </w:p>
  </w:comment>
  <w:comment w:initials="C" w:author="Claude" w:date="2026-10-17T12:09:05.660Z" w:id="108">
    <w:p xmlns:wp14="http://schemas.microsoft.com/office/word/2010/wordml" w14:paraId="538FD155" wp14:textId="77777777">
      <w:r>
        <w:t xml:space="preserve">Rejestr domen zakazanych – lista stron internetowych nielegalnych operatorów hazardowych. Dostawcy internetu mają obowiązek je blokować.</w:t>
      </w:r>
    </w:p>
  </w:comment>
  <w:comment w:initials="C" w:author="Claude" w:date="2026-10-17T12:09:05.660Z" w:id="109">
    <w:p xmlns:wp14="http://schemas.microsoft.com/office/word/2010/wordml" w14:paraId="0BDBB33F" wp14:textId="77777777">
      <w:r>
        <w:t xml:space="preserve">Totalizator Sportowy – państwowa spółka (np. Lotto), która ma wyłączne prawo prowadzić kasyno online w Polsce. Inni operatorzy nie mogą legalnie oferować kasyna online.</w:t>
      </w:r>
    </w:p>
  </w:comment>
  <w:comment w:initials="C" w:author="Claude" w:date="2026-10-17T12:09:05.660Z" w:id="110">
    <w:p xmlns:wp14="http://schemas.microsoft.com/office/word/2010/wordml" w14:paraId="431FA0F7" wp14:textId="77777777">
      <w:r>
        <w:t xml:space="preserve">Zezwolenie Ministra Finansów – oficjalna zgoda (licencja) potrzebna do prowadzenia zakładów wzajemnych w Polsce. Lista licencjonowanych podmiotów jest publiczna.</w:t>
      </w:r>
    </w:p>
  </w:comment>
  <w:comment w:initials="C" w:author="Claude" w:date="2026-10-17T12:09:05.660Z" w:id="111">
    <w:p xmlns:wp14="http://schemas.microsoft.com/office/word/2010/wordml" w14:paraId="26079EA6" wp14:textId="77777777">
      <w:r>
        <w:t xml:space="preserve">Odpowiedzialna gra – zasady chroniące graczy przed uzależnieniem: ostrzeżenia, limity wpłat, możliwość samowykluczenia, informacje o pomocy.</w:t>
      </w:r>
    </w:p>
  </w:comment>
  <w:comment w:initials="C" w:author="Claude" w:date="2026-10-17T12:09:05.660Z" w:id="112">
    <w:p xmlns:wp14="http://schemas.microsoft.com/office/word/2010/wordml" w14:paraId="35CBE0F0" wp14:textId="77777777">
      <w:r>
        <w:t xml:space="preserve">Podatek od gier – podatek płacony przez bukmachera państwu. W zakładach wzajemnych liczy się go od kwot obstawionych przez graczy (tu 12%), a nie od zysku. Dlatego marża bukmachera jest niewielka.</w:t>
      </w:r>
    </w:p>
  </w:comment>
  <w:comment w:initials="C" w:author="Claude" w:date="2026-10-17T12:09:05.663Z" w:id="113">
    <w:p xmlns:wp14="http://schemas.microsoft.com/office/word/2010/wordml" w14:paraId="4030E1AA" wp14:textId="77777777">
      <w:r>
        <w:t xml:space="preserve">Tipster – osoba, która publikuje swoje typy (prognozy wyników), czasem odpłatnie.</w:t>
      </w:r>
    </w:p>
  </w:comment>
  <w:comment w:initials="C" w:author="Claude" w:date="2026-10-17T12:09:05.671Z" w:id="114">
    <w:p xmlns:wp14="http://schemas.microsoft.com/office/word/2010/wordml" w14:paraId="119EDA0B" wp14:textId="77777777">
      <w:r>
        <w:t xml:space="preserve">Prawdopodobieństwo – jak bardzo prawdopodobne jest, że dane ryzyko faktycznie wystąpi.</w:t>
      </w:r>
    </w:p>
  </w:comment>
  <w:comment w:initials="C" w:author="Claude" w:date="2026-10-17T12:09:05.671Z" w:id="115">
    <w:p xmlns:wp14="http://schemas.microsoft.com/office/word/2010/wordml" w14:paraId="1CD50E0A" wp14:textId="77777777">
      <w:r>
        <w:t xml:space="preserve">Wpływ – jak duże byłyby szkody, gdyby dane ryzyko się ziściło.</w:t>
      </w:r>
    </w:p>
  </w:comment>
  <w:comment w:initials="C" w:author="Claude" w:date="2026-10-17T12:09:05.682Z" w:id="116">
    <w:p xmlns:wp14="http://schemas.microsoft.com/office/word/2010/wordml" w14:paraId="68DBF26C" wp14:textId="77777777">
      <w:r>
        <w:t xml:space="preserve">Limit ekspozycji – maksymalna kwota, jaką jesteś gotów mieć „u partnera”, zanim zapłaci. Jeśli długu przybywa, wstrzymujesz promocję, dopóki nie zapłaci.</w:t>
      </w:r>
    </w:p>
  </w:comment>
  <w:comment w:initials="C" w:author="Claude" w:date="2026-10-17T12:09:05.682Z" w:id="117">
    <w:p xmlns:wp14="http://schemas.microsoft.com/office/word/2010/wordml" w14:paraId="2E3039EE" wp14:textId="77777777">
      <w:r>
        <w:t xml:space="preserve">Koncentracja przychodu – zależność od jednego partnera. Gdy jeden bukmacher daje 70% przychodów, jego odejście jest dla firmy dużym ciosem.</w:t>
      </w:r>
    </w:p>
  </w:comment>
  <w:comment w:initials="C" w:author="Claude" w:date="2026-10-17T12:09:05.682Z" w:id="118">
    <w:p xmlns:wp14="http://schemas.microsoft.com/office/word/2010/wordml" w14:paraId="4B9AA0FE" wp14:textId="77777777">
      <w:r>
        <w:t xml:space="preserve">Dywersyfikacja – rozłożenie przychodów na wielu partnerów, żeby nie zależeć od jednego.</w:t>
      </w:r>
    </w:p>
  </w:comment>
  <w:comment w:initials="C" w:author="Claude" w:date="2026-10-17T12:09:05.684Z" w:id="119">
    <w:p xmlns:wp14="http://schemas.microsoft.com/office/word/2010/wordml" w14:paraId="71B28BBA" wp14:textId="77777777">
      <w:r>
        <w:t xml:space="preserve">Konto (account) – tu: jeden partner (bukmacher), którym się opiekujesz, razem z jego umową i wynikami.</w:t>
      </w:r>
    </w:p>
  </w:comment>
  <w:comment w:initials="C" w:author="Claude" w:date="2026-10-17T12:09:05.684Z" w:id="120">
    <w:p xmlns:wp14="http://schemas.microsoft.com/office/word/2010/wordml" w14:paraId="27106BEF" wp14:textId="77777777">
      <w:r>
        <w:t xml:space="preserve">Onboarding – wdrożenie nowego partnera: podpisanie umowy, konfiguracja linków, pierwsze testy.</w:t>
      </w:r>
    </w:p>
  </w:comment>
  <w:comment w:initials="C" w:author="Claude" w:date="2026-10-17T12:09:05.684Z" w:id="121">
    <w:p xmlns:wp14="http://schemas.microsoft.com/office/word/2010/wordml" w14:paraId="38855463" wp14:textId="77777777">
      <w:r>
        <w:t xml:space="preserve">Offboarding – zakończenie współpracy z partnerem: rozliczenie, wyłączenie promocji, usunięcie linków.</w:t>
      </w:r>
    </w:p>
  </w:comment>
  <w:comment w:initials="C" w:author="Claude" w:date="2026-10-17T12:09:05.684Z" w:id="122">
    <w:p xmlns:wp14="http://schemas.microsoft.com/office/word/2010/wordml" w14:paraId="7EF6A56F" wp14:textId="77777777">
      <w:r>
        <w:t xml:space="preserve">Test konwersji – sprawdzenie, czy link śledzący działa: klikasz, zakładasz konto testowe i sprawdzasz, czy zostało zarejestrowane jako Twoje.</w:t>
      </w:r>
    </w:p>
  </w:comment>
  <w:comment w:initials="C" w:author="Claude" w:date="2026-10-17T12:09:05.684Z" w:id="123">
    <w:p xmlns:wp14="http://schemas.microsoft.com/office/word/2010/wordml" w14:paraId="2C56A3FC" wp14:textId="77777777">
      <w:r>
        <w:t xml:space="preserve">Lessons learned – „wnioski na przyszłość”: krótkie podsumowanie, co poszło dobrze, co źle i co zrobić inaczej następnym razem.</w:t>
      </w:r>
    </w:p>
  </w:comment>
  <w:comment w:initials="C" w:author="Claude" w:date="2026-10-17T12:09:05.685Z" w:id="125">
    <w:p xmlns:wp14="http://schemas.microsoft.com/office/word/2010/wordml" w14:paraId="4768C581" wp14:textId="77777777">
      <w:r>
        <w:t xml:space="preserve">Ownership – odpowiedzialność „jak za swoje”: nie czekasz na polecenia, tylko bierzesz odpowiedzialność za wynik i jego poprawę.</w:t>
      </w:r>
    </w:p>
  </w:comment>
  <w:comment w:initials="C" w:author="Claude" w:date="2026-10-17T12:09:05.685Z" w:id="126">
    <w:p xmlns:wp14="http://schemas.microsoft.com/office/word/2010/wordml" w14:paraId="004A24D7" wp14:textId="77777777">
      <w:r>
        <w:t xml:space="preserve">GGR (Gross Gaming Revenue) – przychód brutto: kwota obstawiona przez graczy minus wypłacone im wygrane. To „zysk bukmachera przed odliczeniami”.</w:t>
      </w:r>
    </w:p>
  </w:comment>
  <w:comment w:initials="C" w:author="Claude" w:date="2026-10-17T12:09:05.687Z" w:id="127">
    <w:p xmlns:wp14="http://schemas.microsoft.com/office/word/2010/wordml" w14:paraId="04E694ED" wp14:textId="77777777">
      <w:r>
        <w:t xml:space="preserve">Marża – to, co zostaje po odjęciu kosztów. Np. zarobiłeś 100 zł prowizji, wydałeś 60 zł na pozyskanie ruchu, marża = 40 zł (40%).</w:t>
      </w:r>
    </w:p>
  </w:comment>
  <w:comment w:initials="C" w:author="Claude" w:date="2026-10-17T12:09:05.687Z" w:id="128">
    <w:p xmlns:wp14="http://schemas.microsoft.com/office/word/2010/wordml" w14:paraId="7629D657" wp14:textId="77777777">
      <w:r>
        <w:t xml:space="preserve">RS – skrót od RevShare.</w:t>
      </w:r>
    </w:p>
  </w:comment>
  <w:comment w:initials="C" w:author="Claude" w:date="2026-10-17T12:09:05.688Z" w:id="129">
    <w:p xmlns:wp14="http://schemas.microsoft.com/office/word/2010/wordml" w14:paraId="3B94A219" wp14:textId="77777777">
      <w:r>
        <w:t xml:space="preserve">NGR/FTD – średni przychód na jednego nowego gracza (NGR podzielony przez liczbę FTD). Np. 6 000 zł NGR i 100 FTD daje 60 zł na gracza.</w:t>
      </w:r>
    </w:p>
  </w:comment>
  <w:comment w:initials="C" w:author="Claude" w:date="2026-10-17T12:09:05.688Z" w:id="130">
    <w:p xmlns:wp14="http://schemas.microsoft.com/office/word/2010/wordml" w14:paraId="1E780ABB" wp14:textId="77777777">
      <w:r>
        <w:t xml:space="preserve">Scenariusze – kilka wersji prognozy: bazowy (najbardziej prawdopodobny), optymistyczny (wszystko idzie dobrze) i pesymistyczny (wszystko idzie źle).</w:t>
      </w:r>
    </w:p>
  </w:comment>
  <w:comment w:initials="C" w:author="Claude" w:date="2026-10-17T12:09:05.688Z" w:id="131">
    <w:p xmlns:wp14="http://schemas.microsoft.com/office/word/2010/wordml" w14:paraId="224C5088" wp14:textId="77777777">
      <w:r>
        <w:t xml:space="preserve">Actual – rzeczywisty wynik (to, co faktycznie się wydarzyło), w odróżnieniu od prognozy.</w:t>
      </w:r>
    </w:p>
  </w:comment>
  <w:comment w:initials="C" w:author="Claude" w:date="2026-10-17T12:09:05.688Z" w:id="132">
    <w:p xmlns:wp14="http://schemas.microsoft.com/office/word/2010/wordml" w14:paraId="6E07465D" wp14:textId="77777777">
      <w:r>
        <w:t xml:space="preserve">PVM (Price, Volume, Mix) – prosty sposób tłumaczenia, dlaczego wynik różni się od planu: zmieniły się ceny/stawki, ilości czy struktura (kto i skąd).</w:t>
      </w:r>
    </w:p>
  </w:comment>
  <w:comment w:initials="C" w:author="Claude" w:date="2026-10-17T12:09:05.694Z" w:id="133">
    <w:p xmlns:wp14="http://schemas.microsoft.com/office/word/2010/wordml" w14:paraId="033E8302" wp14:textId="77777777">
      <w:r>
        <w:t xml:space="preserve">KSW – największa polska organizacja walk MMA (mieszane sztuki walki). Dużo osób obstawia takie gale.</w:t>
      </w:r>
    </w:p>
  </w:comment>
  <w:comment w:initials="C" w:author="Claude" w:date="2026-10-17T12:09:05.694Z" w:id="135">
    <w:p xmlns:wp14="http://schemas.microsoft.com/office/word/2010/wordml" w14:paraId="5C256B68" wp14:textId="77777777">
      <w:r>
        <w:t xml:space="preserve">Wariancja – losowe wahania wyników. Nawet przy dobrych kursach w jednym miesiącu gracze mogą wygrywać więcej, a w innym mniej.</w:t>
      </w:r>
    </w:p>
  </w:comment>
  <w:comment w:initials="C" w:author="Claude" w:date="2026-10-17T12:09:05.694Z" w:id="136">
    <w:p xmlns:wp14="http://schemas.microsoft.com/office/word/2010/wordml" w14:paraId="298C35A0" wp14:textId="77777777">
      <w:r>
        <w:t xml:space="preserve">SUMIFS / COUNTIFS – funkcje, które sumują lub liczą dane spełniające warunki (np. suma NGR tylko dla partnera X w styczniu).</w:t>
      </w:r>
    </w:p>
  </w:comment>
  <w:comment w:initials="C" w:author="Claude" w:date="2026-10-17T12:09:05.695Z" w:id="137">
    <w:p xmlns:wp14="http://schemas.microsoft.com/office/word/2010/wordml" w14:paraId="5FF208C6" wp14:textId="77777777">
      <w:r>
        <w:t xml:space="preserve">IMPORTRANGE – funkcja Google Sheets, która pobiera dane z innego arkusza.</w:t>
      </w:r>
    </w:p>
  </w:comment>
  <w:comment w:initials="C" w:author="Claude" w:date="2026-10-17T12:09:05.695Z" w:id="138">
    <w:p xmlns:wp14="http://schemas.microsoft.com/office/word/2010/wordml" w14:paraId="487D595F" wp14:textId="77777777">
      <w:r>
        <w:t xml:space="preserve">Walidacja danych – ustawienie, że w komórce można wpisać tylko określone wartości (np. wybór z listy), co zmniejsza ryzyko błędów.</w:t>
      </w:r>
    </w:p>
  </w:comment>
  <w:comment w:initials="C" w:author="Claude" w:date="2026-10-17T12:09:05.695Z" w:id="139">
    <w:p xmlns:wp14="http://schemas.microsoft.com/office/word/2010/wordml" w14:paraId="6A735B1E" wp14:textId="77777777">
      <w:r>
        <w:t xml:space="preserve">Ochrona zakresów – blokowanie części arkusza, żeby inni użytkownicy nie mogli jej przypadkowo zmienić.</w:t>
      </w:r>
    </w:p>
  </w:comment>
  <w:comment w:initials="C" w:author="Claude" w:date="2026-10-17T12:09:05.695Z" w:id="140">
    <w:p xmlns:wp14="http://schemas.microsoft.com/office/word/2010/wordml" w14:paraId="6F5011C6" wp14:textId="77777777">
      <w:r>
        <w:t xml:space="preserve">Analiza wrażliwości – sprawdzenie, jak bardzo zmieni się wynik, gdy zmienisz jedno założenie (np. retencja spadnie o 10%). Pokazuje, na co model jest najbardziej czuły.</w:t>
      </w:r>
    </w:p>
  </w:comment>
  <w:comment w:initials="C" w:author="Claude" w:date="2026-10-17T12:09:05.695Z" w:id="141">
    <w:p xmlns:wp14="http://schemas.microsoft.com/office/word/2010/wordml" w14:paraId="00527EC9" wp14:textId="77777777">
      <w:r>
        <w:t xml:space="preserve">Proaktywność – działanie z własnej inicjatywy, zanim ktoś o to poprosi.</w:t>
      </w:r>
    </w:p>
  </w:comment>
  <w:comment w:initials="C" w:author="Claude" w:date="2026-10-17T12:09:05.695Z" w:id="142">
    <w:p xmlns:wp14="http://schemas.microsoft.com/office/word/2010/wordml" w14:paraId="6A9DE9B3" wp14:textId="77777777">
      <w:r>
        <w:t xml:space="preserve">STAR – schemat opowiadania historii: Situation (sytuacja), Task (zadanie), Action (co zrobiłeś), Result (rezultat, najlepiej z liczbami).</w:t>
      </w:r>
    </w:p>
  </w:comment>
  <w:comment w:initials="C" w:author="Claude" w:date="2026-10-17T12:09:05.695Z" w:id="143">
    <w:p xmlns:wp14="http://schemas.microsoft.com/office/word/2010/wordml" w14:paraId="2C1345B2" wp14:textId="77777777">
      <w:r>
        <w:t xml:space="preserve">Zamknięcie miesiąca – końcowe rozliczenie wyników i faktur za dany miesiąc. Zwykle jest tu największy napływ pracy i terminy.</w:t>
      </w:r>
    </w:p>
  </w:comment>
  <w:comment w:initials="C" w:author="Claude" w:date="2026-10-17T12:09:05.695Z" w:id="146">
    <w:p xmlns:wp14="http://schemas.microsoft.com/office/word/2010/wordml" w14:paraId="01CA1D5F" wp14:textId="77777777">
      <w:r>
        <w:t xml:space="preserve">Tłumaczenia: conversion rate – wskaźnik konwersji; retention – retencja; cohort – kohorta; revenue share – podział przychodu; payout – wypłata; reconciliation – uzgadnianie rozliczeń; forecast – prognoza; compliance – zgodność z przepisami; onboarding – wdrożenie.</w:t>
      </w:r>
    </w:p>
  </w:comment>
  <w:comment w:initials="C" w:author="Claude" w:date="2026-10-17T12:09:05.695Z" w:id="147">
    <w:p xmlns:wp14="http://schemas.microsoft.com/office/word/2010/wordml" w14:paraId="46B808E6" wp14:textId="77777777">
      <w:r>
        <w:t xml:space="preserve">Stawki – kwoty, które gracze obstawili.</w:t>
      </w:r>
    </w:p>
  </w:comment>
  <w:comment w:initials="C" w:author="Claude" w:date="2026-10-17T12:09:05.695Z" w:id="148">
    <w:p xmlns:wp14="http://schemas.microsoft.com/office/word/2010/wordml" w14:paraId="4E3C40F7" wp14:textId="77777777">
      <w:r>
        <w:t xml:space="preserve">Brutto – przed odliczeniami; netto – po odliczeniach.</w:t>
      </w:r>
    </w:p>
  </w:comment>
  <w:comment w:initials="C" w:author="Claude" w:date="2026-10-17T12:09:05.696Z" w:id="149">
    <w:p xmlns:wp14="http://schemas.microsoft.com/office/word/2010/wordml" w14:paraId="0184E11D" wp14:textId="77777777">
      <w:r>
        <w:t xml:space="preserve">CPA (Cost Per Acquisition) – stała kwota, którą bukmacher płaci za każdego pozyskanego gracza (zwykle takiego, który pierwszy raz wpłacił pieniądze). Np. 150 zł za gracza, niezależnie od tego, ile potem zagra.</w:t>
      </w:r>
    </w:p>
  </w:comment>
  <w:comment w:initials="C" w:author="Claude" w:date="2026-10-17T12:09:05.696Z" w:id="150">
    <w:p xmlns:wp14="http://schemas.microsoft.com/office/word/2010/wordml" w14:paraId="39A935CD" wp14:textId="77777777">
      <w:r>
        <w:t xml:space="preserve">RevShare (Revenue Share, „podział przychodu”) – zamiast stałej kwoty dostajesz procent od zysku bukmachera z danego gracza, co miesiąc. Np. 30%: jeśli bukmacher zarobi na graczu 100 zł, Ty dostajesz 30 zł. Im dłużej gracz gra, tym więcej zarabiasz.</w:t>
      </w:r>
    </w:p>
  </w:comment>
  <w:comment w:initials="C" w:author="Claude" w:date="2026-10-17T12:09:05.696Z" w:id="151">
    <w:p xmlns:wp14="http://schemas.microsoft.com/office/word/2010/wordml" w14:paraId="7DCED0A2" wp14:textId="77777777">
      <w:r>
        <w:t xml:space="preserve">ARPU – średni przychód na jednego gracza. ARPPU – średni przychód na jednego płacącego gracza.</w:t>
      </w:r>
    </w:p>
  </w:comment>
  <w:comment w:initials="C" w:author="Claude" w:date="2026-10-17T12:09:05.696Z" w:id="152">
    <w:p xmlns:wp14="http://schemas.microsoft.com/office/word/2010/wordml" w14:paraId="3968DCDE" wp14:textId="77777777">
      <w:r>
        <w:t xml:space="preserve">CR (Conversion Rate) – wskaźnik konwersji, czyli jaki odsetek osób wykonał pożądaną czynność (np. wpłacił pieniądze po kliknięciu).</w:t>
      </w:r>
    </w:p>
  </w:comment>
  <w:comment w:initials="C" w:author="Claude" w:date="2026-10-17T12:09:05.697Z" w:id="153">
    <w:p xmlns:wp14="http://schemas.microsoft.com/office/word/2010/wordml" w14:paraId="1BD65BDE" wp14:textId="77777777">
      <w:r>
        <w:t xml:space="preserve">EPC (Earnings Per Click) – średni zarobek na jedno kliknięcie. Dobry sposób na porównanie opłacalności różnych partnerów.</w:t>
      </w:r>
    </w:p>
  </w:comment>
  <w:comment w:initials="C" w:author="Claude" w:date="2026-10-17T12:09:05.698Z" w:id="154">
    <w:p xmlns:wp14="http://schemas.microsoft.com/office/word/2010/wordml" w14:paraId="76399DBC" wp14:textId="77777777">
      <w:r>
        <w:t xml:space="preserve">Active players – aktywni gracze, czyli ci, którzy w danym okresie rzeczywiście obstawiali.</w:t>
      </w:r>
    </w:p>
  </w:comment>
  <w:comment w:initials="C" w:author="Claude" w:date="2026-10-17T12:09:05.698Z" w:id="155">
    <w:p xmlns:wp14="http://schemas.microsoft.com/office/word/2010/wordml" w14:paraId="6BF7B5E8" wp14:textId="77777777">
      <w:r>
        <w:t xml:space="preserve">Hold % – jaki procent z obstawionych kwot zostaje przy bukmacherze po wypłaceniu wygranych. To jego „marża” z zakładów.</w:t>
      </w:r>
    </w:p>
  </w:comment>
  <w:comment w:initials="C" w:author="Claude" w:date="2026-10-17T12:09:05.698Z" w:id="156">
    <w:p xmlns:wp14="http://schemas.microsoft.com/office/word/2010/wordml" w14:paraId="6DA31FF0" wp14:textId="77777777">
      <w:r>
        <w:t xml:space="preserve">Bonus abuse – wykorzystywanie bonusów w sposób niezgodny z zasadami (np. zakładanie wielu kont tylko po to, by zgarnąć bonus).</w:t>
      </w:r>
    </w:p>
  </w:comment>
  <w:comment w:initials="C" w:author="Claude" w:date="2026-10-17T12:09:05.699Z" w:id="157">
    <w:p xmlns:wp14="http://schemas.microsoft.com/office/word/2010/wordml" w14:paraId="4F86FF9E" wp14:textId="77777777">
      <w:r>
        <w:t xml:space="preserve">KYC (Know Your Customer) – weryfikacja tożsamości gracza (dokument, zdjęcie). Bukmacher musi ją przeprowadzić, żeby wypłacić pieniądze.</w:t>
      </w:r>
    </w:p>
  </w:comment>
  <w:comment w:initials="C" w:author="Claude" w:date="2026-10-17T12:09:05.699Z" w:id="158">
    <w:p xmlns:wp14="http://schemas.microsoft.com/office/word/2010/wordml" w14:paraId="25BFC56E" wp14:textId="77777777">
      <w:r>
        <w:t xml:space="preserve">Attio – nowoczesny system CRM, w którym zapisuje się informacje o partnerach i historii rozmów.</w:t>
      </w:r>
    </w:p>
  </w:comment>
  <w:comment w:initials="C" w:author="Claude" w:date="2026-10-17T12:09:05.699Z" w:id="159">
    <w:p xmlns:wp14="http://schemas.microsoft.com/office/word/2010/wordml" w14:paraId="402A3A52" wp14:textId="77777777">
      <w:r>
        <w:t xml:space="preserve">CRM – system do zarządzania kontaktami i relacjami z klientami (kto, kiedy, o czym rozmawiał).</w:t>
      </w:r>
    </w:p>
  </w:comment>
  <w:comment w:initials="C" w:author="Claude" w:date="2026-10-17T12:09:05.699Z" w:id="160">
    <w:p xmlns:wp14="http://schemas.microsoft.com/office/word/2010/wordml" w14:paraId="5A66371C" wp14:textId="77777777">
      <w:r>
        <w:t xml:space="preserve">JIRA – narzędzie do zarządzania zadaniami i zgłoszeniami w zespole (kto co robi, na jakim etapie).</w:t>
      </w:r>
    </w:p>
  </w:comment>
  <w:comment w:initials="C" w:author="Claude" w:date="2026-10-17T12:09:05.699Z" w:id="161">
    <w:p xmlns:wp14="http://schemas.microsoft.com/office/word/2010/wordml" w14:paraId="6D448E84" wp14:textId="77777777">
      <w:r>
        <w:t xml:space="preserve">Confluence / Notion – narzędzia internetowe do tworzenia dokumentacji, notatek i firmowej bazy wiedzy.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B730903"/>
  <w15:commentEx w15:done="0" w15:paraId="0266D8AF"/>
  <w15:commentEx w15:done="0" w15:paraId="7E0B2753"/>
  <w15:commentEx w15:done="0" w15:paraId="3443B80E"/>
  <w15:commentEx w15:done="0" w15:paraId="632132FA"/>
  <w15:commentEx w15:done="0" w15:paraId="7A0C1A7B"/>
  <w15:commentEx w15:done="0" w15:paraId="78856188"/>
  <w15:commentEx w15:done="0" w15:paraId="1186722A"/>
  <w15:commentEx w15:done="0" w15:paraId="7B95FB6E"/>
  <w15:commentEx w15:done="0" w15:paraId="20472D3E"/>
  <w15:commentEx w15:done="0" w15:paraId="277F71AE"/>
  <w15:commentEx w15:done="0" w15:paraId="1DDC9365"/>
  <w15:commentEx w15:done="0" w15:paraId="61C9CCD1"/>
  <w15:commentEx w15:done="0" w15:paraId="01115E08"/>
  <w15:commentEx w15:done="0" w15:paraId="4A0F3F51"/>
  <w15:commentEx w15:done="0" w15:paraId="25858317"/>
  <w15:commentEx w15:done="0" w15:paraId="7E711E8C"/>
  <w15:commentEx w15:done="0" w15:paraId="2705B8EA"/>
  <w15:commentEx w15:done="0" w15:paraId="28A47C70"/>
  <w15:commentEx w15:done="0" w15:paraId="0B632135"/>
  <w15:commentEx w15:done="0" w15:paraId="3276F5FA"/>
  <w15:commentEx w15:done="0" w15:paraId="35B2B6A2"/>
  <w15:commentEx w15:done="0" w15:paraId="7AF930D3"/>
  <w15:commentEx w15:done="0" w15:paraId="30136550"/>
  <w15:commentEx w15:done="0" w15:paraId="7C36B8A7"/>
  <w15:commentEx w15:done="0" w15:paraId="450F1180"/>
  <w15:commentEx w15:done="0" w15:paraId="5F8FD4EB"/>
  <w15:commentEx w15:done="0" w15:paraId="57763780"/>
  <w15:commentEx w15:done="0" w15:paraId="68115F83"/>
  <w15:commentEx w15:done="0" w15:paraId="3BBC45EE"/>
  <w15:commentEx w15:done="0" w15:paraId="3125FC91"/>
  <w15:commentEx w15:done="0" w15:paraId="2C8B635A"/>
  <w15:commentEx w15:done="0" w15:paraId="70F05E45"/>
  <w15:commentEx w15:done="0" w15:paraId="2F081866"/>
  <w15:commentEx w15:done="0" w15:paraId="78E47853"/>
  <w15:commentEx w15:done="0" w15:paraId="56E8E156"/>
  <w15:commentEx w15:done="0" w15:paraId="4586C5F6"/>
  <w15:commentEx w15:done="0" w15:paraId="447852A9"/>
  <w15:commentEx w15:done="0" w15:paraId="4EFCC88E"/>
  <w15:commentEx w15:done="0" w15:paraId="74CA75E1"/>
  <w15:commentEx w15:done="0" w15:paraId="1CD5E278"/>
  <w15:commentEx w15:done="0" w15:paraId="46FD82FD"/>
  <w15:commentEx w15:done="0" w15:paraId="5D333C7C"/>
  <w15:commentEx w15:done="0" w15:paraId="0396B391"/>
  <w15:commentEx w15:done="0" w15:paraId="213DA21F"/>
  <w15:commentEx w15:done="0" w15:paraId="6C694F19"/>
  <w15:commentEx w15:done="0" w15:paraId="23E613D2"/>
  <w15:commentEx w15:done="0" w15:paraId="6D08CDDB"/>
  <w15:commentEx w15:done="0" w15:paraId="0D8F3386"/>
  <w15:commentEx w15:done="0" w15:paraId="4394CA0A"/>
  <w15:commentEx w15:done="0" w15:paraId="58BE1C20"/>
  <w15:commentEx w15:done="0" w15:paraId="5DE38751"/>
  <w15:commentEx w15:done="0" w15:paraId="77FFCC5F"/>
  <w15:commentEx w15:done="0" w15:paraId="25AA8E17"/>
  <w15:commentEx w15:done="0" w15:paraId="1FB8765A"/>
  <w15:commentEx w15:done="0" w15:paraId="7D803F1F"/>
  <w15:commentEx w15:done="0" w15:paraId="6F81F034"/>
  <w15:commentEx w15:done="0" w15:paraId="1B8011E5"/>
  <w15:commentEx w15:done="0" w15:paraId="2366672E"/>
  <w15:commentEx w15:done="0" w15:paraId="1D8F1BF7"/>
  <w15:commentEx w15:done="0" w15:paraId="47F8F465"/>
  <w15:commentEx w15:done="0" w15:paraId="03F67AFC"/>
  <w15:commentEx w15:done="0" w15:paraId="3C0A5B48"/>
  <w15:commentEx w15:done="0" w15:paraId="31662CE8"/>
  <w15:commentEx w15:done="0" w15:paraId="785A15E6"/>
  <w15:commentEx w15:done="0" w15:paraId="7ECABFEC"/>
  <w15:commentEx w15:done="0" w15:paraId="1BD892CB"/>
  <w15:commentEx w15:done="0" w15:paraId="0C88D4C9"/>
  <w15:commentEx w15:done="0" w15:paraId="0F7C6922"/>
  <w15:commentEx w15:done="0" w15:paraId="48665682"/>
  <w15:commentEx w15:done="0" w15:paraId="4CFF6844"/>
  <w15:commentEx w15:done="0" w15:paraId="20CA3BDA"/>
  <w15:commentEx w15:done="0" w15:paraId="41193761"/>
  <w15:commentEx w15:done="0" w15:paraId="301F0953"/>
  <w15:commentEx w15:done="0" w15:paraId="488AF71C"/>
  <w15:commentEx w15:done="0" w15:paraId="52A74BEE"/>
  <w15:commentEx w15:done="0" w15:paraId="7D5892AA"/>
  <w15:commentEx w15:done="0" w15:paraId="20A9A85F"/>
  <w15:commentEx w15:done="0" w15:paraId="21EDA734"/>
  <w15:commentEx w15:done="0" w15:paraId="2A3E5D0B"/>
  <w15:commentEx w15:done="0" w15:paraId="2AE82A61"/>
  <w15:commentEx w15:done="0" w15:paraId="28A26077"/>
  <w15:commentEx w15:done="0" w15:paraId="595C5921"/>
  <w15:commentEx w15:done="0" w15:paraId="2C185FD2"/>
  <w15:commentEx w15:done="0" w15:paraId="311F1087"/>
  <w15:commentEx w15:done="0" w15:paraId="3BDD377C"/>
  <w15:commentEx w15:done="0" w15:paraId="2E71E388"/>
  <w15:commentEx w15:done="0" w15:paraId="49069EBB"/>
  <w15:commentEx w15:done="0" w15:paraId="57278937"/>
  <w15:commentEx w15:done="0" w15:paraId="7B5C2FC7"/>
  <w15:commentEx w15:done="0" w15:paraId="7B9EA81B"/>
  <w15:commentEx w15:done="0" w15:paraId="7E0F3EEE"/>
  <w15:commentEx w15:done="0" w15:paraId="4ADC199D"/>
  <w15:commentEx w15:done="0" w15:paraId="538FD155"/>
  <w15:commentEx w15:done="0" w15:paraId="0BDBB33F"/>
  <w15:commentEx w15:done="0" w15:paraId="431FA0F7"/>
  <w15:commentEx w15:done="0" w15:paraId="26079EA6"/>
  <w15:commentEx w15:done="0" w15:paraId="35CBE0F0"/>
  <w15:commentEx w15:done="0" w15:paraId="4030E1AA"/>
  <w15:commentEx w15:done="0" w15:paraId="119EDA0B"/>
  <w15:commentEx w15:done="0" w15:paraId="1CD50E0A"/>
  <w15:commentEx w15:done="0" w15:paraId="68DBF26C"/>
  <w15:commentEx w15:done="0" w15:paraId="2E3039EE"/>
  <w15:commentEx w15:done="0" w15:paraId="4B9AA0FE"/>
  <w15:commentEx w15:done="0" w15:paraId="71B28BBA"/>
  <w15:commentEx w15:done="0" w15:paraId="27106BEF"/>
  <w15:commentEx w15:done="0" w15:paraId="38855463"/>
  <w15:commentEx w15:done="0" w15:paraId="7EF6A56F"/>
  <w15:commentEx w15:done="0" w15:paraId="2C56A3FC"/>
  <w15:commentEx w15:done="0" w15:paraId="4768C581"/>
  <w15:commentEx w15:done="0" w15:paraId="004A24D7"/>
  <w15:commentEx w15:done="0" w15:paraId="04E694ED"/>
  <w15:commentEx w15:done="0" w15:paraId="7629D657"/>
  <w15:commentEx w15:done="0" w15:paraId="3B94A219"/>
  <w15:commentEx w15:done="0" w15:paraId="1E780ABB"/>
  <w15:commentEx w15:done="0" w15:paraId="224C5088"/>
  <w15:commentEx w15:done="0" w15:paraId="6E07465D"/>
  <w15:commentEx w15:done="0" w15:paraId="033E8302"/>
  <w15:commentEx w15:done="0" w15:paraId="5C256B68"/>
  <w15:commentEx w15:done="0" w15:paraId="298C35A0"/>
  <w15:commentEx w15:done="0" w15:paraId="5FF208C6"/>
  <w15:commentEx w15:done="0" w15:paraId="487D595F"/>
  <w15:commentEx w15:done="0" w15:paraId="6A735B1E"/>
  <w15:commentEx w15:done="0" w15:paraId="6F5011C6"/>
  <w15:commentEx w15:done="0" w15:paraId="00527EC9"/>
  <w15:commentEx w15:done="0" w15:paraId="6A9DE9B3"/>
  <w15:commentEx w15:done="0" w15:paraId="2C1345B2"/>
  <w15:commentEx w15:done="0" w15:paraId="01CA1D5F"/>
  <w15:commentEx w15:done="0" w15:paraId="46B808E6"/>
  <w15:commentEx w15:done="0" w15:paraId="4E3C40F7"/>
  <w15:commentEx w15:done="0" w15:paraId="0184E11D"/>
  <w15:commentEx w15:done="0" w15:paraId="39A935CD"/>
  <w15:commentEx w15:done="0" w15:paraId="7DCED0A2"/>
  <w15:commentEx w15:done="0" w15:paraId="3968DCDE"/>
  <w15:commentEx w15:done="0" w15:paraId="1BD65BDE"/>
  <w15:commentEx w15:done="0" w15:paraId="76399DBC"/>
  <w15:commentEx w15:done="0" w15:paraId="6BF7B5E8"/>
  <w15:commentEx w15:done="0" w15:paraId="6DA31FF0"/>
  <w15:commentEx w15:done="0" w15:paraId="4F86FF9E"/>
  <w15:commentEx w15:done="0" w15:paraId="25BFC56E"/>
  <w15:commentEx w15:done="0" w15:paraId="402A3A52"/>
  <w15:commentEx w15:done="0" w15:paraId="5A66371C"/>
  <w15:commentEx w15:done="0" w15:paraId="6D448E84"/>
</w15:commentsEx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B730903" w16cid:durableId="609009AF"/>
  <w16cid:commentId w16cid:paraId="0266D8AF" w16cid:durableId="2F5C5C7B"/>
  <w16cid:commentId w16cid:paraId="7E0B2753" w16cid:durableId="4FD9157D"/>
  <w16cid:commentId w16cid:paraId="3443B80E" w16cid:durableId="7E7E98FA"/>
  <w16cid:commentId w16cid:paraId="632132FA" w16cid:durableId="1E5FA193"/>
  <w16cid:commentId w16cid:paraId="7A0C1A7B" w16cid:durableId="44DF4D27"/>
  <w16cid:commentId w16cid:paraId="78856188" w16cid:durableId="1891C8A7"/>
  <w16cid:commentId w16cid:paraId="1186722A" w16cid:durableId="73566682"/>
  <w16cid:commentId w16cid:paraId="7B95FB6E" w16cid:durableId="06D13FC8"/>
  <w16cid:commentId w16cid:paraId="20472D3E" w16cid:durableId="2D1D38E3"/>
  <w16cid:commentId w16cid:paraId="277F71AE" w16cid:durableId="0D61EA21"/>
  <w16cid:commentId w16cid:paraId="1DDC9365" w16cid:durableId="25A582B2"/>
  <w16cid:commentId w16cid:paraId="61C9CCD1" w16cid:durableId="1EC09FBC"/>
  <w16cid:commentId w16cid:paraId="01115E08" w16cid:durableId="56851BAB"/>
  <w16cid:commentId w16cid:paraId="4A0F3F51" w16cid:durableId="6CDF4C79"/>
  <w16cid:commentId w16cid:paraId="25858317" w16cid:durableId="38769172"/>
  <w16cid:commentId w16cid:paraId="7E711E8C" w16cid:durableId="7AFE32F2"/>
  <w16cid:commentId w16cid:paraId="2705B8EA" w16cid:durableId="355D2236"/>
  <w16cid:commentId w16cid:paraId="28A47C70" w16cid:durableId="472F50EC"/>
  <w16cid:commentId w16cid:paraId="0B632135" w16cid:durableId="121C857A"/>
  <w16cid:commentId w16cid:paraId="3276F5FA" w16cid:durableId="1AB25555"/>
  <w16cid:commentId w16cid:paraId="35B2B6A2" w16cid:durableId="2D1B3C12"/>
  <w16cid:commentId w16cid:paraId="7AF930D3" w16cid:durableId="66869453"/>
  <w16cid:commentId w16cid:paraId="30136550" w16cid:durableId="1035CA63"/>
  <w16cid:commentId w16cid:paraId="7C36B8A7" w16cid:durableId="425C5E0B"/>
  <w16cid:commentId w16cid:paraId="450F1180" w16cid:durableId="5CBA5923"/>
  <w16cid:commentId w16cid:paraId="5F8FD4EB" w16cid:durableId="41657455"/>
  <w16cid:commentId w16cid:paraId="57763780" w16cid:durableId="50D21538"/>
  <w16cid:commentId w16cid:paraId="68115F83" w16cid:durableId="72BA564B"/>
  <w16cid:commentId w16cid:paraId="3BBC45EE" w16cid:durableId="78EC7A2C"/>
  <w16cid:commentId w16cid:paraId="3125FC91" w16cid:durableId="3BC3097A"/>
  <w16cid:commentId w16cid:paraId="2C8B635A" w16cid:durableId="75BA70AA"/>
  <w16cid:commentId w16cid:paraId="70F05E45" w16cid:durableId="45CF54A2"/>
  <w16cid:commentId w16cid:paraId="2F081866" w16cid:durableId="269804B8"/>
  <w16cid:commentId w16cid:paraId="78E47853" w16cid:durableId="59588C34"/>
  <w16cid:commentId w16cid:paraId="56E8E156" w16cid:durableId="7079FC9F"/>
  <w16cid:commentId w16cid:paraId="4586C5F6" w16cid:durableId="2CA8C13B"/>
  <w16cid:commentId w16cid:paraId="447852A9" w16cid:durableId="3B262F85"/>
  <w16cid:commentId w16cid:paraId="4EFCC88E" w16cid:durableId="78332727"/>
  <w16cid:commentId w16cid:paraId="74CA75E1" w16cid:durableId="737A37E3"/>
  <w16cid:commentId w16cid:paraId="1CD5E278" w16cid:durableId="6DE000E7"/>
  <w16cid:commentId w16cid:paraId="46FD82FD" w16cid:durableId="01922D24"/>
  <w16cid:commentId w16cid:paraId="5D333C7C" w16cid:durableId="20BD2C44"/>
  <w16cid:commentId w16cid:paraId="0396B391" w16cid:durableId="0F64280A"/>
  <w16cid:commentId w16cid:paraId="213DA21F" w16cid:durableId="40986913"/>
  <w16cid:commentId w16cid:paraId="6C694F19" w16cid:durableId="06469B8F"/>
  <w16cid:commentId w16cid:paraId="23E613D2" w16cid:durableId="3D579498"/>
  <w16cid:commentId w16cid:paraId="6D08CDDB" w16cid:durableId="69BCFFED"/>
  <w16cid:commentId w16cid:paraId="0D8F3386" w16cid:durableId="7383BBE0"/>
  <w16cid:commentId w16cid:paraId="4394CA0A" w16cid:durableId="635CBA2A"/>
  <w16cid:commentId w16cid:paraId="58BE1C20" w16cid:durableId="27740765"/>
  <w16cid:commentId w16cid:paraId="5DE38751" w16cid:durableId="74DFEDA0"/>
  <w16cid:commentId w16cid:paraId="77FFCC5F" w16cid:durableId="39B4C0F7"/>
  <w16cid:commentId w16cid:paraId="25AA8E17" w16cid:durableId="4A3CC801"/>
  <w16cid:commentId w16cid:paraId="1FB8765A" w16cid:durableId="24C8AF89"/>
  <w16cid:commentId w16cid:paraId="7D803F1F" w16cid:durableId="2658559F"/>
  <w16cid:commentId w16cid:paraId="6F81F034" w16cid:durableId="396618F7"/>
  <w16cid:commentId w16cid:paraId="1B8011E5" w16cid:durableId="6100E288"/>
  <w16cid:commentId w16cid:paraId="2366672E" w16cid:durableId="48014C67"/>
  <w16cid:commentId w16cid:paraId="1D8F1BF7" w16cid:durableId="079E816D"/>
  <w16cid:commentId w16cid:paraId="47F8F465" w16cid:durableId="6679F2C6"/>
  <w16cid:commentId w16cid:paraId="03F67AFC" w16cid:durableId="3882CEEF"/>
  <w16cid:commentId w16cid:paraId="3C0A5B48" w16cid:durableId="76EA7DBC"/>
  <w16cid:commentId w16cid:paraId="31662CE8" w16cid:durableId="129FCC9D"/>
  <w16cid:commentId w16cid:paraId="785A15E6" w16cid:durableId="1A5A6311"/>
  <w16cid:commentId w16cid:paraId="7ECABFEC" w16cid:durableId="092F2BD8"/>
  <w16cid:commentId w16cid:paraId="1BD892CB" w16cid:durableId="580880FB"/>
  <w16cid:commentId w16cid:paraId="0C88D4C9" w16cid:durableId="7AB76658"/>
  <w16cid:commentId w16cid:paraId="0F7C6922" w16cid:durableId="6CA930C8"/>
  <w16cid:commentId w16cid:paraId="48665682" w16cid:durableId="46DF4406"/>
  <w16cid:commentId w16cid:paraId="4CFF6844" w16cid:durableId="7CA6B37A"/>
  <w16cid:commentId w16cid:paraId="20CA3BDA" w16cid:durableId="43021565"/>
  <w16cid:commentId w16cid:paraId="41193761" w16cid:durableId="2E17CA2E"/>
  <w16cid:commentId w16cid:paraId="301F0953" w16cid:durableId="0A0A0630"/>
  <w16cid:commentId w16cid:paraId="488AF71C" w16cid:durableId="7363F39D"/>
  <w16cid:commentId w16cid:paraId="52A74BEE" w16cid:durableId="7AE19DF5"/>
  <w16cid:commentId w16cid:paraId="7D5892AA" w16cid:durableId="70D2AF89"/>
  <w16cid:commentId w16cid:paraId="20A9A85F" w16cid:durableId="7E942803"/>
  <w16cid:commentId w16cid:paraId="21EDA734" w16cid:durableId="1335ECF8"/>
  <w16cid:commentId w16cid:paraId="2A3E5D0B" w16cid:durableId="6CFCAF61"/>
  <w16cid:commentId w16cid:paraId="2AE82A61" w16cid:durableId="34E977F8"/>
  <w16cid:commentId w16cid:paraId="28A26077" w16cid:durableId="4738C599"/>
  <w16cid:commentId w16cid:paraId="595C5921" w16cid:durableId="328333AE"/>
  <w16cid:commentId w16cid:paraId="2C185FD2" w16cid:durableId="4D1D429B"/>
  <w16cid:commentId w16cid:paraId="311F1087" w16cid:durableId="21B81D7B"/>
  <w16cid:commentId w16cid:paraId="3BDD377C" w16cid:durableId="26BC1E42"/>
  <w16cid:commentId w16cid:paraId="2E71E388" w16cid:durableId="2CD573F6"/>
  <w16cid:commentId w16cid:paraId="49069EBB" w16cid:durableId="04303A19"/>
  <w16cid:commentId w16cid:paraId="57278937" w16cid:durableId="484AC9C3"/>
  <w16cid:commentId w16cid:paraId="7B5C2FC7" w16cid:durableId="55C96E16"/>
  <w16cid:commentId w16cid:paraId="7B9EA81B" w16cid:durableId="25517D3D"/>
  <w16cid:commentId w16cid:paraId="7E0F3EEE" w16cid:durableId="40DFE8C7"/>
  <w16cid:commentId w16cid:paraId="4ADC199D" w16cid:durableId="7201341D"/>
  <w16cid:commentId w16cid:paraId="538FD155" w16cid:durableId="124F66C3"/>
  <w16cid:commentId w16cid:paraId="0BDBB33F" w16cid:durableId="620300AF"/>
  <w16cid:commentId w16cid:paraId="431FA0F7" w16cid:durableId="7D00D2F9"/>
  <w16cid:commentId w16cid:paraId="26079EA6" w16cid:durableId="5CE50E21"/>
  <w16cid:commentId w16cid:paraId="35CBE0F0" w16cid:durableId="098F7867"/>
  <w16cid:commentId w16cid:paraId="4030E1AA" w16cid:durableId="7F10FB3E"/>
  <w16cid:commentId w16cid:paraId="119EDA0B" w16cid:durableId="715802DA"/>
  <w16cid:commentId w16cid:paraId="1CD50E0A" w16cid:durableId="344E5755"/>
  <w16cid:commentId w16cid:paraId="68DBF26C" w16cid:durableId="0FFC677C"/>
  <w16cid:commentId w16cid:paraId="2E3039EE" w16cid:durableId="69559F64"/>
  <w16cid:commentId w16cid:paraId="4B9AA0FE" w16cid:durableId="60C3F398"/>
  <w16cid:commentId w16cid:paraId="71B28BBA" w16cid:durableId="0D70CF18"/>
  <w16cid:commentId w16cid:paraId="27106BEF" w16cid:durableId="34EFBF4D"/>
  <w16cid:commentId w16cid:paraId="38855463" w16cid:durableId="7CD0665F"/>
  <w16cid:commentId w16cid:paraId="7EF6A56F" w16cid:durableId="31829256"/>
  <w16cid:commentId w16cid:paraId="2C56A3FC" w16cid:durableId="62890475"/>
  <w16cid:commentId w16cid:paraId="4768C581" w16cid:durableId="23EAC04B"/>
  <w16cid:commentId w16cid:paraId="004A24D7" w16cid:durableId="746C8B09"/>
  <w16cid:commentId w16cid:paraId="04E694ED" w16cid:durableId="2B2CABDB"/>
  <w16cid:commentId w16cid:paraId="7629D657" w16cid:durableId="6A9AC6DA"/>
  <w16cid:commentId w16cid:paraId="3B94A219" w16cid:durableId="6757D810"/>
  <w16cid:commentId w16cid:paraId="1E780ABB" w16cid:durableId="49C31AAF"/>
  <w16cid:commentId w16cid:paraId="224C5088" w16cid:durableId="10B50C83"/>
  <w16cid:commentId w16cid:paraId="6E07465D" w16cid:durableId="1292B9B0"/>
  <w16cid:commentId w16cid:paraId="033E8302" w16cid:durableId="2BE53870"/>
  <w16cid:commentId w16cid:paraId="5C256B68" w16cid:durableId="6FE731C2"/>
  <w16cid:commentId w16cid:paraId="298C35A0" w16cid:durableId="266AE93F"/>
  <w16cid:commentId w16cid:paraId="5FF208C6" w16cid:durableId="712A54EA"/>
  <w16cid:commentId w16cid:paraId="487D595F" w16cid:durableId="40715071"/>
  <w16cid:commentId w16cid:paraId="6A735B1E" w16cid:durableId="7D3579BA"/>
  <w16cid:commentId w16cid:paraId="6F5011C6" w16cid:durableId="5B6CCDD2"/>
  <w16cid:commentId w16cid:paraId="00527EC9" w16cid:durableId="264F0830"/>
  <w16cid:commentId w16cid:paraId="6A9DE9B3" w16cid:durableId="62FF71FF"/>
  <w16cid:commentId w16cid:paraId="2C1345B2" w16cid:durableId="0B575DB1"/>
  <w16cid:commentId w16cid:paraId="01CA1D5F" w16cid:durableId="39B78203"/>
  <w16cid:commentId w16cid:paraId="46B808E6" w16cid:durableId="5052FA65"/>
  <w16cid:commentId w16cid:paraId="4E3C40F7" w16cid:durableId="21ECD096"/>
  <w16cid:commentId w16cid:paraId="0184E11D" w16cid:durableId="42642D10"/>
  <w16cid:commentId w16cid:paraId="39A935CD" w16cid:durableId="4F0C5092"/>
  <w16cid:commentId w16cid:paraId="7DCED0A2" w16cid:durableId="06EAED65"/>
  <w16cid:commentId w16cid:paraId="3968DCDE" w16cid:durableId="752D7066"/>
  <w16cid:commentId w16cid:paraId="1BD65BDE" w16cid:durableId="2A6AF2E6"/>
  <w16cid:commentId w16cid:paraId="76399DBC" w16cid:durableId="03F401AB"/>
  <w16cid:commentId w16cid:paraId="6BF7B5E8" w16cid:durableId="34C9F728"/>
  <w16cid:commentId w16cid:paraId="6DA31FF0" w16cid:durableId="6C8E18F7"/>
  <w16cid:commentId w16cid:paraId="4F86FF9E" w16cid:durableId="6DB23D3A"/>
  <w16cid:commentId w16cid:paraId="25BFC56E" w16cid:durableId="4E2843E1"/>
  <w16cid:commentId w16cid:paraId="402A3A52" w16cid:durableId="3AED933C"/>
  <w16cid:commentId w16cid:paraId="5A66371C" w16cid:durableId="3EFB0505"/>
  <w16cid:commentId w16cid:paraId="6D448E84" w16cid:durableId="34FA2EC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890dcf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d92e0dd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d953fd0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6227de3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c61fa3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d9db4d8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6B291AFB"/>
    <w:rsid w:val="04776E56"/>
    <w:rsid w:val="09638A82"/>
    <w:rsid w:val="0B0683D3"/>
    <w:rsid w:val="0BBF5ECB"/>
    <w:rsid w:val="1023562C"/>
    <w:rsid w:val="16036B62"/>
    <w:rsid w:val="18A2C8E9"/>
    <w:rsid w:val="1A819FBA"/>
    <w:rsid w:val="1BC448F3"/>
    <w:rsid w:val="277ABE84"/>
    <w:rsid w:val="28F5EBC1"/>
    <w:rsid w:val="2904554D"/>
    <w:rsid w:val="2C1A6BC1"/>
    <w:rsid w:val="317CDC9E"/>
    <w:rsid w:val="31BCDF2B"/>
    <w:rsid w:val="32AB6390"/>
    <w:rsid w:val="3392BE2D"/>
    <w:rsid w:val="36EC7F57"/>
    <w:rsid w:val="3A3CB5DB"/>
    <w:rsid w:val="3B687CB2"/>
    <w:rsid w:val="3CA8A35D"/>
    <w:rsid w:val="3CEB0CA3"/>
    <w:rsid w:val="40E509F9"/>
    <w:rsid w:val="41E41F33"/>
    <w:rsid w:val="4831CD18"/>
    <w:rsid w:val="4A73A885"/>
    <w:rsid w:val="4B0C97B7"/>
    <w:rsid w:val="4EC3AEB2"/>
    <w:rsid w:val="520BFF31"/>
    <w:rsid w:val="53186FEC"/>
    <w:rsid w:val="5341052C"/>
    <w:rsid w:val="559DB896"/>
    <w:rsid w:val="59491C89"/>
    <w:rsid w:val="59F7E299"/>
    <w:rsid w:val="5BD9254A"/>
    <w:rsid w:val="5CFC6503"/>
    <w:rsid w:val="5D13B195"/>
    <w:rsid w:val="5F67FAD2"/>
    <w:rsid w:val="5FDC01FD"/>
    <w:rsid w:val="60298504"/>
    <w:rsid w:val="610E7331"/>
    <w:rsid w:val="61E2BA29"/>
    <w:rsid w:val="63B1D7DC"/>
    <w:rsid w:val="67498F5D"/>
    <w:rsid w:val="6AF43AF6"/>
    <w:rsid w:val="6B291AFB"/>
    <w:rsid w:val="6D979666"/>
    <w:rsid w:val="6DF63795"/>
    <w:rsid w:val="6E1E49F8"/>
    <w:rsid w:val="719EBA76"/>
    <w:rsid w:val="747FDC2B"/>
    <w:rsid w:val="7553E447"/>
    <w:rsid w:val="75A8585D"/>
    <w:rsid w:val="75ABB98F"/>
    <w:rsid w:val="75F7F6CB"/>
    <w:rsid w:val="76B0F635"/>
    <w:rsid w:val="77F4CAB4"/>
    <w:rsid w:val="7A0976DB"/>
    <w:rsid w:val="7A1F214E"/>
    <w:rsid w:val="7DC84052"/>
    <w:rsid w:val="7E537CFA"/>
    <w:rsid w:val="7F1880B5"/>
  </w:rsids>
  <w14:docId w14:val="56BD1287"/>
  <w15:docId w15:val="{1943F48A-0CC9-4E74-905A-4467CB500B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60"/>
      <w:outlineLvl w:val="0"/>
    </w:pPr>
    <w:rPr>
      <w:rFonts w:ascii="Arial" w:hAnsi="Arial" w:eastAsia="Arial" w:cs="Arial"/>
      <w:b/>
      <w:bCs/>
      <w:color w:val="1F3864"/>
      <w:sz w:val="36"/>
      <w:szCs w:val="36"/>
    </w:rPr>
  </w:style>
  <w:style w:type="paragraph" w:styleId="Heading2">
    <w:name w:val="heading 20"/>
    <w:basedOn w:val="Normal"/>
    <w:next w:val="Normal"/>
    <w:qFormat/>
    <w:pPr>
      <w:keepNext/>
      <w:spacing w:before="320" w:after="120"/>
      <w:outlineLvl w:val="1"/>
    </w:pPr>
    <w:rPr>
      <w:rFonts w:ascii="Arial" w:hAnsi="Arial" w:eastAsia="Arial" w:cs="Arial"/>
      <w:b/>
      <w:bCs/>
      <w:color w:val="2F5496"/>
      <w:sz w:val="28"/>
      <w:szCs w:val="28"/>
    </w:rPr>
  </w:style>
  <w:style w:type="paragraph" w:styleId="Heading3">
    <w:name w:val="heading 30"/>
    <w:basedOn w:val="Normal"/>
    <w:next w:val="Normal"/>
    <w:qFormat/>
    <w:pPr>
      <w:keepNext/>
      <w:spacing w:before="240" w:after="100"/>
      <w:outlineLvl w:val="2"/>
    </w:pPr>
    <w:rPr>
      <w:rFonts w:ascii="Arial" w:hAnsi="Arial" w:eastAsia="Arial" w:cs="Arial"/>
      <w:b/>
      <w:bCs/>
      <w:color w:val="2F5496"/>
      <w:sz w:val="24"/>
      <w:szCs w:val="24"/>
    </w:rPr>
  </w:style>
  <w:style w:type="paragraph" w:styleId="Normal" w:default="1">
    <w:uiPriority w:val="0"/>
    <w:name w:val="Normal"/>
    <w:qFormat/>
    <w:rsid w:val="6B291AFB"/>
    <w:rPr>
      <w:noProof/>
      <w:lang w:val="pl-PL"/>
    </w:rPr>
  </w:style>
</w:styles>
</file>

<file path=word/_rels/comments.xml.rels><?xml version="1.0" encoding="UTF-8"?><Relationships xmlns="http://schemas.openxmlformats.org/package/2006/relationships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comments" Target="comments.xml" Id="rId6" /><Relationship Type="http://schemas.openxmlformats.org/officeDocument/2006/relationships/fontTable" Target="fontTable.xml" Id="rId7" /><Relationship Type="http://schemas.microsoft.com/office/2016/09/relationships/commentsIds" Target="/word/commentsIds.xml" Id="Rf28eaf79ca7f4b2b" /><Relationship Type="http://schemas.microsoft.com/office/2011/relationships/commentsExtended" Target="/word/commentsExtended.xml" Id="Rec72a8b993ee426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Przygotowanie do rozmowy: Account Specialist, iGamingNuts</dc:title>
  <dc:creator>Claude</dc:creator>
  <lastModifiedBy>Patryk Jarmużewski</lastModifiedBy>
  <revision>8</revision>
  <dcterms:created xsi:type="dcterms:W3CDTF">2026-10-17T12:09:05.7120000Z</dcterms:created>
  <dcterms:modified xsi:type="dcterms:W3CDTF">2026-10-26T13:28:02.9934083Z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