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Arial" w:hAnsi="Arial" w:eastAsia="Arial"/>
          <w:b/>
          <w:color w:val="8A651B"/>
          <w:sz w:val="22"/>
        </w:rPr>
        <w:t>WERSJA DLA DZIECI I MŁODZIEŻY</w:t>
      </w:r>
    </w:p>
    <w:p>
      <w:pPr>
        <w:spacing w:after="200"/>
        <w:jc w:val="center"/>
      </w:pPr>
      <w:r>
        <w:rPr>
          <w:rFonts w:ascii="Arial" w:hAnsi="Arial" w:eastAsia="Arial"/>
          <w:b/>
          <w:color w:val="19352D"/>
          <w:sz w:val="56"/>
        </w:rPr>
        <w:t>Tu masz prawo czuć się bezpiecznie</w:t>
      </w:r>
    </w:p>
    <w:p>
      <w:pPr>
        <w:spacing w:after="600"/>
        <w:jc w:val="center"/>
      </w:pPr>
      <w:r>
        <w:rPr>
          <w:rFonts w:ascii="Arial" w:hAnsi="Arial" w:eastAsia="Arial"/>
          <w:b w:val="0"/>
          <w:color w:val="315D4C"/>
          <w:sz w:val="30"/>
        </w:rPr>
        <w:t>Krótka informacja dla osób poniżej 18 lat</w:t>
      </w:r>
    </w:p>
    <w:p>
      <w:pPr>
        <w:spacing w:before="80" w:after="200"/>
        <w:jc w:val="center"/>
        <w:shd w:fill="FCEAE4"/>
        <w:pBdr>
          <w:top w:val="single" w:sz="10" w:space="8" w:color="8F402C"/>
          <w:left w:val="single" w:sz="10" w:space="8" w:color="8F402C"/>
          <w:bottom w:val="single" w:sz="10" w:space="8" w:color="8F402C"/>
          <w:right w:val="single" w:sz="10" w:space="8" w:color="8F402C"/>
        </w:pBdr>
      </w:pPr>
      <w:r>
        <w:rPr>
          <w:rFonts w:ascii="Arial" w:hAnsi="Arial" w:eastAsia="Arial"/>
          <w:b/>
          <w:color w:val="8F402C"/>
          <w:sz w:val="26"/>
        </w:rPr>
        <w:t>JEŚLI GROZI CI NIEBEZPIECZEŃSTWO, DZWOŃ 112</w:t>
      </w:r>
    </w:p>
    <w:p/>
    <w:p>
      <w:pPr>
        <w:jc w:val="center"/>
      </w:pPr>
      <w:r>
        <w:rPr>
          <w:rFonts w:ascii="Arial" w:hAnsi="Arial" w:eastAsia="Arial"/>
          <w:color w:val="65736C"/>
          <w:sz w:val="22"/>
        </w:rPr>
        <w:t>Możesz też poprosić o pomoc pracownika albo zadzwonić pod 116 111.</w:t>
      </w:r>
    </w:p>
    <w:p>
      <w:r>
        <w:br w:type="page"/>
      </w:r>
    </w:p>
    <w:p>
      <w:pPr>
        <w:pStyle w:val="Heading1"/>
      </w:pPr>
      <w:r>
        <w:t>Masz tutaj prawa</w:t>
      </w:r>
    </w:p>
    <w:p>
      <w:pPr>
        <w:numPr>
          <w:ilvl w:val="0"/>
          <w:numId w:val="10"/>
        </w:numPr>
      </w:pPr>
      <w:r>
        <w:rPr>
          <w:rFonts w:ascii="Arial" w:hAnsi="Arial" w:eastAsia="Arial"/>
          <w:color w:val="111111"/>
          <w:sz w:val="27"/>
        </w:rPr>
        <w:t>Masz prawo do szacunku, spokoju i prywatności.</w:t>
      </w:r>
    </w:p>
    <w:p>
      <w:pPr>
        <w:numPr>
          <w:ilvl w:val="0"/>
          <w:numId w:val="10"/>
        </w:numPr>
      </w:pPr>
      <w:r>
        <w:rPr>
          <w:rFonts w:ascii="Arial" w:hAnsi="Arial" w:eastAsia="Arial"/>
          <w:color w:val="111111"/>
          <w:sz w:val="27"/>
        </w:rPr>
        <w:t>Nikt nie może cię bić, straszyć, poniżać ani dotykać w sposób, którego nie chcesz.</w:t>
      </w:r>
    </w:p>
    <w:p>
      <w:pPr>
        <w:numPr>
          <w:ilvl w:val="0"/>
          <w:numId w:val="10"/>
        </w:numPr>
      </w:pPr>
      <w:r>
        <w:rPr>
          <w:rFonts w:ascii="Arial" w:hAnsi="Arial" w:eastAsia="Arial"/>
          <w:color w:val="111111"/>
          <w:sz w:val="27"/>
        </w:rPr>
        <w:t>Nikt nie może prosić cię o seksualne zdjęcia, wiadomości ani zachowanie krzywdzącej tajemnicy.</w:t>
      </w:r>
    </w:p>
    <w:p>
      <w:pPr>
        <w:numPr>
          <w:ilvl w:val="0"/>
          <w:numId w:val="10"/>
        </w:numPr>
      </w:pPr>
      <w:r>
        <w:rPr>
          <w:rFonts w:ascii="Arial" w:hAnsi="Arial" w:eastAsia="Arial"/>
          <w:color w:val="111111"/>
          <w:sz w:val="27"/>
        </w:rPr>
        <w:t>Możesz powiedzieć „nie”, odejść w widoczne miejsce i poprosić o pomoc.</w:t>
      </w:r>
    </w:p>
    <w:p>
      <w:pPr>
        <w:numPr>
          <w:ilvl w:val="0"/>
          <w:numId w:val="10"/>
        </w:numPr>
      </w:pPr>
      <w:r>
        <w:rPr>
          <w:rFonts w:ascii="Arial" w:hAnsi="Arial" w:eastAsia="Arial"/>
          <w:color w:val="111111"/>
          <w:sz w:val="27"/>
        </w:rPr>
        <w:t>Jeśli potrzebujesz więcej czasu, prostszych słów, pisania albo innego sposobu rozmowy — powiedz nam.</w:t>
      </w:r>
    </w:p>
    <w:p>
      <w:pPr>
        <w:pStyle w:val="Heading1"/>
      </w:pPr>
      <w:r>
        <w:t>Dlaczego możemy zadać pytanie?</w:t>
      </w:r>
    </w:p>
    <w:p>
      <w:r>
        <w:rPr>
          <w:rFonts w:ascii="Arial" w:hAnsi="Arial" w:eastAsia="Arial"/>
          <w:color w:val="111111"/>
          <w:sz w:val="27"/>
        </w:rPr>
        <w:t>Przy pobycie z osobą poniżej 18 lat pracownik może zapytać dorosłego, kim jest dla dziecka. Czasem zapyta też ciebie. Robimy to przy każdym takim pobycie, żeby dzieci były bezpieczne.</w:t>
      </w:r>
    </w:p>
    <w:p>
      <w:pPr>
        <w:spacing w:before="80" w:after="160"/>
        <w:ind w:left="115" w:right="115"/>
        <w:shd w:fill="E5EFE8"/>
        <w:pBdr>
          <w:top w:val="single" w:sz="8" w:space="8" w:color="315D4C"/>
          <w:left w:val="single" w:sz="8" w:space="8" w:color="315D4C"/>
          <w:bottom w:val="single" w:sz="8" w:space="8" w:color="315D4C"/>
          <w:right w:val="single" w:sz="8" w:space="8" w:color="315D4C"/>
        </w:pBdr>
      </w:pPr>
      <w:r>
        <w:rPr>
          <w:rFonts w:ascii="Arial" w:hAnsi="Arial" w:eastAsia="Arial"/>
          <w:b/>
          <w:color w:val="315D4C"/>
          <w:sz w:val="26"/>
        </w:rPr>
        <w:t>To nie jest twoja wina</w:t>
        <w:br/>
      </w:r>
      <w:r>
        <w:rPr>
          <w:rFonts w:ascii="Arial" w:hAnsi="Arial" w:eastAsia="Arial"/>
          <w:color w:val="111111"/>
          <w:sz w:val="25"/>
        </w:rPr>
        <w:t>Jeśli dorosły się złości albo sytuacja jest niejasna, nie odpowiadasz za jego reakcję. Możesz powiedzieć tylko tyle, ile potrafisz.</w:t>
      </w:r>
    </w:p>
    <w:p>
      <w:pPr>
        <w:pStyle w:val="Heading1"/>
      </w:pPr>
      <w:r>
        <w:t>Jeśli coś cię niepokoi</w:t>
      </w:r>
    </w:p>
    <w:p>
      <w:pPr>
        <w:numPr>
          <w:ilvl w:val="0"/>
          <w:numId w:val="12"/>
        </w:numPr>
      </w:pPr>
      <w:r>
        <w:rPr>
          <w:rFonts w:ascii="Arial" w:hAnsi="Arial" w:eastAsia="Arial"/>
          <w:color w:val="111111"/>
          <w:sz w:val="27"/>
        </w:rPr>
        <w:t>Przejdź do widocznego miejsca albo podejdź do pracownika.</w:t>
      </w:r>
    </w:p>
    <w:p>
      <w:pPr>
        <w:numPr>
          <w:ilvl w:val="0"/>
          <w:numId w:val="12"/>
        </w:numPr>
      </w:pPr>
      <w:r>
        <w:rPr>
          <w:rFonts w:ascii="Arial" w:hAnsi="Arial" w:eastAsia="Arial"/>
          <w:color w:val="111111"/>
          <w:sz w:val="27"/>
        </w:rPr>
        <w:t>Powiedz: „Nie czuję się bezpiecznie” albo „Potrzebuję pomocy”. Możesz też napisać lub pokazać tę stronę.</w:t>
      </w:r>
    </w:p>
    <w:p>
      <w:pPr>
        <w:numPr>
          <w:ilvl w:val="0"/>
          <w:numId w:val="12"/>
        </w:numPr>
      </w:pPr>
      <w:r>
        <w:rPr>
          <w:rFonts w:ascii="Arial" w:hAnsi="Arial" w:eastAsia="Arial"/>
          <w:color w:val="111111"/>
          <w:sz w:val="27"/>
        </w:rPr>
        <w:t>Jeśli możesz, powiedz, czego potrzebujesz teraz. Nie musisz opowiadać wszystkiego kilka razy.</w:t>
      </w:r>
    </w:p>
    <w:p>
      <w:pPr>
        <w:numPr>
          <w:ilvl w:val="0"/>
          <w:numId w:val="12"/>
        </w:numPr>
      </w:pPr>
      <w:r>
        <w:rPr>
          <w:rFonts w:ascii="Arial" w:hAnsi="Arial" w:eastAsia="Arial"/>
          <w:color w:val="111111"/>
          <w:sz w:val="27"/>
        </w:rPr>
        <w:t>W nagłym niebezpieczeństwie dzwoń 112. Możesz też zadzwonić do zaufanej osoby.</w:t>
      </w:r>
    </w:p>
    <w:p>
      <w:pPr>
        <w:spacing w:before="80" w:after="160"/>
        <w:ind w:left="115" w:right="115"/>
        <w:shd w:fill="F7EDCF"/>
        <w:pBdr>
          <w:top w:val="single" w:sz="8" w:space="8" w:color="8A651B"/>
          <w:left w:val="single" w:sz="8" w:space="8" w:color="8A651B"/>
          <w:bottom w:val="single" w:sz="8" w:space="8" w:color="8A651B"/>
          <w:right w:val="single" w:sz="8" w:space="8" w:color="8A651B"/>
        </w:pBdr>
      </w:pPr>
      <w:r>
        <w:rPr>
          <w:rFonts w:ascii="Arial" w:hAnsi="Arial" w:eastAsia="Arial"/>
          <w:b/>
          <w:color w:val="8A651B"/>
          <w:sz w:val="26"/>
        </w:rPr>
        <w:t>Ważne</w:t>
        <w:br/>
      </w:r>
      <w:r>
        <w:rPr>
          <w:rFonts w:ascii="Arial" w:hAnsi="Arial" w:eastAsia="Arial"/>
          <w:color w:val="111111"/>
          <w:sz w:val="25"/>
        </w:rPr>
        <w:t>Pracownik cię wysłucha. Nie może obiecać, że zachowa wszystko w tajemnicy, bo czasem musi wezwać osoby, które mogą cię ochronić. Informację powinien przekazać tylko tym osobom.</w:t>
      </w:r>
    </w:p>
    <w:p>
      <w:pPr>
        <w:pStyle w:val="Heading1"/>
      </w:pPr>
      <w:r>
        <w:t>Gdzie dostać pomoc</w:t>
      </w:r>
    </w:p>
    <w:p>
      <w:pPr>
        <w:spacing w:after="240"/>
        <w:jc w:val="center"/>
      </w:pPr>
      <w:r>
        <w:rPr>
          <w:rFonts w:ascii="Arial" w:hAnsi="Arial" w:eastAsia="Arial"/>
          <w:b/>
          <w:color w:val="8F402C"/>
          <w:sz w:val="68"/>
        </w:rPr>
        <w:t>112</w:t>
      </w:r>
    </w:p>
    <w:p>
      <w:pPr>
        <w:jc w:val="center"/>
      </w:pPr>
      <w:r>
        <w:rPr>
          <w:rFonts w:ascii="Arial" w:hAnsi="Arial" w:eastAsia="Arial"/>
          <w:b/>
          <w:color w:val="111111"/>
          <w:sz w:val="30"/>
        </w:rPr>
        <w:t>Numer alarmowy — gdy ktoś jest teraz w niebezpieczeństwie.</w:t>
      </w:r>
    </w:p>
    <w:p>
      <w:pPr>
        <w:spacing w:before="80" w:after="160"/>
        <w:jc w:val="center"/>
        <w:shd w:fill="E5EFE8"/>
        <w:pBdr>
          <w:top w:val="single" w:sz="8" w:space="8" w:color="BFD2C9"/>
          <w:left w:val="single" w:sz="8" w:space="8" w:color="BFD2C9"/>
          <w:bottom w:val="single" w:sz="8" w:space="8" w:color="BFD2C9"/>
          <w:right w:val="single" w:sz="8" w:space="8" w:color="BFD2C9"/>
        </w:pBdr>
      </w:pPr>
      <w:r>
        <w:rPr>
          <w:rFonts w:ascii="Arial" w:hAnsi="Arial" w:eastAsia="Arial"/>
          <w:b/>
          <w:color w:val="315D4C"/>
          <w:sz w:val="40"/>
        </w:rPr>
        <w:t>116 111</w:t>
      </w:r>
      <w:r>
        <w:br/>
      </w:r>
      <w:r>
        <w:rPr>
          <w:rFonts w:ascii="Arial" w:hAnsi="Arial" w:eastAsia="Arial"/>
          <w:color w:val="111111"/>
          <w:sz w:val="26"/>
        </w:rPr>
        <w:t>Telefon zaufania dla dzieci i młodzieży — bezpłatnie, całą dobę.</w:t>
      </w:r>
    </w:p>
    <w:p>
      <w:pPr>
        <w:spacing w:before="80" w:after="160"/>
        <w:jc w:val="center"/>
        <w:shd w:fill="DCEBEC"/>
        <w:pBdr>
          <w:top w:val="single" w:sz="8" w:space="8" w:color="BFD2C9"/>
          <w:left w:val="single" w:sz="8" w:space="8" w:color="BFD2C9"/>
          <w:bottom w:val="single" w:sz="8" w:space="8" w:color="BFD2C9"/>
          <w:right w:val="single" w:sz="8" w:space="8" w:color="BFD2C9"/>
        </w:pBdr>
      </w:pPr>
      <w:r>
        <w:rPr>
          <w:rFonts w:ascii="Arial" w:hAnsi="Arial" w:eastAsia="Arial"/>
          <w:b/>
          <w:color w:val="315D4C"/>
          <w:sz w:val="40"/>
        </w:rPr>
        <w:t>800 12 12 12</w:t>
      </w:r>
      <w:r>
        <w:br/>
      </w:r>
      <w:r>
        <w:rPr>
          <w:rFonts w:ascii="Arial" w:hAnsi="Arial" w:eastAsia="Arial"/>
          <w:color w:val="111111"/>
          <w:sz w:val="26"/>
        </w:rPr>
        <w:t>Dziecięcy Telefon Zaufania Rzecznika Praw Dziecka — bezpłatnie, całą dobę.</w:t>
      </w:r>
    </w:p>
    <w:p>
      <w:pPr>
        <w:spacing w:before="80" w:after="160"/>
        <w:jc w:val="center"/>
        <w:shd w:fill="E5EFE8"/>
        <w:pBdr>
          <w:top w:val="single" w:sz="8" w:space="8" w:color="BFD2C9"/>
          <w:left w:val="single" w:sz="8" w:space="8" w:color="BFD2C9"/>
          <w:bottom w:val="single" w:sz="8" w:space="8" w:color="BFD2C9"/>
          <w:right w:val="single" w:sz="8" w:space="8" w:color="BFD2C9"/>
        </w:pBdr>
      </w:pPr>
      <w:r>
        <w:rPr>
          <w:rFonts w:ascii="Arial" w:hAnsi="Arial" w:eastAsia="Arial"/>
          <w:b/>
          <w:color w:val="315D4C"/>
          <w:sz w:val="40"/>
        </w:rPr>
        <w:t>czat.brpd.gov.pl</w:t>
      </w:r>
      <w:r>
        <w:br/>
      </w:r>
      <w:r>
        <w:rPr>
          <w:rFonts w:ascii="Arial" w:hAnsi="Arial" w:eastAsia="Arial"/>
          <w:color w:val="111111"/>
          <w:sz w:val="26"/>
        </w:rPr>
        <w:t>Bezpłatny i anonimowy czat z konsultantem — całą dobę.</w:t>
      </w:r>
    </w:p>
    <w:p>
      <w:pPr>
        <w:spacing w:before="80" w:after="160"/>
        <w:jc w:val="center"/>
        <w:shd w:fill="DCEBEC"/>
        <w:pBdr>
          <w:top w:val="single" w:sz="8" w:space="8" w:color="BFD2C9"/>
          <w:left w:val="single" w:sz="8" w:space="8" w:color="BFD2C9"/>
          <w:bottom w:val="single" w:sz="8" w:space="8" w:color="BFD2C9"/>
          <w:right w:val="single" w:sz="8" w:space="8" w:color="BFD2C9"/>
        </w:pBdr>
      </w:pPr>
      <w:r>
        <w:rPr>
          <w:rFonts w:ascii="Arial" w:hAnsi="Arial" w:eastAsia="Arial"/>
          <w:b/>
          <w:color w:val="315D4C"/>
          <w:sz w:val="40"/>
        </w:rPr>
        <w:t>501 510 005</w:t>
      </w:r>
      <w:r>
        <w:br/>
      </w:r>
      <w:r>
        <w:rPr>
          <w:rFonts w:ascii="Arial" w:hAnsi="Arial" w:eastAsia="Arial"/>
          <w:color w:val="111111"/>
          <w:sz w:val="26"/>
        </w:rPr>
        <w:t>Kontakt Stawy u Sikory — noclegi.</w:t>
      </w:r>
    </w:p>
    <w:p>
      <w:pPr>
        <w:pStyle w:val="Heading1"/>
      </w:pPr>
      <w:r>
        <w:t>Możesz powiedzieć</w:t>
      </w:r>
    </w:p>
    <w:p>
      <w:pPr>
        <w:numPr>
          <w:ilvl w:val="0"/>
          <w:numId w:val="10"/>
        </w:numPr>
      </w:pPr>
      <w:r>
        <w:rPr>
          <w:rFonts w:ascii="Arial" w:hAnsi="Arial" w:eastAsia="Arial"/>
          <w:color w:val="111111"/>
          <w:sz w:val="27"/>
        </w:rPr>
        <w:t>„Nie chcę zostać sam/sama z tą osobą”.</w:t>
      </w:r>
    </w:p>
    <w:p>
      <w:pPr>
        <w:numPr>
          <w:ilvl w:val="0"/>
          <w:numId w:val="10"/>
        </w:numPr>
      </w:pPr>
      <w:r>
        <w:rPr>
          <w:rFonts w:ascii="Arial" w:hAnsi="Arial" w:eastAsia="Arial"/>
          <w:color w:val="111111"/>
          <w:sz w:val="27"/>
        </w:rPr>
        <w:t>„Proszę zadzwoń po pomoc”.</w:t>
      </w:r>
    </w:p>
    <w:p>
      <w:pPr>
        <w:numPr>
          <w:ilvl w:val="0"/>
          <w:numId w:val="10"/>
        </w:numPr>
      </w:pPr>
      <w:r>
        <w:rPr>
          <w:rFonts w:ascii="Arial" w:hAnsi="Arial" w:eastAsia="Arial"/>
          <w:color w:val="111111"/>
          <w:sz w:val="27"/>
        </w:rPr>
        <w:t>„Wolę napisać niż mówić”.</w:t>
      </w:r>
    </w:p>
    <w:p>
      <w:pPr>
        <w:numPr>
          <w:ilvl w:val="0"/>
          <w:numId w:val="10"/>
        </w:numPr>
      </w:pPr>
      <w:r>
        <w:rPr>
          <w:rFonts w:ascii="Arial" w:hAnsi="Arial" w:eastAsia="Arial"/>
          <w:color w:val="111111"/>
          <w:sz w:val="27"/>
        </w:rPr>
        <w:t>„Chcę porozmawiać bez tej osoby obok”.</w:t>
      </w:r>
    </w:p>
    <w:p>
      <w:pPr>
        <w:spacing w:before="160" w:after="160"/>
        <w:jc w:val="center"/>
      </w:pPr>
      <w:r>
        <w:rPr>
          <w:rFonts w:ascii="Arial" w:hAnsi="Arial" w:eastAsia="Arial"/>
          <w:b/>
          <w:color w:val="8F402C"/>
          <w:sz w:val="26"/>
        </w:rPr>
        <w:t>Pamiętaj: przemoc nigdy nie jest twoją winą. Proś o pomoc tyle razy, ile potrzebujesz.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5736C"/>
        <w:sz w:val="18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6" w:color="CDD8D3"/>
      </w:pBdr>
    </w:pPr>
    <w:r>
      <w:rPr>
        <w:rFonts w:ascii="Arial" w:hAnsi="Arial" w:eastAsia="Arial"/>
        <w:b/>
        <w:color w:val="65736C"/>
        <w:sz w:val="17"/>
      </w:rPr>
      <w:t>STAWY U SIKORY  |  TWOJE BEZPIECZEŃSTWO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11111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15D4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15D4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9352D"/>
      <w:sz w:val="2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Ochrona małoletnich — wersja dla dzieci — Stawy u Sikory — projekt 0.9</dc:title>
  <dc:subject>Skrócona wersja standardów dla dzieci i młodzieży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