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320"/>
        <w:jc w:val="center"/>
      </w:pPr>
      <w:r>
        <w:rPr>
          <w:rFonts w:ascii="Calibri" w:hAnsi="Calibri" w:eastAsia="Calibri"/>
          <w:b/>
          <w:color w:val="8A651B"/>
          <w:sz w:val="22"/>
        </w:rPr>
        <w:t>STANDARD OPERACYJNY • WERSJA 0.9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19352D"/>
          <w:sz w:val="60"/>
        </w:rPr>
        <w:t>Standardy ochrony małoletnich</w:t>
      </w:r>
    </w:p>
    <w:p>
      <w:pPr>
        <w:spacing w:after="600"/>
        <w:jc w:val="center"/>
      </w:pPr>
      <w:r>
        <w:rPr>
          <w:rFonts w:ascii="Calibri" w:hAnsi="Calibri" w:eastAsia="Calibri"/>
          <w:b/>
          <w:color w:val="315D4C"/>
          <w:sz w:val="30"/>
        </w:rPr>
        <w:t>Stawy u Sikory • obiekt noclegowy • Nowa Wieś 95, 66-350 Bledzew</w:t>
      </w:r>
    </w:p>
    <w:p>
      <w:pPr>
        <w:spacing w:before="80" w:after="200"/>
        <w:jc w:val="center"/>
        <w:shd w:fill="FCEAE4"/>
        <w:pBdr>
          <w:top w:val="single" w:sz="10" w:space="8" w:color="8F402C"/>
          <w:left w:val="single" w:sz="10" w:space="8" w:color="8F402C"/>
          <w:bottom w:val="single" w:sz="10" w:space="8" w:color="8F402C"/>
          <w:right w:val="single" w:sz="10" w:space="8" w:color="8F402C"/>
        </w:pBdr>
      </w:pPr>
      <w:r>
        <w:rPr>
          <w:rFonts w:ascii="Calibri" w:hAnsi="Calibri" w:eastAsia="Calibri"/>
          <w:b/>
          <w:color w:val="8F402C"/>
          <w:sz w:val="24"/>
        </w:rPr>
        <w:t>PROJEKT DO ZATWIERDZENIA — NIE OBOWIĄZUJE</w:t>
      </w:r>
    </w:p>
    <w:p/>
    <w:p>
      <w:pPr>
        <w:jc w:val="center"/>
      </w:pPr>
      <w:r>
        <w:rPr>
          <w:rFonts w:ascii="Calibri" w:hAnsi="Calibri" w:eastAsia="Calibri"/>
          <w:color w:val="65736C"/>
          <w:sz w:val="20"/>
        </w:rPr>
        <w:t>Opracowano: 26 lipca 2026 r. • przegląd źródeł: stan na 26 lipca 2026 r.</w:t>
      </w:r>
    </w:p>
    <w:p>
      <w:r>
        <w:br w:type="page"/>
      </w:r>
    </w:p>
    <w:p>
      <w:pPr>
        <w:pStyle w:val="Heading1"/>
      </w:pPr>
      <w:r>
        <w:t>Karta dokumentu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DA"/>
          <w:left w:val="single" w:sz="6" w:color="D7DEDA"/>
          <w:bottom w:val="single" w:sz="6" w:color="D7DEDA"/>
          <w:right w:val="single" w:sz="6" w:color="D7DEDA"/>
          <w:insideH w:val="single" w:sz="6" w:color="D7DEDA"/>
          <w:insideV w:val="single" w:sz="6" w:color="D7DEDA"/>
        </w:tblBorders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315D4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Pole</w:t>
            </w:r>
          </w:p>
        </w:tc>
        <w:tc>
          <w:tcPr>
            <w:tcW w:type="dxa" w:w="6660"/>
            <w:shd w:fill="315D4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Treść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Status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Projekt 0.9 do zatwierdzenia — nie jest jeszcze podstawą wydania kluczy ani aktywacji w Stawy OS.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Podmiot i obiekt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Podmiot prowadzący Stawy u Sikory, Nowa Wieś 95, 66-350 Bledzew. Formalną nazwę podmiotu należy potwierdzić w zarządzeniu zatwierdzającym.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Zakres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Usługi noclegowe i turystyczne Stawy u Sikory oraz osoby wykonujące związane z nimi czynności.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Koordynator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Do formalnego powołania funkcję organizacyjną pełni właściciel. Przed wejściem w życie trzeba imiennie powołać koordynatora i zastępcę.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Wersja / data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0.9 / 26.07.2026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Wejście w życie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Wyłącznie data wskazana w podpisanym zarządzeniu po szkoleniu personelu, publikacji obu wersji i uruchomieniu bezpiecznego rejestru.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Przegląd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Pierwszy przegląd po 6 miesiącach pilotażu; następnie co najmniej raz na 2 lata oraz po każdym poważnym zdarzeniu lub zmianie prawa.</w:t>
            </w:r>
          </w:p>
        </w:tc>
      </w:tr>
    </w:tbl>
    <w:p/>
    <w:p>
      <w:pPr>
        <w:spacing w:before="80" w:after="160"/>
        <w:ind w:left="115" w:right="115"/>
        <w:shd w:fill="F7EDCF"/>
        <w:pBdr>
          <w:top w:val="single" w:sz="8" w:space="8" w:color="8A651B"/>
          <w:left w:val="single" w:sz="8" w:space="8" w:color="8A651B"/>
          <w:bottom w:val="single" w:sz="8" w:space="8" w:color="8A651B"/>
          <w:right w:val="single" w:sz="8" w:space="8" w:color="8A651B"/>
        </w:pBdr>
      </w:pPr>
      <w:r>
        <w:rPr>
          <w:rFonts w:ascii="Calibri" w:hAnsi="Calibri" w:eastAsia="Calibri"/>
          <w:b/>
          <w:color w:val="8A651B"/>
          <w:sz w:val="22"/>
        </w:rPr>
        <w:t>CZTERY DECYZJE PRZED ZATWIERDZENIEM</w:t>
        <w:br/>
      </w:r>
      <w:r>
        <w:rPr>
          <w:rFonts w:ascii="Calibri" w:hAnsi="Calibri" w:eastAsia="Calibri"/>
          <w:color w:val="111111"/>
          <w:sz w:val="21"/>
        </w:rPr>
        <w:t>Właściciel musi: (1) potwierdzić formalną nazwę podmiotu, (2) powołać koordynatora i zastępcę, (3) zatwierdzić miejsce bezpiecznego rejestru oraz listę osób z dostępem, (4) zatwierdzić okresy retencji po konsultacji prawnej/RODO.</w:t>
      </w:r>
    </w:p>
    <w:p>
      <w:pPr>
        <w:pStyle w:val="Heading1"/>
      </w:pPr>
      <w:r>
        <w:t>Instrukcja alarmowa — pierwsze 10 minut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11111"/>
          <w:sz w:val="22"/>
        </w:rPr>
        <w:t>Jeżeli istnieje bezpośrednie zagrożenie życia lub zdrowia, najpierw dzwoń pod 112. Podaj lokalizację: Stawy u Sikory, Nowa Wieś 95, 66-350 Bledzew.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11111"/>
          <w:sz w:val="22"/>
        </w:rPr>
        <w:t>Zapewnij dziecku bezpieczne, widoczne miejsce i spokojną obecność dorosłego pracownika. Nie zostawiaj go sam na sam z osobą, której dotyczy podejrzenie.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11111"/>
          <w:sz w:val="22"/>
        </w:rPr>
        <w:t>Nie używaj siły i nie próbuj samodzielnie zatrzymywać kogokolwiek. Stosuj polecenia dyspozytora 112 lub Policji.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11111"/>
          <w:sz w:val="22"/>
        </w:rPr>
        <w:t>Nie przesłuchuj dziecka. Wysłuchaj, nie oceniaj, nie obiecuj tajemnicy; zapisz później jego spontaniczne słowa możliwie dokładnie.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11111"/>
          <w:sz w:val="22"/>
        </w:rPr>
        <w:t>Powiadom koordynatora. Jeżeli kontakt z nim opóźniałby ochronę dziecka, działaj bezpośrednio i poinformuj go po wezwaniu służb.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11111"/>
          <w:sz w:val="22"/>
        </w:rPr>
        <w:t>Zabezpiecz dostępne dowody bez ich przeglądania, kopiowania lub rozpowszechniania ponad konieczny zakres; zachowaj oryginały i ciągłość dostępu.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11111"/>
          <w:sz w:val="22"/>
        </w:rPr>
        <w:t>Utwórz kartę interwencji w bezpiecznym rejestrze. W Stawy OS zaznacz tylko „Wymaga reakcji” i później wpisz numer sprawy — bez danych dziecka i opisu zdarzenia.</w:t>
      </w:r>
    </w:p>
    <w:p>
      <w:pPr>
        <w:spacing w:before="80" w:after="160"/>
        <w:ind w:left="115" w:right="115"/>
        <w:shd w:fill="FCEAE4"/>
        <w:pBdr>
          <w:top w:val="single" w:sz="8" w:space="8" w:color="8F402C"/>
          <w:left w:val="single" w:sz="8" w:space="8" w:color="8F402C"/>
          <w:bottom w:val="single" w:sz="8" w:space="8" w:color="8F402C"/>
          <w:right w:val="single" w:sz="8" w:space="8" w:color="8F402C"/>
        </w:pBdr>
      </w:pPr>
      <w:r>
        <w:rPr>
          <w:rFonts w:ascii="Calibri" w:hAnsi="Calibri" w:eastAsia="Calibri"/>
          <w:b/>
          <w:color w:val="8F402C"/>
          <w:sz w:val="22"/>
        </w:rPr>
        <w:t>Najważniejsza zasada</w:t>
        <w:br/>
      </w:r>
      <w:r>
        <w:rPr>
          <w:rFonts w:ascii="Calibri" w:hAnsi="Calibri" w:eastAsia="Calibri"/>
          <w:color w:val="111111"/>
          <w:sz w:val="21"/>
        </w:rPr>
        <w:t>Bezpieczeństwo dziecka ma pierwszeństwo przed komfortem obsługi, wydaniem klucza, płatnością i reputacją obiektu.</w:t>
      </w:r>
    </w:p>
    <w:p>
      <w:r>
        <w:br w:type="page"/>
      </w:r>
    </w:p>
    <w:p>
      <w:pPr>
        <w:pStyle w:val="Heading1"/>
      </w:pPr>
      <w:r>
        <w:t>1. Cel, zakres i zasady nadrzędne</w:t>
      </w:r>
    </w:p>
    <w:p>
      <w:r>
        <w:t>Celem Standardów jest zapobieganie krzywdzeniu osób poniżej 18 lat, szybkie rozpoznawanie sygnałów zagrożenia oraz jednolite działanie personelu Stawy u Sikory. Standardy dotyczą pobytu, rezerwacji, wydania klucza lub kodu, kontaktu z personelem, usług dodatkowych i zdarzeń na terenie obiektu.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Dobro i bezpieczeństwo dziecka są pierwszym kryterium decyzji.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Każde dziecko jest traktowane z szacunkiem, bez dyskryminacji i z uwzględnieniem wieku, niepełnosprawności, neuroróżnorodności, języka i szczególnych potrzeb.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Procedury stosuje się proporcjonalnie, spokojnie i bez automatycznego oskarżania gościa.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Brak dokumentu dziecka sam w sobie nie dowodzi zagrożenia; wymaga spokojnego wyjaśnienia relacji innymi adekwatnymi metodami.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Personel nie prowadzi śledztwa. Jego zadaniem jest bezpieczeństwo, zapis faktów i przekazanie sprawy właściwym służbom.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Dane osobowe ogranicza się do minimum koniecznego do ochrony dziecka i wykonania obowiązków prawnych.</w:t>
      </w:r>
    </w:p>
    <w:p>
      <w:pPr>
        <w:pStyle w:val="Heading1"/>
      </w:pPr>
      <w:r>
        <w:t>2. Definicje robocze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DA"/>
          <w:left w:val="single" w:sz="6" w:color="D7DEDA"/>
          <w:bottom w:val="single" w:sz="6" w:color="D7DEDA"/>
          <w:right w:val="single" w:sz="6" w:color="D7DEDA"/>
          <w:insideH w:val="single" w:sz="6" w:color="D7DEDA"/>
          <w:insideV w:val="single" w:sz="6" w:color="D7DEDA"/>
        </w:tblBorders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315D4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Pole</w:t>
            </w:r>
          </w:p>
        </w:tc>
        <w:tc>
          <w:tcPr>
            <w:tcW w:type="dxa" w:w="6660"/>
            <w:shd w:fill="315D4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Treść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Dziecko / małoletni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Osoba, która nie ukończyła 18 lat.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Opiekun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Rodzic, opiekun prawny lub inna osoba, której powierzono pieczę nad dzieckiem.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Krzywdzenie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Przemoc fizyczna, psychiczna lub seksualna, zaniedbanie, wykorzystanie, handel ludźmi albo inne działanie lub zaniechanie zagrażające dobru dziecka.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Uzasadnione przypuszczenie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Zestaw obserwacji, informacji lub niespójności, który racjonalnie wymaga ochrony i wyjaśnienia; nie oznacza przesądzenia winy.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Interwencja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Działania służące natychmiastowemu bezpieczeństwu, eskalacji i zgłoszeniu właściwym instytucjom.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Stawy OS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System operacyjny zapisujący wyłącznie metadane wykonania procedury, bez danych identyfikujących dziecko i bez opisu incydentu.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Bezpieczny rejestr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Odrębny, ograniczony dostępem kanał dokumentowania interwencji, zatwierdzony przez właściciela po ocenie prawnej i prywatności.</w:t>
            </w:r>
          </w:p>
        </w:tc>
      </w:tr>
    </w:tbl>
    <w:p/>
    <w:p>
      <w:pPr>
        <w:pStyle w:val="Heading1"/>
      </w:pPr>
      <w:r>
        <w:t>3. Role i odpowiedzialność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DA"/>
          <w:left w:val="single" w:sz="6" w:color="D7DEDA"/>
          <w:bottom w:val="single" w:sz="6" w:color="D7DEDA"/>
          <w:right w:val="single" w:sz="6" w:color="D7DEDA"/>
          <w:insideH w:val="single" w:sz="6" w:color="D7DEDA"/>
          <w:insideV w:val="single" w:sz="6" w:color="D7DEDA"/>
        </w:tblBorders>
      </w:tblPr>
      <w:tblGrid>
        <w:gridCol w:w="1800"/>
        <w:gridCol w:w="4320"/>
        <w:gridCol w:w="3240"/>
      </w:tblGrid>
      <w:tr>
        <w:trPr>
          <w:tblHeader w:val="true"/>
          <w:cantSplit w:val="true"/>
        </w:trPr>
        <w:tc>
          <w:tcPr>
            <w:tcW w:type="dxa" w:w="1800"/>
            <w:shd w:fill="315D4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Rola</w:t>
            </w:r>
          </w:p>
        </w:tc>
        <w:tc>
          <w:tcPr>
            <w:tcW w:type="dxa" w:w="4320"/>
            <w:shd w:fill="315D4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Odpowiedzialność</w:t>
            </w:r>
          </w:p>
        </w:tc>
        <w:tc>
          <w:tcPr>
            <w:tcW w:type="dxa" w:w="3240"/>
            <w:shd w:fill="315D4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Nie może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111"/>
                <w:sz w:val="19"/>
              </w:rPr>
              <w:t>Właściciel podmiotu</w:t>
            </w:r>
          </w:p>
        </w:tc>
        <w:tc>
          <w:tcPr>
            <w:tcW w:type="dxa" w:w="4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zatwierdza standard, powołuje koordynatora i zastępcę, zatwierdza retencję, zasoby i przeglądy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uznać projektu 0.9 za obowiązujący bez uzupełnienia decyzji i przeszkolenia osób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111"/>
                <w:sz w:val="19"/>
              </w:rPr>
              <w:t>Koordynator</w:t>
            </w:r>
          </w:p>
        </w:tc>
        <w:tc>
          <w:tcPr>
            <w:tcW w:type="dxa" w:w="4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przyjmuje eskalacje, decyduje o zawiadomieniach, prowadzi rejestr, zabezpiecza dowody i organizuje wsparcie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prowadzić prywatnego śledztwa, konfrontować dziecka z osobą podejrzewaną lub obiecywać tajemnicy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111"/>
                <w:sz w:val="19"/>
              </w:rPr>
              <w:t>Osoba wydająca klucz/kod</w:t>
            </w:r>
          </w:p>
        </w:tc>
        <w:tc>
          <w:tcPr>
            <w:tcW w:type="dxa" w:w="4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wykonuje sześć kroków procedury, nie wydaje dostępu przy niewyjaśnionej sytuacji, eskaluje bez zwłoki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zapisywać danych dziecka w Stawy OS ani kopiować dokumentów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111"/>
                <w:sz w:val="19"/>
              </w:rPr>
              <w:t>Każdy członek personelu</w:t>
            </w:r>
          </w:p>
        </w:tc>
        <w:tc>
          <w:tcPr>
            <w:tcW w:type="dxa" w:w="4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reaguje na sygnały, zapewnia bezpieczeństwo i przekazuje fakty koordynatorowi albo służbom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ignorować zgłoszenia, prowadzić przesłuchania lub rozpowszechniać informacje</w:t>
            </w:r>
          </w:p>
        </w:tc>
      </w:tr>
    </w:tbl>
    <w:p/>
    <w:p>
      <w:pPr>
        <w:spacing w:before="80" w:after="160"/>
        <w:ind w:left="115" w:right="115"/>
        <w:shd w:fill="E5EFE8"/>
        <w:pBdr>
          <w:top w:val="single" w:sz="8" w:space="8" w:color="315D4C"/>
          <w:left w:val="single" w:sz="8" w:space="8" w:color="315D4C"/>
          <w:bottom w:val="single" w:sz="8" w:space="8" w:color="315D4C"/>
          <w:right w:val="single" w:sz="8" w:space="8" w:color="315D4C"/>
        </w:pBdr>
      </w:pPr>
      <w:r>
        <w:rPr>
          <w:rFonts w:ascii="Calibri" w:hAnsi="Calibri" w:eastAsia="Calibri"/>
          <w:b/>
          <w:color w:val="315D4C"/>
          <w:sz w:val="22"/>
        </w:rPr>
        <w:t>Ciągłość dyżuru</w:t>
        <w:br/>
      </w:r>
      <w:r>
        <w:rPr>
          <w:rFonts w:ascii="Calibri" w:hAnsi="Calibri" w:eastAsia="Calibri"/>
          <w:color w:val="111111"/>
          <w:sz w:val="21"/>
        </w:rPr>
        <w:t>Dla każdego planowanego przyjazdu z dzieckiem musi być wiadomo, kto wykonuje procedurę i kto jest osiągalnym zastępcą. Jeżeli klucz wydaje członek rodziny lub inna osoba doraźna, przed pierwszym dyżurem przechodzi szkolenie i składa oświadczenie.</w:t>
      </w:r>
    </w:p>
    <w:p>
      <w:pPr>
        <w:pStyle w:val="Heading1"/>
      </w:pPr>
      <w:r>
        <w:t>4. Bezpieczne relacje personelu z dziećmi</w:t>
      </w:r>
    </w:p>
    <w:p>
      <w:pPr>
        <w:pStyle w:val="Heading2"/>
      </w:pPr>
      <w:r>
        <w:t>4.1 Zachowania wymagane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Przedstaw się, wyjaśniaj krótko, co robisz i dlaczego, oraz używaj języka odpowiedniego do wieku dziecka.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Rozmawiaj w widocznym miejscu; gdy to możliwe, w obecności opiekuna, chyba że opiekun może stanowić zagrożenie.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Szanuj granice, prywatność, odmowę kontaktu fizycznego i potrzebę dodatkowego czasu lub alternatywnej komunikacji.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Kontakt fizyczny ogranicz do sytuacji koniecznych dla bezpieczeństwa lub pomocy i uprzedzaj o nim, jeśli sytuacja na to pozwala.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Wejście do domku/pokoju ogranicz do uzasadnionych obowiązków, po zapowiedzi i zgodnie z zasadami obiektu; wyjątkiem jest nagłe zagrożenie.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Informacje o dziecku przekazuj wyłącznie osobom, które muszą je znać dla ochrony lub wykonania obowiązku prawnego.</w:t>
      </w:r>
    </w:p>
    <w:p>
      <w:pPr>
        <w:pStyle w:val="Heading2"/>
      </w:pPr>
      <w:r>
        <w:t>4.2 Zachowania niedozwolone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Przemoc, groźby, krzyk, poniżanie, zawstydzanie, dyskryminacja, komentarze seksualne lub żarty przekraczające granice.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Dotykanie bez potrzeby, kontakt seksualny, proponowanie alkoholu, nikotyny, substancji odurzających albo niebezpiecznych aktywności.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Prywatne wiadomości, zapraszanie do domu, spotkania poza obowiązkami, wymiana prezentów lub pieniędzy tworząca zależność.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Fotografowanie, nagrywanie lub publikowanie wizerunku dziecka bez odrębnej legalnej podstawy i właściwej zgody.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Pozostawanie sam na sam w zamkniętym pomieszczeniu bez uzasadnienia; ukrywanie kontaktu przed innymi członkami personelu.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Proszenie dziecka o zachowanie tajemnicy dotyczącej zachowania personelu albo ignorowanie jego sprzeciwu i sygnałów dyskomfortu.</w:t>
      </w:r>
    </w:p>
    <w:p>
      <w:pPr>
        <w:spacing w:before="80" w:after="160"/>
        <w:ind w:left="115" w:right="115"/>
        <w:shd w:fill="F7EDCF"/>
        <w:pBdr>
          <w:top w:val="single" w:sz="8" w:space="8" w:color="8A651B"/>
          <w:left w:val="single" w:sz="8" w:space="8" w:color="8A651B"/>
          <w:bottom w:val="single" w:sz="8" w:space="8" w:color="8A651B"/>
          <w:right w:val="single" w:sz="8" w:space="8" w:color="8A651B"/>
        </w:pBdr>
      </w:pPr>
      <w:r>
        <w:rPr>
          <w:rFonts w:ascii="Calibri" w:hAnsi="Calibri" w:eastAsia="Calibri"/>
          <w:b/>
          <w:color w:val="8A651B"/>
          <w:sz w:val="22"/>
        </w:rPr>
        <w:t>Kontakt online</w:t>
        <w:br/>
      </w:r>
      <w:r>
        <w:rPr>
          <w:rFonts w:ascii="Calibri" w:hAnsi="Calibri" w:eastAsia="Calibri"/>
          <w:color w:val="111111"/>
          <w:sz w:val="21"/>
        </w:rPr>
        <w:t>Personel używa wyłącznie zatwierdzonych kanałów obiektu i kontaktuje się z pełnoletnim rezerwującym. Nie nawiązuje prywatnych relacji z dzieckiem w mediach społecznościowych.</w:t>
      </w:r>
    </w:p>
    <w:p>
      <w:pPr>
        <w:pStyle w:val="Heading1"/>
      </w:pPr>
      <w:r>
        <w:t>5. Identyfikacja dziecka i relacji z dorosłym</w:t>
      </w:r>
    </w:p>
    <w:p>
      <w:r>
        <w:t>Procedurę wykonuje się dla każdego pobytu, w którym zgłoszono dziecko. Informację o obowiązku wyjaśnienia relacji przekazuje się przed przyjazdem. Przy bezobsługowym przekazaniu kodu procedurę przeprowadza się w zaplanowanej rozmowie na żywo lub osobiście przed udostępnieniem wejścia.</w:t>
      </w:r>
    </w:p>
    <w:p>
      <w:pPr>
        <w:pStyle w:val="Heading2"/>
      </w:pPr>
      <w:r>
        <w:t>5.1 Zwykły przebieg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111"/>
          <w:sz w:val="22"/>
        </w:rPr>
        <w:t>Sprawdź w Stawy OS, że pobyt wymaga procedury, oraz potwierdź właściwy domek i termin — bez wyświetlania danych dziecka.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111"/>
          <w:sz w:val="22"/>
        </w:rPr>
        <w:t>Wyjaśnij dorosłemu: „Stosujemy tę samą krótką procedurę przy każdym pobycie z dzieckiem, aby dbać o bezpieczeństwo najmłodszych gości”.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111"/>
          <w:sz w:val="22"/>
        </w:rPr>
        <w:t>Zapytaj dorosłego o relację z dzieckiem i obserwuj, czy kontakt jest swobodny, opiekuńczy i spójny z odpowiedziami.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111"/>
          <w:sz w:val="22"/>
        </w:rPr>
        <w:t>Jeżeli dorosły nie jest rodzicem lub opiekunem prawnym, poproś o wykazanie upoważnienia albo umożliwienie kontaktu z opiekunem. Oceniaj całość sytuacji, nie pojedynczy brak dokumentu.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111"/>
          <w:sz w:val="22"/>
        </w:rPr>
        <w:t>Gdy pozostają wątpliwości, porozmawiaj z dzieckiem spokojnie, językiem odpowiednim do wieku, najlepiej w widocznym miejscu i bez pytań sugerujących odpowiedź.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111"/>
          <w:sz w:val="22"/>
        </w:rPr>
        <w:t>Jeżeli relacja została racjonalnie wyjaśniona i nie ma sygnałów zagrożenia, w Stawy OS wybierz „Wykonano bez uwag”. Dopiero wtedy można wydać klucz lub kod.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111"/>
          <w:sz w:val="22"/>
        </w:rPr>
        <w:t>Jeżeli relacji nie można wyjaśnić albo pojawia się sygnał zagrożenia, nie wydawaj klucza/kodu; wybierz „Wymaga reakcji” i przejdź do rozdziału 7.</w:t>
      </w:r>
    </w:p>
    <w:p>
      <w:pPr>
        <w:pStyle w:val="Heading2"/>
      </w:pPr>
      <w:r>
        <w:t>5.2 Dokumenty i minimalizacja danych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Pierwszym narzędziem są spokojna rozmowa i obserwacja; okazanie dokumentu jest środkiem pomocniczym stosowanym proporcjonalnie.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Jeżeli gość dobrowolnie okazuje istniejący dokument lub upoważnienie, personel sprawdza go wzrokowo tylko w zakresie potrzebnym do wyjaśnienia relacji.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Nie wykonuje się kopii, zdjęć ani skanów dokumentów dziecka lub dorosłego na potrzeby rutynowego wykonania standardu.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Nie zapisuje się numeru dokumentu, PESEL-u, adresu dziecka, wizerunku ani treści dokumentu w Stawy OS.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Odmowa okazania dokumentu nie jest samodzielną podstawą oskarżenia; może jednak — wraz z innymi niespójnościami — uzasadniać wstrzymanie dostępu i kontakt z koordynatorem lub Policją.</w:t>
      </w:r>
    </w:p>
    <w:p>
      <w:pPr>
        <w:spacing w:before="80" w:after="160"/>
        <w:ind w:left="115" w:right="115"/>
        <w:shd w:fill="FCEAE4"/>
        <w:pBdr>
          <w:top w:val="single" w:sz="8" w:space="8" w:color="8F402C"/>
          <w:left w:val="single" w:sz="8" w:space="8" w:color="8F402C"/>
          <w:bottom w:val="single" w:sz="8" w:space="8" w:color="8F402C"/>
          <w:right w:val="single" w:sz="8" w:space="8" w:color="8F402C"/>
        </w:pBdr>
      </w:pPr>
      <w:r>
        <w:rPr>
          <w:rFonts w:ascii="Calibri" w:hAnsi="Calibri" w:eastAsia="Calibri"/>
          <w:b/>
          <w:color w:val="8F402C"/>
          <w:sz w:val="22"/>
        </w:rPr>
        <w:t>Zakaz obchodzenia procedury</w:t>
        <w:br/>
      </w:r>
      <w:r>
        <w:rPr>
          <w:rFonts w:ascii="Calibri" w:hAnsi="Calibri" w:eastAsia="Calibri"/>
          <w:color w:val="111111"/>
          <w:sz w:val="21"/>
        </w:rPr>
        <w:t>Presja czasu, późny przyjazd, zdenerwowanie gościa, opłacona rezerwacja ani znajomość z właścicielem nie są podstawą pominięcia procedury.</w:t>
      </w:r>
    </w:p>
    <w:p>
      <w:pPr>
        <w:pStyle w:val="Heading1"/>
      </w:pPr>
      <w:r>
        <w:t>6. Sygnały wymagające uwagi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Dziecko sygnalizuje strach, prosi o pomoc, mówi o przemocy albo nie chce zostać z dorosłym.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Odpowiedzi dorosłego i dziecka są wyraźnie niespójne, wyuczone lub dorosły uniemożliwia dziecku wypowiedź.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Relacja nie wygląda na swobodną i opiekuńczą; pojawiają się groźby, kontrola, poniżanie, przemoc lub seksualizujące zachowania.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Widoczne obrażenia, silne zaniedbanie, brak podstawowej opieki, nieadekwatny ubiór lub zachowanie mogące wskazywać na odurzenie.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Nietypowa prośba o pełną anonimowość, częste zmiany dorosłych, brak logicznego celu podróży albo próba izolowania dziecka.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Materiały, przedmioty lub sytuacja w domku wskazują na możliwość seksualnego wykorzystania, handlu ludźmi lub innego przestępstwa.</w:t>
      </w:r>
    </w:p>
    <w:p>
      <w:pPr>
        <w:spacing w:before="80" w:after="160"/>
        <w:ind w:left="115" w:right="115"/>
        <w:shd w:fill="E5EFE8"/>
        <w:pBdr>
          <w:top w:val="single" w:sz="8" w:space="8" w:color="315D4C"/>
          <w:left w:val="single" w:sz="8" w:space="8" w:color="315D4C"/>
          <w:bottom w:val="single" w:sz="8" w:space="8" w:color="315D4C"/>
          <w:right w:val="single" w:sz="8" w:space="8" w:color="315D4C"/>
        </w:pBdr>
      </w:pPr>
      <w:r>
        <w:rPr>
          <w:rFonts w:ascii="Calibri" w:hAnsi="Calibri" w:eastAsia="Calibri"/>
          <w:b/>
          <w:color w:val="315D4C"/>
          <w:sz w:val="22"/>
        </w:rPr>
        <w:t>Sygnał to nie wyrok</w:t>
        <w:br/>
      </w:r>
      <w:r>
        <w:rPr>
          <w:rFonts w:ascii="Calibri" w:hAnsi="Calibri" w:eastAsia="Calibri"/>
          <w:color w:val="111111"/>
          <w:sz w:val="21"/>
        </w:rPr>
        <w:t>Pojedyncza cecha nie przesądza o krzywdzeniu. Personel zapisuje fakty, nie diagnozy, i ocenia pilność ochrony, nie winę.</w:t>
      </w:r>
    </w:p>
    <w:p>
      <w:pPr>
        <w:pStyle w:val="Heading1"/>
      </w:pPr>
      <w:r>
        <w:t>7. Procedura reakcji</w:t>
      </w:r>
    </w:p>
    <w:p>
      <w:pPr>
        <w:pStyle w:val="Heading2"/>
      </w:pPr>
      <w:r>
        <w:t>7.1 Bezpośrednie zagrożenie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111111"/>
          <w:sz w:val="22"/>
        </w:rPr>
        <w:t>Zadzwoń 112; w razie potrzeby udziel pierwszej pomocy w granicach swoich umiejętności.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111111"/>
          <w:sz w:val="22"/>
        </w:rPr>
        <w:t>Przenieś dziecko do bezpiecznego, widocznego miejsca. Nie pozostawiaj go z osobą stanowiącą możliwe zagrożenie.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111111"/>
          <w:sz w:val="22"/>
        </w:rPr>
        <w:t>Nie informuj osoby podejrzewanej o działaniach, jeżeli może to zwiększyć ryzyko, utrudnić interwencję lub zniszczyć dowody.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111111"/>
          <w:sz w:val="22"/>
        </w:rPr>
        <w:t>Wykonuj polecenia służb. Nie stosuj przymusu fizycznego poza konieczną obroną życia lub zdrowia zgodnie z prawem.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111111"/>
          <w:sz w:val="22"/>
        </w:rPr>
        <w:t>Powiadom koordynatora i zabezpiecz informacje, nagrania lub przedmioty wyłącznie w zakresie wskazanym przez służby.</w:t>
      </w:r>
    </w:p>
    <w:p>
      <w:pPr>
        <w:pStyle w:val="Heading2"/>
      </w:pPr>
      <w:r>
        <w:t>7.2 Podejrzenie bez bezpośredniego zagrożenia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11111"/>
          <w:sz w:val="22"/>
        </w:rPr>
        <w:t>Wstrzymaj wydanie klucza lub kodu i zapewnij spokojne warunki.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11111"/>
          <w:sz w:val="22"/>
        </w:rPr>
        <w:t>Powiadom koordynatora; jeżeli jest nieosiągalny, skontaktuj się z zastępcą, dyżurnym KPP Międzyrzecz lub 112.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11111"/>
          <w:sz w:val="22"/>
        </w:rPr>
        <w:t>Koordynator ocenia właściwy kanał: Policja/prokuratura przy podejrzeniu przestępstwa, sąd opiekuńczy przy zdarzeniu uzasadniającym postępowanie z urzędu, GOPS przy potrzebie wsparcia rodziny. Pilność ochrony ma pierwszeństwo przed konsultacją.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11111"/>
          <w:sz w:val="22"/>
        </w:rPr>
        <w:t>Nie prowadź konfrontacji i nie próbuj samodzielnie potwierdzać wersji zdarzeń. Przekaż służbom obserwacje i spontaniczne wypowiedzi.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11111"/>
          <w:sz w:val="22"/>
        </w:rPr>
        <w:t>Zapisz interwencję w bezpiecznym rejestrze i numer referencyjny w Stawy OS. Dalsze działania prowadź według instrukcji właściwego organu.</w:t>
      </w:r>
    </w:p>
    <w:p>
      <w:pPr>
        <w:pStyle w:val="Heading2"/>
      </w:pPr>
      <w:r>
        <w:t>7.3 Rozmowa z dzieckiem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Zachowaj spokój; powiedz: „Dziękuję, że mi o tym mówisz. To nie jest twoja wina. Postaram się zapewnić ci bezpieczeństwo”.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Nie obiecuj pełnej tajemnicy: wyjaśnij, że informację przekażesz tylko osobom potrzebnym do pomocy.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Używaj pytań otwartych i koniecznych: „Co się stało?”, „Czego teraz potrzebujesz?”, „Czy teraz jesteś bezpieczny/bezpieczna?”.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Nie pytaj „dlaczego”, nie sugeruj sprawcy ani szczegółów, nie proś o wielokrotne powtarzanie i nie oceniaj wiarygodności.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Jeżeli dziecko komunikuje się inaczej, zapewnij czas, prosty język, możliwość pisania, wskazywania albo wsparcia dostępnej osoby — bez udziału osoby podejrzewanej.</w:t>
      </w:r>
    </w:p>
    <w:p>
      <w:pPr>
        <w:pStyle w:val="Heading1"/>
      </w:pPr>
      <w:r>
        <w:t>8. Dokumentowanie i ochrona danych</w:t>
      </w:r>
    </w:p>
    <w:p>
      <w:pPr>
        <w:spacing w:before="80" w:after="160"/>
        <w:ind w:left="115" w:right="115"/>
        <w:shd w:fill="E5EFE8"/>
        <w:pBdr>
          <w:top w:val="single" w:sz="8" w:space="8" w:color="315D4C"/>
          <w:left w:val="single" w:sz="8" w:space="8" w:color="315D4C"/>
          <w:bottom w:val="single" w:sz="8" w:space="8" w:color="315D4C"/>
          <w:right w:val="single" w:sz="8" w:space="8" w:color="315D4C"/>
        </w:pBdr>
      </w:pPr>
      <w:r>
        <w:rPr>
          <w:rFonts w:ascii="Calibri" w:hAnsi="Calibri" w:eastAsia="Calibri"/>
          <w:b/>
          <w:color w:val="315D4C"/>
          <w:sz w:val="22"/>
        </w:rPr>
        <w:t>Dwa oddzielne miejsca zapisu</w:t>
        <w:br/>
      </w:r>
      <w:r>
        <w:rPr>
          <w:rFonts w:ascii="Calibri" w:hAnsi="Calibri" w:eastAsia="Calibri"/>
          <w:color w:val="111111"/>
          <w:sz w:val="21"/>
        </w:rPr>
        <w:t>Stawy OS przechowuje wyłącznie wykonanie procedury i numer sprawy. Dane identyfikujące dziecko, opis, dowody i korespondencja ze służbami trafiają tylko do bezpiecznego rejestru interwencji.</w:t>
      </w:r>
    </w:p>
    <w:p>
      <w:pPr>
        <w:pStyle w:val="Heading2"/>
      </w:pPr>
      <w:r>
        <w:t>8.1 Rutynowe wykonanie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Stawy OS: identyfikator pobytu, wersja SOP, czas, operator i wynik „Bez uwag” albo „Wymaga reakcji”.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Brak pól na imię, nazwisko, datę urodzenia, PESEL, numer dokumentu, zdjęcie, skan lub opis zdarzenia.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Rutynowy zapis bez uwag przechowuje się 24 miesiące od zakończenia pobytu, a następnie usuwa lub anonimizuje w kontrolowanym procesie.</w:t>
      </w:r>
    </w:p>
    <w:p>
      <w:pPr>
        <w:pStyle w:val="Heading2"/>
      </w:pPr>
      <w:r>
        <w:t>8.2 Interwencja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Karta zawiera tylko konieczne fakty: data, miejsce, osoba zgłaszająca, źródło informacji, zaobserwowane fakty, spontaniczne słowa dziecka, działania, kontakty ze służbami i wynik przekazania.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Dane osób oraz materiały dowodowe zapisuje się tylko wtedy, gdy są potrzebne do ochrony, zgłoszenia lub współpracy z organem.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Dostęp mają wyłącznie formalnie upoważnione osoby. Każdy dostęp i przekazanie powinny być możliwe do odtworzenia.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Pliki szyfruje się w spoczynku i podczas przesyłania; zabronione są prywatne telefony, komunikatory, zwykły e-mail i niezabezpieczone nośniki.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Domyślny okres retencji projektu: 6 lat od końca roku zamknięcia sprawy; bieg wstrzymuje toczące się postępowanie, obowiązek prawny lub legal hold. Właściciel zatwierdza tę decyzję po konsultacji prawnej/RODO.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Co najmniej raz w roku koordynator przegląda podstawę, zakres i dalszą potrzebę przechowywania. Usunięcie jest dokumentowane.</w:t>
      </w:r>
    </w:p>
    <w:p>
      <w:pPr>
        <w:pStyle w:val="Heading2"/>
      </w:pPr>
      <w:r>
        <w:t>8.3 Nagrania i dowody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Nie zmieniaj, nie opisuj na oryginale i nie rozpowszechniaj materiału. Zapisz, kto i kiedy go zabezpieczył.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Jeżeli monitoring może obejmować zdarzenie, koordynator zabezpiecza właściwy zakres czasowy przed automatycznym nadpisaniem.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Materiał przekazuje się właściwemu organowi bez zbędnych kopii. Publiczne udostępnienie lub wysłanie w grupie personelu jest zabronione.</w:t>
      </w:r>
    </w:p>
    <w:p>
      <w:pPr>
        <w:pStyle w:val="Heading1"/>
      </w:pPr>
      <w:r>
        <w:t>9. Personel, weryfikacja i przygotowanie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Każda osoba przed samodzielnym kontaktem operacyjnym z gośćmi zapoznaje się ze standardem, przechodzi instruktaż scenariuszowy i podpisuje oświadczenie.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Szkolenie obejmuje: sześć kroków przed kluczem, sygnały ryzyka, rozmowę z dzieckiem, 112, dokumentowanie, prywatność i ćwiczenie na telefonie używanym przy przyjeździe.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Osoby faktycznie wykonujące działalność objętą art. 21 ustawy — np. opiekę, organizowanie wypoczynku, sportu lub zajęć dla dzieci — są weryfikowane w wymaganych rejestrach i dokumentach przed dopuszczeniem. Sama zwykła obsługa noclegu wymaga odrębnej klasyfikacji obowiązków.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Po zmianie standardu każda osoba otrzymuje krótkie szkolenie aktualizujące. Raz w roku wykonuje się próbę scenariusza, a po incydencie — omówienie procesu bez ujawniania danych ponad konieczny zakres.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Osoba nieprzygotowana nie wydaje kluczy/kodów dla pobytów z dziećmi i przekazuje zadanie osobie przeszkolonej.</w:t>
      </w:r>
    </w:p>
    <w:p>
      <w:pPr>
        <w:pStyle w:val="Heading1"/>
      </w:pPr>
      <w:r>
        <w:t>10. Publikacja, dostępność i informowanie gości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Pełną i skróconą wersję publikuje się na stronie internetowej oraz wywiesza w widocznym miejscu obiektu.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Wersję dla dzieci umieszcza się na wysokości i w miejscu dla nich dostępnym, z dużym tekstem, wysokim kontrastem i numerami pomocy.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Przed przyjazdem gość otrzymuje krótką informację, że procedura jest wykonywana przy każdym pobycie z dzieckiem.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Na życzenie zapewnia się alternatywny sposób przekazania informacji: odczytanie, większy druk, prosty język, możliwość pisania lub komunikację wspomagającą.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Wersje językowe mogą być przygotowane po polsku, angielsku i niemiecku, ale wersją zatwierdzoną pozostaje dokument wskazany w zarządzeniu.</w:t>
      </w:r>
    </w:p>
    <w:p>
      <w:pPr>
        <w:pStyle w:val="Heading1"/>
      </w:pPr>
      <w:r>
        <w:t>11. Przegląd, zgłoszenia i doskonalenie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Każdy może zgłosić naruszenie koordynatorowi, właścicielowi lub bezpośrednio właściwym służbom; zgłoszenie nie może powodować odwetu.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Koordynator prowadzi rejestr naruszeń i propozycji zmian bez ujawniania danych w analizach zbiorczych.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Pierwsza ocena następuje po 6 miesiącach pilotażu; kolejna co najmniej raz na 2 lata oraz niezwłocznie po poważnym incydencie, zmianie procesu, danych lub prawa.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Ocena obejmuje skuteczność procedury, czasy reakcji, wykonanie przed kluczem, dostępność dla dzieci, zakres danych, retencję, szkolenia i kontakt do służb.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Wnioski dokumentuje się pisemnie. Nowa wersja otrzymuje numer, datę zatwierdzenia, datę obowiązywania, termin przeglądu i historię zmian.</w:t>
      </w:r>
    </w:p>
    <w:p>
      <w:pPr>
        <w:pStyle w:val="Heading1"/>
      </w:pPr>
      <w:r>
        <w:t>Załącznik A. Sześć kroków dla osoby wydającej klucz lub kod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color w:val="111111"/>
          <w:sz w:val="22"/>
        </w:rPr>
        <w:t>OTWÓRZ właściwy pobyt w Stawy OS i potwierdź, że procedura ma status „Do wykonania”.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color w:val="111111"/>
          <w:sz w:val="22"/>
        </w:rPr>
        <w:t>WYJAŚNIJ dorosłemu, że standard dotyczy każdego pobytu z dzieckiem i służy bezpieczeństwu.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color w:val="111111"/>
          <w:sz w:val="22"/>
        </w:rPr>
        <w:t>USTAL relację dorosły–dziecko przez spokojne pytanie i obserwację; w razie potrzeby poproś o wykazanie upoważnienia lub kontakt z opiekunem.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color w:val="111111"/>
          <w:sz w:val="22"/>
        </w:rPr>
        <w:t>SPRAWDŹ SPÓJNOŚĆ. Gdy trzeba, porozmawiaj krótko z dzieckiem odpowiednio do jego wieku. Nie kopiuj dokumentów i nie zapisuj danych dziecka w aplikacji.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color w:val="111111"/>
          <w:sz w:val="22"/>
        </w:rPr>
        <w:t>ZAPISZ „Wykonano bez uwag” tylko wtedy, gdy relacja została racjonalnie wyjaśniona i nie ma sygnałów zagrożenia.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color w:val="111111"/>
          <w:sz w:val="22"/>
        </w:rPr>
        <w:t>ZATRZYMAJ WYDANIE KLUCZA/KODU i wybierz „Wymaga reakcji”, jeżeli sytuacja pozostaje niewyjaśniona lub niepokojąca. W zagrożeniu dzwoń 112; inaczej natychmiast eskaluj do koordynatora.</w:t>
      </w:r>
    </w:p>
    <w:p>
      <w:pPr>
        <w:spacing w:before="80" w:after="160"/>
        <w:ind w:left="115" w:right="115"/>
        <w:shd w:fill="FCEAE4"/>
        <w:pBdr>
          <w:top w:val="single" w:sz="8" w:space="8" w:color="8F402C"/>
          <w:left w:val="single" w:sz="8" w:space="8" w:color="8F402C"/>
          <w:bottom w:val="single" w:sz="8" w:space="8" w:color="8F402C"/>
          <w:right w:val="single" w:sz="8" w:space="8" w:color="8F402C"/>
        </w:pBdr>
      </w:pPr>
      <w:r>
        <w:rPr>
          <w:rFonts w:ascii="Calibri" w:hAnsi="Calibri" w:eastAsia="Calibri"/>
          <w:b/>
          <w:color w:val="8F402C"/>
          <w:sz w:val="22"/>
        </w:rPr>
        <w:t>W aplikacji</w:t>
        <w:br/>
      </w:r>
      <w:r>
        <w:rPr>
          <w:rFonts w:ascii="Calibri" w:hAnsi="Calibri" w:eastAsia="Calibri"/>
          <w:color w:val="111111"/>
          <w:sz w:val="21"/>
        </w:rPr>
        <w:t>Nie wpisuj imienia dziecka, wieku, dokumentu, opisu zdarzenia ani podejrzeń. Po interwencji koordynator zamyka reakcję wyłącznie numerem wpisu w bezpiecznym rejestrze.</w:t>
      </w:r>
    </w:p>
    <w:p>
      <w:pPr>
        <w:pStyle w:val="Heading1"/>
      </w:pPr>
      <w:r>
        <w:t>Załącznik B. Gotowe komunikaty</w:t>
      </w:r>
    </w:p>
    <w:p>
      <w:pPr>
        <w:spacing w:before="100" w:after="40"/>
      </w:pPr>
      <w:r>
        <w:rPr>
          <w:rFonts w:ascii="Calibri" w:hAnsi="Calibri" w:eastAsia="Calibri"/>
          <w:b/>
          <w:color w:val="315D4C"/>
          <w:sz w:val="22"/>
        </w:rPr>
        <w:t>Na początku</w:t>
      </w:r>
    </w:p>
    <w:p>
      <w:pPr>
        <w:spacing w:after="140"/>
        <w:ind w:left="288"/>
      </w:pPr>
      <w:r>
        <w:t>„W naszym obiekcie przy każdym pobycie z dzieckiem stosujemy krótką procedurę bezpieczeństwa. Zapytam o relację z dzieckiem; zwykle trwa to chwilę”.</w:t>
      </w:r>
    </w:p>
    <w:p>
      <w:pPr>
        <w:spacing w:before="100" w:after="40"/>
      </w:pPr>
      <w:r>
        <w:rPr>
          <w:rFonts w:ascii="Calibri" w:hAnsi="Calibri" w:eastAsia="Calibri"/>
          <w:b/>
          <w:color w:val="315D4C"/>
          <w:sz w:val="22"/>
        </w:rPr>
        <w:t>Gdy dorosły nie jest opiekunem</w:t>
      </w:r>
    </w:p>
    <w:p>
      <w:pPr>
        <w:spacing w:after="140"/>
        <w:ind w:left="288"/>
      </w:pPr>
      <w:r>
        <w:t>„Proszę pokazać upoważnienie albo umożliwić kontakt z rodzicem lub opiekunem. Nie wykonujemy kopii dokumentu”.</w:t>
      </w:r>
    </w:p>
    <w:p>
      <w:pPr>
        <w:spacing w:before="100" w:after="40"/>
      </w:pPr>
      <w:r>
        <w:rPr>
          <w:rFonts w:ascii="Calibri" w:hAnsi="Calibri" w:eastAsia="Calibri"/>
          <w:b/>
          <w:color w:val="315D4C"/>
          <w:sz w:val="22"/>
        </w:rPr>
        <w:t>Gdy trzeba porozmawiać z dzieckiem</w:t>
      </w:r>
    </w:p>
    <w:p>
      <w:pPr>
        <w:spacing w:after="140"/>
        <w:ind w:left="288"/>
      </w:pPr>
      <w:r>
        <w:t>„Cześć, mam na imię … i pomagam przy przyjeździe. Kim jest osoba, z którą przyjechałeś/przyjechałaś? Czy czujesz się teraz bezpiecznie?”.</w:t>
      </w:r>
    </w:p>
    <w:p>
      <w:pPr>
        <w:spacing w:before="100" w:after="40"/>
      </w:pPr>
      <w:r>
        <w:rPr>
          <w:rFonts w:ascii="Calibri" w:hAnsi="Calibri" w:eastAsia="Calibri"/>
          <w:b/>
          <w:color w:val="315D4C"/>
          <w:sz w:val="22"/>
        </w:rPr>
        <w:t>Gdy wszystko jest w porządku</w:t>
      </w:r>
    </w:p>
    <w:p>
      <w:pPr>
        <w:spacing w:after="140"/>
        <w:ind w:left="288"/>
      </w:pPr>
      <w:r>
        <w:t>„Dziękuję za chwilę. Procedura jest zakończona. Życzymy spokojnego pobytu”.</w:t>
      </w:r>
    </w:p>
    <w:p>
      <w:pPr>
        <w:spacing w:before="100" w:after="40"/>
      </w:pPr>
      <w:r>
        <w:rPr>
          <w:rFonts w:ascii="Calibri" w:hAnsi="Calibri" w:eastAsia="Calibri"/>
          <w:b/>
          <w:color w:val="315D4C"/>
          <w:sz w:val="22"/>
        </w:rPr>
        <w:t>Gdy sytuacja pozostaje niewyjaśniona</w:t>
      </w:r>
    </w:p>
    <w:p>
      <w:pPr>
        <w:spacing w:after="140"/>
        <w:ind w:left="288"/>
      </w:pPr>
      <w:r>
        <w:t>„Nie mogę jeszcze wydać klucza ani kodu. Muszę skontaktować się z osobą odpowiedzialną za bezpieczeństwo dzieci”.</w:t>
      </w:r>
    </w:p>
    <w:p>
      <w:pPr>
        <w:spacing w:before="100" w:after="40"/>
      </w:pPr>
      <w:r>
        <w:rPr>
          <w:rFonts w:ascii="Calibri" w:hAnsi="Calibri" w:eastAsia="Calibri"/>
          <w:b/>
          <w:color w:val="315D4C"/>
          <w:sz w:val="22"/>
        </w:rPr>
        <w:t>Gdy dziecko coś ujawnia</w:t>
      </w:r>
    </w:p>
    <w:p>
      <w:pPr>
        <w:spacing w:after="140"/>
        <w:ind w:left="288"/>
      </w:pPr>
      <w:r>
        <w:t>„Dziękuję, że mi o tym mówisz. To nie jest twoja wina. Nie mogę obiecać, że nikomu nie powiem, ale przekażę to tylko osobom, które mogą pomóc”.</w:t>
      </w:r>
    </w:p>
    <w:p>
      <w:pPr>
        <w:pStyle w:val="Heading1"/>
      </w:pPr>
      <w:r>
        <w:t>Załącznik C. Karta interwencji — bezpieczny rejestr</w:t>
      </w:r>
    </w:p>
    <w:p>
      <w:pPr>
        <w:spacing w:before="80" w:after="160"/>
        <w:ind w:left="115" w:right="115"/>
        <w:shd w:fill="FCEAE4"/>
        <w:pBdr>
          <w:top w:val="single" w:sz="8" w:space="8" w:color="8F402C"/>
          <w:left w:val="single" w:sz="8" w:space="8" w:color="8F402C"/>
          <w:bottom w:val="single" w:sz="8" w:space="8" w:color="8F402C"/>
          <w:right w:val="single" w:sz="8" w:space="8" w:color="8F402C"/>
        </w:pBdr>
      </w:pPr>
      <w:r>
        <w:rPr>
          <w:rFonts w:ascii="Calibri" w:hAnsi="Calibri" w:eastAsia="Calibri"/>
          <w:b/>
          <w:color w:val="8F402C"/>
          <w:sz w:val="22"/>
        </w:rPr>
        <w:t>Nie przechowuj tej karty w Stawy OS</w:t>
        <w:br/>
      </w:r>
      <w:r>
        <w:rPr>
          <w:rFonts w:ascii="Calibri" w:hAnsi="Calibri" w:eastAsia="Calibri"/>
          <w:color w:val="111111"/>
          <w:sz w:val="21"/>
        </w:rPr>
        <w:t>Karta może zawierać dane szczególnej wrażliwości. Wymaga osobnego, zatwierdzonego miejsca, upoważnień i rejestru dostępu.</w:t>
      </w:r>
    </w:p>
    <w:p>
      <w:pPr>
        <w:spacing w:after="80"/>
      </w:pPr>
      <w:r>
        <w:rPr>
          <w:rFonts w:ascii="Calibri" w:hAnsi="Calibri" w:eastAsia="Calibri"/>
          <w:b/>
          <w:color w:val="19352D"/>
          <w:sz w:val="21"/>
        </w:rPr>
        <w:t xml:space="preserve">Numer sprawy nadany przez rejestr: </w:t>
      </w:r>
      <w:r>
        <w:rPr>
          <w:rFonts w:ascii="Calibri" w:hAnsi="Calibri" w:eastAsia="Calibri"/>
          <w:color w:val="65736C"/>
          <w:sz w:val="20"/>
        </w:rPr>
        <w:t>................................................................................................</w:t>
      </w:r>
    </w:p>
    <w:p>
      <w:pPr>
        <w:spacing w:after="80"/>
      </w:pPr>
      <w:r>
        <w:rPr>
          <w:rFonts w:ascii="Calibri" w:hAnsi="Calibri" w:eastAsia="Calibri"/>
          <w:b/>
          <w:color w:val="19352D"/>
          <w:sz w:val="21"/>
        </w:rPr>
        <w:t xml:space="preserve">Data, godzina i miejsce zdarzenia / zgłoszenia: </w:t>
      </w:r>
      <w:r>
        <w:rPr>
          <w:rFonts w:ascii="Calibri" w:hAnsi="Calibri" w:eastAsia="Calibri"/>
          <w:color w:val="65736C"/>
          <w:sz w:val="20"/>
        </w:rPr>
        <w:t>................................................................................................</w:t>
      </w:r>
    </w:p>
    <w:p>
      <w:pPr>
        <w:spacing w:after="80"/>
      </w:pPr>
      <w:r>
        <w:rPr>
          <w:rFonts w:ascii="Calibri" w:hAnsi="Calibri" w:eastAsia="Calibri"/>
          <w:b/>
          <w:color w:val="19352D"/>
          <w:sz w:val="21"/>
        </w:rPr>
        <w:t xml:space="preserve">Osoba sporządzająca i źródło informacji: </w:t>
      </w:r>
      <w:r>
        <w:rPr>
          <w:rFonts w:ascii="Calibri" w:hAnsi="Calibri" w:eastAsia="Calibri"/>
          <w:color w:val="65736C"/>
          <w:sz w:val="20"/>
        </w:rPr>
        <w:t>................................................................................................</w:t>
      </w:r>
    </w:p>
    <w:p>
      <w:pPr>
        <w:spacing w:after="80"/>
      </w:pPr>
      <w:r>
        <w:rPr>
          <w:rFonts w:ascii="Calibri" w:hAnsi="Calibri" w:eastAsia="Calibri"/>
          <w:b/>
          <w:color w:val="19352D"/>
          <w:sz w:val="21"/>
        </w:rPr>
        <w:t xml:space="preserve">Fakty zaobserwowane bez interpretacji: </w:t>
      </w:r>
      <w:r>
        <w:rPr>
          <w:rFonts w:ascii="Calibri" w:hAnsi="Calibri" w:eastAsia="Calibri"/>
          <w:color w:val="65736C"/>
          <w:sz w:val="20"/>
        </w:rPr>
        <w:t>................................................................................................</w:t>
      </w:r>
    </w:p>
    <w:p>
      <w:pPr>
        <w:spacing w:after="80"/>
      </w:pPr>
      <w:r>
        <w:rPr>
          <w:rFonts w:ascii="Calibri" w:hAnsi="Calibri" w:eastAsia="Calibri"/>
          <w:b/>
          <w:color w:val="19352D"/>
          <w:sz w:val="21"/>
        </w:rPr>
        <w:t xml:space="preserve">Spontaniczne słowa dziecka zapisane możliwie dokładnie: </w:t>
      </w:r>
      <w:r>
        <w:rPr>
          <w:rFonts w:ascii="Calibri" w:hAnsi="Calibri" w:eastAsia="Calibri"/>
          <w:color w:val="65736C"/>
          <w:sz w:val="20"/>
        </w:rPr>
        <w:t>................................................................................................</w:t>
      </w:r>
    </w:p>
    <w:p>
      <w:pPr>
        <w:spacing w:after="80"/>
      </w:pPr>
      <w:r>
        <w:rPr>
          <w:rFonts w:ascii="Calibri" w:hAnsi="Calibri" w:eastAsia="Calibri"/>
          <w:b/>
          <w:color w:val="19352D"/>
          <w:sz w:val="21"/>
        </w:rPr>
        <w:t xml:space="preserve">Ocena, czy występowało bezpośrednie zagrożenie: </w:t>
      </w:r>
      <w:r>
        <w:rPr>
          <w:rFonts w:ascii="Calibri" w:hAnsi="Calibri" w:eastAsia="Calibri"/>
          <w:color w:val="65736C"/>
          <w:sz w:val="20"/>
        </w:rPr>
        <w:t>................................................................................................</w:t>
      </w:r>
    </w:p>
    <w:p>
      <w:pPr>
        <w:spacing w:after="80"/>
      </w:pPr>
      <w:r>
        <w:rPr>
          <w:rFonts w:ascii="Calibri" w:hAnsi="Calibri" w:eastAsia="Calibri"/>
          <w:b/>
          <w:color w:val="19352D"/>
          <w:sz w:val="21"/>
        </w:rPr>
        <w:t xml:space="preserve">Działania ochronne i pierwsza pomoc: </w:t>
      </w:r>
      <w:r>
        <w:rPr>
          <w:rFonts w:ascii="Calibri" w:hAnsi="Calibri" w:eastAsia="Calibri"/>
          <w:color w:val="65736C"/>
          <w:sz w:val="20"/>
        </w:rPr>
        <w:t>................................................................................................</w:t>
      </w:r>
    </w:p>
    <w:p>
      <w:pPr>
        <w:spacing w:after="80"/>
      </w:pPr>
      <w:r>
        <w:rPr>
          <w:rFonts w:ascii="Calibri" w:hAnsi="Calibri" w:eastAsia="Calibri"/>
          <w:b/>
          <w:color w:val="19352D"/>
          <w:sz w:val="21"/>
        </w:rPr>
        <w:t xml:space="preserve">Osoby oraz instytucje powiadomione, czas, kanał i osoba przyjmująca: </w:t>
      </w:r>
      <w:r>
        <w:rPr>
          <w:rFonts w:ascii="Calibri" w:hAnsi="Calibri" w:eastAsia="Calibri"/>
          <w:color w:val="65736C"/>
          <w:sz w:val="20"/>
        </w:rPr>
        <w:t>................................................................................................</w:t>
      </w:r>
    </w:p>
    <w:p>
      <w:pPr>
        <w:spacing w:after="80"/>
      </w:pPr>
      <w:r>
        <w:rPr>
          <w:rFonts w:ascii="Calibri" w:hAnsi="Calibri" w:eastAsia="Calibri"/>
          <w:b/>
          <w:color w:val="19352D"/>
          <w:sz w:val="21"/>
        </w:rPr>
        <w:t xml:space="preserve">Przekazane materiały i ciąg dostępu do dowodów: </w:t>
      </w:r>
      <w:r>
        <w:rPr>
          <w:rFonts w:ascii="Calibri" w:hAnsi="Calibri" w:eastAsia="Calibri"/>
          <w:color w:val="65736C"/>
          <w:sz w:val="20"/>
        </w:rPr>
        <w:t>................................................................................................</w:t>
      </w:r>
    </w:p>
    <w:p>
      <w:pPr>
        <w:spacing w:after="80"/>
      </w:pPr>
      <w:r>
        <w:rPr>
          <w:rFonts w:ascii="Calibri" w:hAnsi="Calibri" w:eastAsia="Calibri"/>
          <w:b/>
          <w:color w:val="19352D"/>
          <w:sz w:val="21"/>
        </w:rPr>
        <w:t xml:space="preserve">Decyzje służb / dalsze polecenia: </w:t>
      </w:r>
      <w:r>
        <w:rPr>
          <w:rFonts w:ascii="Calibri" w:hAnsi="Calibri" w:eastAsia="Calibri"/>
          <w:color w:val="65736C"/>
          <w:sz w:val="20"/>
        </w:rPr>
        <w:t>................................................................................................</w:t>
      </w:r>
    </w:p>
    <w:p>
      <w:pPr>
        <w:spacing w:after="80"/>
      </w:pPr>
      <w:r>
        <w:rPr>
          <w:rFonts w:ascii="Calibri" w:hAnsi="Calibri" w:eastAsia="Calibri"/>
          <w:b/>
          <w:color w:val="19352D"/>
          <w:sz w:val="21"/>
        </w:rPr>
        <w:t xml:space="preserve">Data zamknięcia, podstawa i termin kolejnego przeglądu retencji: </w:t>
      </w:r>
      <w:r>
        <w:rPr>
          <w:rFonts w:ascii="Calibri" w:hAnsi="Calibri" w:eastAsia="Calibri"/>
          <w:color w:val="65736C"/>
          <w:sz w:val="20"/>
        </w:rPr>
        <w:t>................................................................................................</w:t>
      </w:r>
    </w:p>
    <w:p>
      <w:pPr>
        <w:pStyle w:val="Heading1"/>
      </w:pPr>
      <w:r>
        <w:t>Załącznik D. Oświadczenie i szkolenie personelu</w:t>
      </w:r>
    </w:p>
    <w:p>
      <w:r>
        <w:t>Oświadczam, że zapoznałem/am się z obowiązującą wersją Standardów ochrony małoletnich Stawy u Sikory, rozumiem sześć kroków przed wydaniem klucza/kodu, zasady eskalacji i zakaz zapisywania danych dziecka w Stawy OS. Zobowiązuję się stosować Standardy oraz zgłaszać naruszenia.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DA"/>
          <w:left w:val="single" w:sz="6" w:color="D7DEDA"/>
          <w:bottom w:val="single" w:sz="6" w:color="D7DEDA"/>
          <w:right w:val="single" w:sz="6" w:color="D7DEDA"/>
          <w:insideH w:val="single" w:sz="6" w:color="D7DEDA"/>
          <w:insideV w:val="single" w:sz="6" w:color="D7DEDA"/>
        </w:tblBorders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315D4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Pole</w:t>
            </w:r>
          </w:p>
        </w:tc>
        <w:tc>
          <w:tcPr>
            <w:tcW w:type="dxa" w:w="6660"/>
            <w:shd w:fill="315D4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Treść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Imię i nazwisko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................................................................................................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Rola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................................................................................................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Wersja standardu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................................................................................................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Forma szkolenia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instruktaż / scenariusz / ćwiczenie w aplikacji / aktualizacja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Data i podpis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................................................................................................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Osoba szkoląca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................................................................................................</w:t>
            </w:r>
          </w:p>
        </w:tc>
      </w:tr>
    </w:tbl>
    <w:p/>
    <w:p>
      <w:pPr>
        <w:pStyle w:val="Heading1"/>
      </w:pPr>
      <w:r>
        <w:t>Załącznik E. Kontrola zatwierdzenia i przeglądu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Potwierdzono formalną nazwę podmiotu i zakres obiektów.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Imiennie powołano koordynatora i zastępcę oraz opublikowano sposób kontaktu.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Prawnik lub inna uprawniona osoba przeprowadziła przegląd zgodności dokumentu.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Administrator danych zatwierdził bezpieczny rejestr, upoważnienia, retencję i procedurę usuwania.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Przeszkolono wszystkie osoby wydające klucze/kody, w tym członków rodziny i zastępstwa.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Opublikowano pełną i dziecięcą wersję na stronie oraz wywieszono obie w obiekcie.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Sprawdzono numery kontaktowe, działanie 112 i osiągalność koordynatora.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Przeprowadzono próbę: zwykły przyjazd, brak dokumentu, osoba niebędąca rodzicem, ujawnienie przemocy, późny przyjazd i niedostępny koordynator.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W Stawy OS aktywowano właściwą wersję, datę obowiązywania, termin przeglądu, linki i sześć kroków.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111"/>
          <w:sz w:val="22"/>
        </w:rPr>
        <w:t>Po przeglądzie sporządzono pisemne wnioski, decyzje i historię zmian.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DA"/>
          <w:left w:val="single" w:sz="6" w:color="D7DEDA"/>
          <w:bottom w:val="single" w:sz="6" w:color="D7DEDA"/>
          <w:right w:val="single" w:sz="6" w:color="D7DEDA"/>
          <w:insideH w:val="single" w:sz="6" w:color="D7DEDA"/>
          <w:insideV w:val="single" w:sz="6" w:color="D7DEDA"/>
        </w:tblBorders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315D4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Pole</w:t>
            </w:r>
          </w:p>
        </w:tc>
        <w:tc>
          <w:tcPr>
            <w:tcW w:type="dxa" w:w="6660"/>
            <w:shd w:fill="315D4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Treść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Zatwierdził/a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................................................................................................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Funkcja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................................................................................................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Data wejścia w życie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................................................................................................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Termin przeglądu (maks. 2 lata)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................................................................................................</w:t>
            </w:r>
          </w:p>
        </w:tc>
      </w:tr>
      <w:tr>
        <w:trPr>
          <w:cantSplit w:val="true"/>
        </w:trPr>
        <w:tc>
          <w:tcPr>
            <w:tcW w:type="dxa" w:w="2700"/>
            <w:shd w:fill="F2F4F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9352D"/>
                <w:sz w:val="20"/>
              </w:rPr>
              <w:t>Podpis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21"/>
              </w:rPr>
              <w:t>................................................................................................</w:t>
            </w:r>
          </w:p>
        </w:tc>
      </w:tr>
    </w:tbl>
    <w:p/>
    <w:p>
      <w:pPr>
        <w:pStyle w:val="Heading1"/>
      </w:pPr>
      <w:r>
        <w:t>Załącznik F. Kontakty operacyjne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DA"/>
          <w:left w:val="single" w:sz="6" w:color="D7DEDA"/>
          <w:bottom w:val="single" w:sz="6" w:color="D7DEDA"/>
          <w:right w:val="single" w:sz="6" w:color="D7DEDA"/>
          <w:insideH w:val="single" w:sz="6" w:color="D7DEDA"/>
          <w:insideV w:val="single" w:sz="6" w:color="D7DEDA"/>
        </w:tblBorders>
      </w:tblPr>
      <w:tblGrid>
        <w:gridCol w:w="2740"/>
        <w:gridCol w:w="3380"/>
        <w:gridCol w:w="3240"/>
      </w:tblGrid>
      <w:tr>
        <w:trPr>
          <w:tblHeader w:val="true"/>
          <w:cantSplit w:val="true"/>
        </w:trPr>
        <w:tc>
          <w:tcPr>
            <w:tcW w:type="dxa" w:w="2740"/>
            <w:shd w:fill="315D4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Kiedy</w:t>
            </w:r>
          </w:p>
        </w:tc>
        <w:tc>
          <w:tcPr>
            <w:tcW w:type="dxa" w:w="3380"/>
            <w:shd w:fill="315D4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Kontakt</w:t>
            </w:r>
          </w:p>
        </w:tc>
        <w:tc>
          <w:tcPr>
            <w:tcW w:type="dxa" w:w="3240"/>
            <w:shd w:fill="315D4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Dane</w:t>
            </w:r>
          </w:p>
        </w:tc>
      </w:tr>
      <w:tr>
        <w:trPr>
          <w:cantSplit w:val="true"/>
        </w:trPr>
        <w:tc>
          <w:tcPr>
            <w:tcW w:type="dxa" w:w="2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111"/>
                <w:sz w:val="19"/>
              </w:rPr>
              <w:t>natychmiastowe zagrożenie życia/zdrowia</w:t>
            </w:r>
          </w:p>
        </w:tc>
        <w:tc>
          <w:tcPr>
            <w:tcW w:type="dxa" w:w="3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Numer alarmowy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112</w:t>
            </w:r>
          </w:p>
        </w:tc>
      </w:tr>
      <w:tr>
        <w:trPr>
          <w:cantSplit w:val="true"/>
        </w:trPr>
        <w:tc>
          <w:tcPr>
            <w:tcW w:type="dxa" w:w="2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111"/>
                <w:sz w:val="19"/>
              </w:rPr>
              <w:t>pilne zgłoszenie Policji</w:t>
            </w:r>
          </w:p>
        </w:tc>
        <w:tc>
          <w:tcPr>
            <w:tcW w:type="dxa" w:w="3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Dyżurny KPP Międzyrzecz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47 79 212 11 / 47 79 212 12</w:t>
            </w:r>
          </w:p>
        </w:tc>
      </w:tr>
      <w:tr>
        <w:trPr>
          <w:cantSplit w:val="true"/>
        </w:trPr>
        <w:tc>
          <w:tcPr>
            <w:tcW w:type="dxa" w:w="2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111"/>
                <w:sz w:val="19"/>
              </w:rPr>
              <w:t>zawiadomienie sądu opiekuńczego</w:t>
            </w:r>
          </w:p>
        </w:tc>
        <w:tc>
          <w:tcPr>
            <w:tcW w:type="dxa" w:w="3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SR Międzyrzecz, III Wydział Rodzinny i Nieletnich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95 742 40 03 • rodzinny@miedzyrzecz.sr.gov.pl</w:t>
            </w:r>
          </w:p>
        </w:tc>
      </w:tr>
      <w:tr>
        <w:trPr>
          <w:cantSplit w:val="true"/>
        </w:trPr>
        <w:tc>
          <w:tcPr>
            <w:tcW w:type="dxa" w:w="2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111"/>
                <w:sz w:val="19"/>
              </w:rPr>
              <w:t>pomoc społeczna / sytuacja rodzinna</w:t>
            </w:r>
          </w:p>
        </w:tc>
        <w:tc>
          <w:tcPr>
            <w:tcW w:type="dxa" w:w="3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GOPS Bledzew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95 743 66 23 • gops@bledzew.pl</w:t>
            </w:r>
          </w:p>
        </w:tc>
      </w:tr>
      <w:tr>
        <w:trPr>
          <w:cantSplit w:val="true"/>
        </w:trPr>
        <w:tc>
          <w:tcPr>
            <w:tcW w:type="dxa" w:w="2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111"/>
                <w:sz w:val="19"/>
              </w:rPr>
              <w:t>wsparcie dziecka 24/7</w:t>
            </w:r>
          </w:p>
        </w:tc>
        <w:tc>
          <w:tcPr>
            <w:tcW w:type="dxa" w:w="3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Telefon zaufania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116 111</w:t>
            </w:r>
          </w:p>
        </w:tc>
      </w:tr>
      <w:tr>
        <w:trPr>
          <w:cantSplit w:val="true"/>
        </w:trPr>
        <w:tc>
          <w:tcPr>
            <w:tcW w:type="dxa" w:w="2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111"/>
                <w:sz w:val="19"/>
              </w:rPr>
              <w:t>wsparcie dziecka 24/7</w:t>
            </w:r>
          </w:p>
        </w:tc>
        <w:tc>
          <w:tcPr>
            <w:tcW w:type="dxa" w:w="3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Rzecznik Praw Dziecka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800 12 12 12 • czat.brpd.gov.pl</w:t>
            </w:r>
          </w:p>
        </w:tc>
      </w:tr>
      <w:tr>
        <w:trPr>
          <w:cantSplit w:val="true"/>
        </w:trPr>
        <w:tc>
          <w:tcPr>
            <w:tcW w:type="dxa" w:w="2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111"/>
                <w:sz w:val="19"/>
              </w:rPr>
              <w:t>kontakt obiektu — noclegi</w:t>
            </w:r>
          </w:p>
        </w:tc>
        <w:tc>
          <w:tcPr>
            <w:tcW w:type="dxa" w:w="3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Marcin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111"/>
                <w:sz w:val="19"/>
              </w:rPr>
              <w:t>501 510 005 • marcin@stawyusikory.pl</w:t>
            </w:r>
          </w:p>
        </w:tc>
      </w:tr>
    </w:tbl>
    <w:p/>
    <w:p>
      <w:pPr>
        <w:spacing w:before="80" w:after="160"/>
        <w:ind w:left="115" w:right="115"/>
        <w:shd w:fill="F7EDCF"/>
        <w:pBdr>
          <w:top w:val="single" w:sz="8" w:space="8" w:color="8A651B"/>
          <w:left w:val="single" w:sz="8" w:space="8" w:color="8A651B"/>
          <w:bottom w:val="single" w:sz="8" w:space="8" w:color="8A651B"/>
          <w:right w:val="single" w:sz="8" w:space="8" w:color="8A651B"/>
        </w:pBdr>
      </w:pPr>
      <w:r>
        <w:rPr>
          <w:rFonts w:ascii="Calibri" w:hAnsi="Calibri" w:eastAsia="Calibri"/>
          <w:b/>
          <w:color w:val="8A651B"/>
          <w:sz w:val="22"/>
        </w:rPr>
        <w:t>Aktualizacja</w:t>
        <w:br/>
      </w:r>
      <w:r>
        <w:rPr>
          <w:rFonts w:ascii="Calibri" w:hAnsi="Calibri" w:eastAsia="Calibri"/>
          <w:color w:val="111111"/>
          <w:sz w:val="21"/>
        </w:rPr>
        <w:t>Koordynator sprawdza tabelę kontaktów przy każdym przeglądzie i co najmniej raz w roku. W sytuacji pilnej właściwy jest numer 112.</w:t>
      </w:r>
    </w:p>
    <w:p>
      <w:pPr>
        <w:pStyle w:val="Heading1"/>
      </w:pPr>
      <w:r>
        <w:t>Załącznik G. Podstawa i źródła</w:t>
      </w:r>
    </w:p>
    <w:p>
      <w:pPr>
        <w:spacing w:after="200"/>
      </w:pPr>
      <w:r>
        <w:t>Źródła sprawdzono 26 lipca 2026 r. Dokument nie zastępuje indywidualnej porady prawnej ani oceny skutków dla ochrony danych.</w:t>
      </w:r>
    </w:p>
    <w:p>
      <w:pPr>
        <w:spacing w:after="100"/>
        <w:ind w:left="259" w:hanging="259"/>
      </w:pPr>
      <w:r>
        <w:rPr>
          <w:rFonts w:ascii="Calibri" w:hAnsi="Calibri" w:eastAsia="Calibri"/>
          <w:color w:val="111111"/>
          <w:sz w:val="19"/>
        </w:rPr>
        <w:t xml:space="preserve">1. Ustawa — tekst jednolity, Dz.U. 2026 poz. 110, szczególnie art. 22c ust. 3–7: </w:t>
      </w:r>
      <w:hyperlink r:id="rId11">
        <w:r>
          <w:rPr>
            <w:color w:val="315D4C"/>
            <w:u w:val="single"/>
          </w:rPr>
          <w:t>otwórz źródło</w:t>
        </w:r>
      </w:hyperlink>
    </w:p>
    <w:p>
      <w:pPr>
        <w:spacing w:after="100"/>
        <w:ind w:left="259" w:hanging="259"/>
      </w:pPr>
      <w:r>
        <w:rPr>
          <w:rFonts w:ascii="Calibri" w:hAnsi="Calibri" w:eastAsia="Calibri"/>
          <w:color w:val="111111"/>
          <w:sz w:val="19"/>
        </w:rPr>
        <w:t xml:space="preserve">2. Kodeks postępowania cywilnego — tekst jednolity, Dz.U. 2026 poz. 468, art. 572: </w:t>
      </w:r>
      <w:hyperlink r:id="rId12">
        <w:r>
          <w:rPr>
            <w:color w:val="315D4C"/>
            <w:u w:val="single"/>
          </w:rPr>
          <w:t>otwórz źródło</w:t>
        </w:r>
      </w:hyperlink>
    </w:p>
    <w:p>
      <w:pPr>
        <w:spacing w:after="100"/>
        <w:ind w:left="259" w:hanging="259"/>
      </w:pPr>
      <w:r>
        <w:rPr>
          <w:rFonts w:ascii="Calibri" w:hAnsi="Calibri" w:eastAsia="Calibri"/>
          <w:color w:val="111111"/>
          <w:sz w:val="19"/>
        </w:rPr>
        <w:t xml:space="preserve">3. Ministerstwo Sprawiedliwości — wytyczne do standardów ochrony dzieci: </w:t>
      </w:r>
      <w:hyperlink r:id="rId13">
        <w:r>
          <w:rPr>
            <w:color w:val="315D4C"/>
            <w:u w:val="single"/>
          </w:rPr>
          <w:t>otwórz źródło</w:t>
        </w:r>
      </w:hyperlink>
    </w:p>
    <w:p>
      <w:pPr>
        <w:spacing w:after="100"/>
        <w:ind w:left="259" w:hanging="259"/>
      </w:pPr>
      <w:r>
        <w:rPr>
          <w:rFonts w:ascii="Calibri" w:hAnsi="Calibri" w:eastAsia="Calibri"/>
          <w:color w:val="111111"/>
          <w:sz w:val="19"/>
        </w:rPr>
        <w:t xml:space="preserve">4. UODO — jak stosować ustawę z poszanowaniem minimalizacji i bezpieczeństwa danych: </w:t>
      </w:r>
      <w:hyperlink r:id="rId14">
        <w:r>
          <w:rPr>
            <w:color w:val="315D4C"/>
            <w:u w:val="single"/>
          </w:rPr>
          <w:t>otwórz źródło</w:t>
        </w:r>
      </w:hyperlink>
    </w:p>
    <w:p>
      <w:pPr>
        <w:spacing w:after="100"/>
        <w:ind w:left="259" w:hanging="259"/>
      </w:pPr>
      <w:r>
        <w:rPr>
          <w:rFonts w:ascii="Calibri" w:hAnsi="Calibri" w:eastAsia="Calibri"/>
          <w:color w:val="111111"/>
          <w:sz w:val="19"/>
        </w:rPr>
        <w:t xml:space="preserve">5. KSSiP — publiczny przykład standardów dla obiektów świadczących usługi hotelarskie: </w:t>
      </w:r>
      <w:hyperlink r:id="rId15">
        <w:r>
          <w:rPr>
            <w:color w:val="315D4C"/>
            <w:u w:val="single"/>
          </w:rPr>
          <w:t>otwórz źródło</w:t>
        </w:r>
      </w:hyperlink>
    </w:p>
    <w:p>
      <w:pPr>
        <w:spacing w:after="100"/>
        <w:ind w:left="259" w:hanging="259"/>
      </w:pPr>
      <w:r>
        <w:rPr>
          <w:rFonts w:ascii="Calibri" w:hAnsi="Calibri" w:eastAsia="Calibri"/>
          <w:color w:val="111111"/>
          <w:sz w:val="19"/>
        </w:rPr>
        <w:t xml:space="preserve">6. Fundacja Dajemy Dzieciom Siłę — materiały dla branży hotelarskiej: </w:t>
      </w:r>
      <w:hyperlink r:id="rId16">
        <w:r>
          <w:rPr>
            <w:color w:val="315D4C"/>
            <w:u w:val="single"/>
          </w:rPr>
          <w:t>otwórz źródło</w:t>
        </w:r>
      </w:hyperlink>
    </w:p>
    <w:p>
      <w:pPr>
        <w:spacing w:after="100"/>
        <w:ind w:left="259" w:hanging="259"/>
      </w:pPr>
      <w:r>
        <w:rPr>
          <w:rFonts w:ascii="Calibri" w:hAnsi="Calibri" w:eastAsia="Calibri"/>
          <w:color w:val="111111"/>
          <w:sz w:val="19"/>
        </w:rPr>
        <w:t xml:space="preserve">7. KPP Międzyrzecz — aktualne dane kontaktowe: </w:t>
      </w:r>
      <w:hyperlink r:id="rId17">
        <w:r>
          <w:rPr>
            <w:color w:val="315D4C"/>
            <w:u w:val="single"/>
          </w:rPr>
          <w:t>otwórz źródło</w:t>
        </w:r>
      </w:hyperlink>
    </w:p>
    <w:p>
      <w:pPr>
        <w:spacing w:after="100"/>
        <w:ind w:left="259" w:hanging="259"/>
      </w:pPr>
      <w:r>
        <w:rPr>
          <w:rFonts w:ascii="Calibri" w:hAnsi="Calibri" w:eastAsia="Calibri"/>
          <w:color w:val="111111"/>
          <w:sz w:val="19"/>
        </w:rPr>
        <w:t xml:space="preserve">8. Sąd Rejonowy w Międzyrzeczu — III Wydział Rodzinny i Nieletnich: </w:t>
      </w:r>
      <w:hyperlink r:id="rId18">
        <w:r>
          <w:rPr>
            <w:color w:val="315D4C"/>
            <w:u w:val="single"/>
          </w:rPr>
          <w:t>otwórz źródło</w:t>
        </w:r>
      </w:hyperlink>
    </w:p>
    <w:p>
      <w:pPr>
        <w:spacing w:after="100"/>
        <w:ind w:left="259" w:hanging="259"/>
      </w:pPr>
      <w:r>
        <w:rPr>
          <w:rFonts w:ascii="Calibri" w:hAnsi="Calibri" w:eastAsia="Calibri"/>
          <w:color w:val="111111"/>
          <w:sz w:val="19"/>
        </w:rPr>
        <w:t xml:space="preserve">9. Rzecznik Praw Dziecka — Dziecięcy Telefon Zaufania: </w:t>
      </w:r>
      <w:hyperlink r:id="rId19">
        <w:r>
          <w:rPr>
            <w:color w:val="315D4C"/>
            <w:u w:val="single"/>
          </w:rPr>
          <w:t>otwórz źródło</w:t>
        </w:r>
      </w:hyperlink>
    </w:p>
    <w:p>
      <w:pPr>
        <w:spacing w:after="100"/>
        <w:ind w:left="259" w:hanging="259"/>
      </w:pPr>
      <w:r>
        <w:rPr>
          <w:rFonts w:ascii="Calibri" w:hAnsi="Calibri" w:eastAsia="Calibri"/>
          <w:color w:val="111111"/>
          <w:sz w:val="19"/>
        </w:rPr>
        <w:t xml:space="preserve">10. Stawy u Sikory — publiczne dane kontaktowe obiektu: </w:t>
      </w:r>
      <w:hyperlink r:id="rId20">
        <w:r>
          <w:rPr>
            <w:color w:val="315D4C"/>
            <w:u w:val="single"/>
          </w:rPr>
          <w:t>otwórz źródło</w:t>
        </w:r>
      </w:hyperlink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5736C"/>
        <w:sz w:val="18"/>
      </w:rPr>
      <w:t xml:space="preserve">Strona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6" w:color="CDD8D3"/>
      </w:pBdr>
    </w:pPr>
    <w:r>
      <w:rPr>
        <w:rFonts w:ascii="Calibri" w:hAnsi="Calibri" w:eastAsia="Calibri"/>
        <w:b/>
        <w:color w:val="65736C"/>
        <w:sz w:val="17"/>
      </w:rPr>
      <w:t>STAWY U SIKORY  |  OCHRONA MAŁOLETNICH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315D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315D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935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li.gov.pl/api/acts/DU/2026/110/text/U/D20260110Lj.pdf" TargetMode="External"/><Relationship Id="rId12" Type="http://schemas.openxmlformats.org/officeDocument/2006/relationships/hyperlink" Target="https://eli.gov.pl/api/acts/DU/2026/468/text.pdf" TargetMode="External"/><Relationship Id="rId13" Type="http://schemas.openxmlformats.org/officeDocument/2006/relationships/hyperlink" Target="https://www.gov.pl/web/sprawiedliwosc/standardy-ochrony-maloletnich---wytyczne." TargetMode="External"/><Relationship Id="rId14" Type="http://schemas.openxmlformats.org/officeDocument/2006/relationships/hyperlink" Target="https://uodo.gov.pl/pl/138/3278" TargetMode="External"/><Relationship Id="rId15" Type="http://schemas.openxmlformats.org/officeDocument/2006/relationships/hyperlink" Target="https://www.kssip.gov.pl/sites/default/files/zalacznik_nr_1_standardy_ochrony_maloletnich_w_obiektach_kssip.pdf" TargetMode="External"/><Relationship Id="rId16" Type="http://schemas.openxmlformats.org/officeDocument/2006/relationships/hyperlink" Target="https://standardy.fdds.pl/blog/15/webinar-wprowadzanie-standardow-ochrony-dzieci-w-obiektach-swiadczacych-uslugi-hotelarskie" TargetMode="External"/><Relationship Id="rId17" Type="http://schemas.openxmlformats.org/officeDocument/2006/relationships/hyperlink" Target="https://miedzyrzecz.policja.gov.pl/go4/kontakt/dane-kontaktowe/47399,Dane-kontaktowe.html" TargetMode="External"/><Relationship Id="rId18" Type="http://schemas.openxmlformats.org/officeDocument/2006/relationships/hyperlink" Target="https://miedzyrzecz.sr.gov.pl/iii-wydzial-rodzinny-i-nieletnich,m,mg,2,219" TargetMode="External"/><Relationship Id="rId19" Type="http://schemas.openxmlformats.org/officeDocument/2006/relationships/hyperlink" Target="https://brpd.gov.pl/dzieciecy-telefon-zaufania-rzecznika-praw-dziecka/" TargetMode="External"/><Relationship Id="rId20" Type="http://schemas.openxmlformats.org/officeDocument/2006/relationships/hyperlink" Target="https://stawyusikory.pl/kontakt-i-jak-dojecha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Standardy ochrony małoletnich — Stawy u Sikory — projekt 0.9</dc:title>
  <dc:subject>SOP dla obiektu świadczącego usługi noclegowe</dc:subject>
  <dc:creator/>
  <cp:keywords>ochrona małoletnich, SOP, hotel, noclegi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