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专利申请技术交底书</w:t>
      </w:r>
    </w:p>
    <w:p>
      <w:r>
        <w:t>项目名称：罗匹尼罗透皮贴剂及其制备方式</w:t>
        <w:br/>
        <w:t>申请人：</w:t>
        <w:br/>
        <w:t>联系人：</w:t>
      </w:r>
    </w:p>
    <w:p>
      <w:pPr>
        <w:pStyle w:val="Heading1"/>
      </w:pPr>
      <w:r>
        <w:t>发明名称</w:t>
      </w:r>
    </w:p>
    <w:p>
      <w:r>
        <w:t>一种含戊酸钠的罗匹尼罗透皮贴剂及其制备方式。该贴剂由柔性聚氨酯背衬层和设置于其表面的黏附剂层构成。黏附剂层以橡胶基黏附剂作为罗匹尼罗的透皮递送基质，游离罗匹尼罗、作为羧酸钠的戊酸钠以及橡胶基黏附剂共存于同一黏附剂层内。</w:t>
      </w:r>
    </w:p>
    <w:p>
      <w:pPr>
        <w:pStyle w:val="Heading1"/>
      </w:pPr>
      <w:r>
        <w:t>一、背景</w:t>
      </w:r>
    </w:p>
    <w:p>
      <w:r>
        <w:t>帕金森病运动症状的控制需要较稳定的给药支持。日间持续经皮递送可减少给药过程对工作、步行等日常安排的影响，因此需要兼顾递送表现与贴敷稳定性的贴剂形式。</w:t>
      </w:r>
    </w:p>
    <w:p>
      <w:pPr>
        <w:pStyle w:val="Heading1"/>
      </w:pPr>
      <w:r>
        <w:t>二、罗匹尼罗透皮贴剂的组成及制备方式</w:t>
      </w:r>
    </w:p>
    <w:p>
      <w:r>
        <w:t>特点：黏附剂层中，戊酸钠按该层总质量计控制在0.1%至45%，游离罗匹尼罗按该层总质量计控制在5%至30%。以每1.0 mol游离罗匹尼罗为基准，戊酸钠使用0.1至5.0 mol。戊酸钠的取值兼顾皮肤渗透表现和黏附剂层内聚力，在规定含量范围内有助于实现二者之间的平衡。</w:t>
      </w:r>
    </w:p>
    <w:p>
      <w:r>
        <w:t>内容：先将游离罗匹尼罗、戊酸钠和橡胶基黏附剂共混，得到能够涂布的黏附剂组合物；再将该组合物涂覆到柔性聚氨酯背衬层上，形成含药黏附剂层。</w:t>
      </w:r>
    </w:p>
    <w:p>
      <w:r>
        <w:t>黏附剂层表面可以覆设可剥离的保护膜。该层还可以加入增塑剂，增塑剂不影响戊酸钠的促渗作用；也可以加入增黏剂，以调节贴剂在日常活动期间的贴附性。</w:t>
      </w:r>
    </w:p>
    <w:p>
      <w:r>
        <w:t>戊酸钠在含药黏附剂层内提高游离罗匹尼罗的皮肤渗透表现，相关表现包括最大皮肤渗透速率、24小时累积皮肤渗透量或可利用度。借此，贴剂能够在日间持续递送罗匹尼罗，为帕金森病运动症状的持续控制提供支持。</w:t>
      </w:r>
    </w:p>
    <w:p>
      <w:r>
        <w:t>使用时可在晨间贴敷于患者上臂或躯干部位，并在工作、步行等日常活动中佩戴。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