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Invention Information</w:t>
      </w:r>
    </w:p>
    <w:p>
      <w:r>
        <w:t>Technical disclosure form — continuous web handling and low-temperature drying for aramid-reinforced coated separators used in lithium-metal batteries.</w:t>
      </w:r>
    </w:p>
    <w:p>
      <w:pPr>
        <w:pStyle w:val="Heading1"/>
      </w:pPr>
      <w:r>
        <w:t>Invention Title</w:t>
      </w:r>
    </w:p>
    <w:p>
      <w:r>
        <w:t>Low-temperature tensioned drying of an aramid-reinforced coated separator before downstream lamination.</w:t>
      </w:r>
    </w:p>
    <w:p>
      <w:pPr>
        <w:pStyle w:val="Heading1"/>
      </w:pPr>
      <w:r>
        <w:t>Problem</w:t>
      </w:r>
    </w:p>
    <w:p>
      <w:r>
        <w:t>The separator needs moisture removal before lamination while retaining web flatness and transverse dimensional control. Drying wrinkles can interfere with the alignment precision needed for the downstream lamination operation; excessive stretching can cause appreciable transverse dimensional change.</w:t>
      </w:r>
    </w:p>
    <w:p>
      <w:pPr>
        <w:pStyle w:val="Heading1"/>
      </w:pPr>
      <w:r>
        <w:t>Short Description of the Invention</w:t>
      </w:r>
    </w:p>
    <w:p>
      <w:r>
        <w:t>A continuous aramid-reinforced coated separator web for a lithium-metal battery is passed through a low-temperature drying zone before downstream lamination to remove moisture from the coating. The drying-zone temperature is below 70°C, preferably 40°C to 60°C. In one operating range, the separator is 7 to 20 μm thick and 800 to 1300 mm wide.</w:t>
      </w:r>
    </w:p>
    <w:p>
      <w:r>
        <w:t>An actively driven unwind roller at the inlet independently drives the web at a first line speed. A vacuum traction roller at the outlet independently drives the web at a second line speed. The outlet speed exceeds the inlet speed, with a second-to-first line-speed ratio of 1.1 to 1.3, thereby applying controlled longitudinal stretching during drying. The first line speed can be 30 to 70 m/min and the second line speed can be 33 to 80 m/min, while maintaining the second speed above the first.</w:t>
      </w:r>
    </w:p>
    <w:p>
      <w:r>
        <w:t>The drying zone may receive low-dew-point hot air for convective drying. The hot-air humidity is no greater than 40%, preferably 20% to 40%, and the air flow is 4 to 8 m3/min.</w:t>
      </w:r>
    </w:p>
    <w:p>
      <w:r>
        <w:t>An airlock is arranged between the drying zone and a downstream inert-atmosphere laminating chamber. The dried separator passes through the airlock and enters the inert-atmosphere chamber for lamination.</w:t>
      </w:r>
    </w:p>
    <w:p>
      <w:pPr>
        <w:pStyle w:val="Heading1"/>
      </w:pPr>
      <w:r>
        <w:t>Advantages</w:t>
      </w:r>
    </w:p>
    <w:p>
      <w:r>
        <w:t>The controlled longitudinal stretching suppresses wrinkles in the aramid-reinforced coated separator during drying. Keeping the speed ratio within the stated range avoids appreciable transverse dimensional change caused by over-stretching. Together, these conditions preserve the alignment precision needed for downstream lamination.</w:t>
      </w:r>
    </w:p>
    <w:p>
      <w:pPr>
        <w:pStyle w:val="Heading1"/>
      </w:pPr>
      <w:r>
        <w:t>Process Configuration</w:t>
      </w:r>
    </w:p>
    <w:p>
      <w:r>
        <w:t>The continuous web path proceeds from the independently driven inlet unwind roller through the low-temperature drying zone to the independently driven outlet vacuum traction roller. The airlock provides the isolated transition from the drying zone to the inert-atmosphere laminating chamber.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