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一、发明名称</w:t>
      </w:r>
    </w:p>
    <w:p>
      <w:r>
        <w:t>一种面向抗辐射星载载荷处理器的卫星软件交叉构建方法。</w:t>
      </w:r>
    </w:p>
    <w:p>
      <w:pPr>
        <w:pStyle w:val="Heading1"/>
      </w:pPr>
      <w:r>
        <w:t>二、现有技术存在的问题及拟解决的技术问题</w:t>
      </w:r>
    </w:p>
    <w:p>
      <w:r>
        <w:t>卫星任务的软件构建需要面向载荷处理器实际采用的抗辐射目标架构进行组织，而该目标架构可不同于地面开发设备的主机处理器架构。本方案根据卫星任务构建指令确定该目标架构，并使交叉工具链的适用架构以及最终应用文件的执行架构均与抗辐射星载处理器架构一致。</w:t>
      </w:r>
    </w:p>
    <w:p>
      <w:pPr>
        <w:pStyle w:val="Heading1"/>
      </w:pPr>
      <w:r>
        <w:t>三、技术内容：技术解决方案</w:t>
      </w:r>
    </w:p>
    <w:p>
      <w:r>
        <w:t>构建开始时，系统解析载荷任务定义，取得信号处理源代码、遥测接口依赖、算法库以及构建系统信息。依据任务定义中声明的构建规则和信号处理源代码生成卫星软件构建脚本，生成过程还结合交叉编译环境、载荷算法模块、遥测接口和资源配置。任务依赖可缓存在任务配置仓库及构建工作目录中；经验证的历史任务构建记录中已有的依赖也可复用。来自任务配置仓库或历史构建记录的依赖被置入构建工作目录，并提供给隔离构建容器。</w:t>
      </w:r>
    </w:p>
    <w:p>
      <w:r>
        <w:t>系统取得或生成适配目标架构的交叉编译环境，其中包含适用于目标抗辐射星载处理器架构的交叉工具链。一种生成方式是使用与目标星载处理器架构对应的第二项目文件编译编译器文件。若交叉编译环境基于基础文件生成，第二项目文件、编译器依赖及工具链符号链接均适配该目标架构；编译器文件中的符号链接可指向按目标架构配置的工具链组件。</w:t>
      </w:r>
    </w:p>
    <w:p>
      <w:r>
        <w:t>随后建立隔离的构建容器，在容器内利用交叉编译环境和受控依赖集组装星载任务运行环境副本。执行构建脚本之前，先将算法库、遥测接口依赖和运行时文件装配到该运行环境副本。再由交叉编译器在隔离的星载任务运行环境副本内执行卫星软件构建脚本，使信号处理源代码编译为能够在目标星载载荷处理器执行的数据处理应用文件。</w:t>
      </w:r>
    </w:p>
    <w:p>
      <w:pPr>
        <w:pStyle w:val="Heading1"/>
      </w:pPr>
      <w:r>
        <w:t>四、技术内容：技术效果</w:t>
      </w:r>
    </w:p>
    <w:p>
      <w:r>
        <w:t>通过围绕同一抗辐射星载处理器架构配置目标架构、交叉工具链及交付应用文件，软件构建在对应的任务运行环境副本内完成。算法库、遥测接口依赖和运行时文件在脚本执行前已完成装配，构建输入及执行顺序清晰。</w:t>
      </w:r>
    </w:p>
    <w:p>
      <w:pPr>
        <w:pStyle w:val="Heading1"/>
      </w:pPr>
      <w:r>
        <w:t>五、具体实施方式</w:t>
      </w:r>
    </w:p>
    <w:p>
      <w:r>
        <w:t>实施时可按任务解析、工具链准备、脚本生成、运行环境组装和隔离编译的顺序处理。任务解析结果一方面用于生成构建脚本，另一方面用于准备构建工作目录内的依赖；交叉工具链用于创建运行环境副本并执行脚本。输出的数据处理应用文件面向任务构建指令确定的目标架构运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