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一、技术方案概述</w:t>
      </w:r>
    </w:p>
    <w:p>
      <w:r>
        <w:t>本方案面向果园区块内的自主喷洒作业。带喷杆的自主果园喷洒车在同一果园区块的多个喷洒班次中采集行间轨迹、车辆速度和航向、喷洒执行状态以及树冠遮挡观察结果。果园地图和操作人员标注可补充树行、树冠边界及局部障碍物的信息，但用于形成规划依据的观察数据限定来自同一果园区块及其对应喷洒班次，地图和标注仅作为同场景补充。</w:t>
      </w:r>
    </w:p>
    <w:p>
      <w:r>
        <w:t>系统基于同区块、同班次的观察数据学习果园分区和转弯特性。果园分区区分树行作业区域、行端地头区域，以及缺株位置或临时存放障碍物的位置。每个树行作业区域关联对应的树行方向；对应行端区域按满载喷液车辆的学习转弯半径、展开喷杆所需净空和安全边界确定空间大小。行端转弯特性在学习或应用时，车辆均处于喷液满载状态，并反映行端转弯类型、满载最小转弯半径以及展开喷杆的安全净空要求。</w:t>
      </w:r>
    </w:p>
    <w:p>
      <w:pPr>
        <w:pStyle w:val="Heading1"/>
      </w:pPr>
      <w:r>
        <w:t>二、作业路线规划</w:t>
      </w:r>
    </w:p>
    <w:p>
      <w:r>
        <w:t>规划系统结合树行方向、喷洒覆盖顺序和行端转弯净空，确定各树行作业区域的访问安排及行间连接策略。其中，树行分区用于确定行内行驶方向，学习得到的转弯特性用于确定不同树行之间的连接方式，使行内作业与行端连接在同一规划过程中协调。</w:t>
      </w:r>
    </w:p>
    <w:p>
      <w:r>
        <w:t>规划输出果园喷洒作业计划，计划包含车辆行驶路线、各树行对应的喷洒开启位置和关闭位置、行端转弯以及绕障路径。针对每个分区，喷洒宽度、喷洒量设定、树行间距、树冠边缘避让偏好和喷洒模式均结合该分区的树行与行端空间结构配置，并与路线安排保持一致。</w:t>
      </w:r>
    </w:p>
    <w:p>
      <w:r>
        <w:t>当喷洒宽度发生变化或果园内出现障碍物变化时，规划器调整行端空间、分区访问顺序和具体行驶路径。因此，面对树行缺口、临时存放障碍物或喷洒宽度变化，作业计划仍可重新规划并保持可执行。</w:t>
      </w:r>
    </w:p>
    <w:p>
      <w:pPr>
        <w:pStyle w:val="Heading1"/>
      </w:pPr>
      <w:r>
        <w:t>三、喷洒执行</w:t>
      </w:r>
    </w:p>
    <w:p>
      <w:r>
        <w:t>喷洒执行单元按照作业计划沿规划的树行路线控制喷液输送。由此，车辆在避开已识别障碍物的同时支持树冠覆盖，并对喷液施加进行受控管理。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