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技术方案交底书</w:t>
      </w:r>
    </w:p>
    <w:p>
      <w:r>
        <w:t>发明名称：一种面向患者特异性骨科植入物及术前截骨导板的CT放行检验规划方法、系统及放行记录流程。</w:t>
      </w:r>
    </w:p>
    <w:p>
      <w:pPr>
        <w:pStyle w:val="Heading1"/>
      </w:pPr>
      <w:r>
        <w:t>现有技术（背景技术）</w:t>
      </w:r>
    </w:p>
    <w:p>
      <w:r>
        <w:t>本方案面向待放行的患者特异性骨科植入物和术前截骨导板。放行检验关注的对象包括螺钉孔、定位销孔、骨接触面及截骨槽。规划输入为已经批准的CAD版本、患者配型标识和装配公差信息。</w:t>
      </w:r>
    </w:p>
    <w:p>
      <w:r>
        <w:t>不同检验特征对应不同的孔位位置度、骨接触面轮廓度或截骨槽宽度公差。因此，规划时针对各项特征分别确定测量精度、体素尺寸、最低测量放大倍率以及重建空间。任一特征采用的最低测量放大倍率不得低于根据该特征对应装配公差和所需体素尺寸确定的倍率。</w:t>
      </w:r>
    </w:p>
    <w:p>
      <w:pPr>
        <w:pStyle w:val="Heading1"/>
      </w:pPr>
      <w:r>
        <w:t>现有技术问题及拟解决问题</w:t>
      </w:r>
    </w:p>
    <w:p>
      <w:r>
        <w:t>需要在不降低各项装配公差对应测量分辨率的前提下，识别可以共用一次扫描和一份体数据的兼容检验特征；同时，关键导向特征的质控应按术中装配的重要次序优先完成，以支持术前放行。</w:t>
      </w:r>
    </w:p>
    <w:p>
      <w:pPr>
        <w:pStyle w:val="Heading1"/>
      </w:pPr>
      <w:r>
        <w:t>发明目的</w:t>
      </w:r>
    </w:p>
    <w:p>
      <w:r>
        <w:t>本方案通过联合规划放大倍率和重建空间，使同组兼容特征在满足测量分辨率条件时共享一次CT扫描取得的体数据，减少扫描次数以及重复重建体数据的数量，并按术中装配顺序优先完成影响术中定位的导向特征检验。</w:t>
      </w:r>
    </w:p>
    <w:p>
      <w:pPr>
        <w:pStyle w:val="Heading1"/>
      </w:pPr>
      <w:r>
        <w:t>技术解决方案</w:t>
      </w:r>
    </w:p>
    <w:p>
      <w:r>
        <w:t>一、特征分组。先从尚未分组的骨科检验特征中选取首个特征作为基准特征，按该基准特征的最低测量放大倍率和重建空间建立候选特征组。随后依次考察其余未分组特征，判断在统一的组放大倍率下能否仍由同一重建空间覆盖；满足条件的特征并入该候选组。</w:t>
      </w:r>
    </w:p>
    <w:p>
      <w:r>
        <w:t>分组过程中的判定规则如下：组放大倍率取当前组放大倍率与待验证特征最低测量放大倍率中的较高值；每当统一或提高组放大倍率，均依据该倍率对应的重建空间重新核对骨接触面、截骨槽和孔位的空间覆盖关系。只有统一后的组放大倍率满足待验证特征的测量精度，且该特征处于组重建空间内，才允许其与基准特征归入同一组。</w:t>
      </w:r>
    </w:p>
    <w:p>
      <w:r>
        <w:t>二、扫描位置确定。对每个完成的特征组确定一个CT扫描位置，并在CT位移机构的行程边界内，将该组全部检验特征的空间重心定位到重建空间中心附近。一个完成的特征组对应一个CT扫描位置和一份共享体数据，组内全部检验特征均在这份共享体数据中完成测量。</w:t>
      </w:r>
    </w:p>
    <w:p>
      <w:r>
        <w:t>三、执行次序。将各CT扫描位置按照术中装配顺序进行编排，使影响术中定位的关键导向特征优先进入放行检验环节。</w:t>
      </w:r>
    </w:p>
    <w:p>
      <w:r>
        <w:t>四、扫描与测量。CT装置包括射线源、探测器、旋转载台、位移机构、控制器以及运行自动规划程序的计算设备。控制器按计划扫描位置控制待放行对象旋转照射并采集投影图像数据；再根据每个扫描位置的投影图像数据重建对应共享体数据，在共享体数据内测量相应特征组的孔位、骨接触面或截骨槽。</w:t>
      </w:r>
    </w:p>
    <w:p>
      <w:r>
        <w:t>五、追溯闭环。骨科手术器械追溯系统向CT规划计算设备传送CAD版本、患者配型标识和质控项目，并接收测量结果。进入该流程的CAD版本、患者配型标识和质控项目应对应同一待放行的患者特异性骨科器械；测量结果回写至追溯系统，形成放行记录。</w:t>
      </w:r>
    </w:p>
    <w:p>
      <w:pPr>
        <w:pStyle w:val="Heading1"/>
      </w:pPr>
      <w:r>
        <w:t>技术效果</w:t>
      </w:r>
    </w:p>
    <w:p>
      <w:r>
        <w:t>采用上述规划后，同组兼容特征能够在各自装配公差要求的测量分辨率内共用一次CT扫描获得的体数据。分组时同时受放大倍率与重建空间约束，可减少CT扫描及重复重建体数据；按术中装配顺序执行时，关键导向特征优先完成质控，为患者特异性骨科器械的术前放行提供支持。</w:t>
      </w:r>
    </w:p>
    <w:p>
      <w:pPr>
        <w:pStyle w:val="Heading1"/>
      </w:pPr>
      <w:r>
        <w:t>具体实施方式</w:t>
      </w:r>
    </w:p>
    <w:p>
      <w:r>
        <w:t>在一次规划中，先读取同一待放行器械对应的批准CAD版本、患者配型标识、装配公差信息和质控项目，列出螺钉孔、定位销孔、骨接触面及截骨槽等目标检验特征。对每项特征确定其测量精度、体素尺寸、最低放大倍率和重建空间。以未分组特征建立候选组时，先满足基准特征的最低放大倍率，再逐项提高到必要的较高倍率并重新核对覆盖范围；不同时具备精度满足和位于组重建空间内这两个条件的特征，保留在后续分组处理中。</w:t>
      </w:r>
    </w:p>
    <w:p>
      <w:r>
        <w:t>各特征组完成后，在位移机构行程边界内安排相应扫描位置，使组内特征的空间重心靠近该组重建空间中心。按照术中装配顺序执行各位置，CT装置在每个位置完成旋转照射和投影采集，重建共享体数据后测量组内特征。测量结果经CT规划计算设备返回追溯系统并写入放行记录，由此完成与同一患者特异性骨科器械相对应的检验闭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