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技术方案交底书</w:t>
      </w:r>
    </w:p>
    <w:p>
      <w:r>
        <w:t>本交底涉及天然气合成氨—尿素联合装置的合成气扩能及其下游联产处理工艺。</w:t>
      </w:r>
    </w:p>
    <w:p>
      <w:pPr>
        <w:pStyle w:val="Heading1"/>
      </w:pPr>
      <w:r>
        <w:t>发明名称</w:t>
      </w:r>
    </w:p>
    <w:p>
      <w:r>
        <w:t>一种在天然气合成氨—尿素装置中设置并联催化部分氧化支路的扩能工艺。</w:t>
      </w:r>
    </w:p>
    <w:p>
      <w:pPr>
        <w:pStyle w:val="Heading1"/>
      </w:pPr>
      <w:r>
        <w:t>现有技术（背景技术）</w:t>
      </w:r>
    </w:p>
    <w:p>
      <w:r>
        <w:t>现有天然气合成氨—尿素装置通常由蒸汽转化炉和自热转化炉向后续合成氨及尿素单元供给合成气。蒸汽转化炉的催化剂管在超过1000℃的长期运行后可能老化，产气能力随之下降；在这类情况下，装置增产会受到原蒸汽转化能力的限制。</w:t>
      </w:r>
    </w:p>
    <w:p>
      <w:pPr>
        <w:pStyle w:val="Heading1"/>
      </w:pPr>
      <w:r>
        <w:t>发明内容</w:t>
      </w:r>
    </w:p>
    <w:p>
      <w:r>
        <w:t>扩能时，在蒸汽转化炉和自热转化炉之外配置一条并联的催化部分氧化反应支路。该支路形成新增合成气，不需使新增产气再经过原蒸汽转化炉，因此可用于补偿老化蒸汽转化炉的能力损失，并提高尿素产量。新增支路向下游合成氨和尿素单元提供增量氢气及回收二氧化碳。</w:t>
      </w:r>
    </w:p>
    <w:p>
      <w:pPr>
        <w:pStyle w:val="Heading1"/>
      </w:pPr>
      <w:r>
        <w:t>前提准备条件</w:t>
      </w:r>
    </w:p>
    <w:p>
      <w:r>
        <w:t>可设置空分装置：其氧气用于催化部分氧化，氮气供给合成氨反应。</w:t>
      </w:r>
    </w:p>
    <w:p>
      <w:pPr>
        <w:pStyle w:val="Heading1"/>
      </w:pPr>
      <w:r>
        <w:t>具体步骤</w:t>
      </w:r>
    </w:p>
    <w:p>
      <w:r>
        <w:t>1. 从烃类原料、蒸汽和富氧气流中各引出一部分送入催化部分氧化支路。在该反应器内，烃类原料、蒸汽和富氧气流转化为含CO、H2和CO2的合成气。进料蒸汽碳比为0.3～1.0，优选0.4～0.6；氧碳比为0.3～1.0，优选0.5～0.7。富氧气流的氧含量至少为40%，优选至少为60%，氧气纯度为90%～100%。反应器出口气体温度为800℃～1200℃，优选900℃～1050℃。</w:t>
      </w:r>
    </w:p>
    <w:p>
      <w:r>
        <w:t>2. 催化部分氧化出口气体直接以水急冷，再进入独立的水煤气变换段。原蒸汽转化炉和自热转化炉产生的原有转化气则在另一水煤气变换段处理；两股气体在变换完成前保持分开。各自的变换过程中，CO与水反应生成额外的H2和CO2。</w:t>
      </w:r>
    </w:p>
    <w:p>
      <w:r>
        <w:t>3. 两股完成变换的气体混合后进入Selexol物理吸收段，从富氢工艺气中脱除CO2。吸收得到的CO2气流送往尿素生成单元。富氢工艺气经变压吸附纯化后用于合成氨；变压吸附尾气可回流至催化部分氧化支路。</w:t>
      </w:r>
    </w:p>
    <w:p>
      <w:r>
        <w:t>4. 变压吸附纯化得到的氢气与空分装置提供的氮气反应生成氨。生成的氨再与Selexol物理吸收回收的CO2气流在尿素生成条件下反应。工艺气中回收CO2直接提供尿素碳源，无需另建烟气CO2捕集设施。</w:t>
      </w:r>
    </w:p>
    <w:p>
      <w:pPr>
        <w:pStyle w:val="Heading1"/>
      </w:pPr>
      <w:r>
        <w:t>具体实施例（示例）</w:t>
      </w:r>
    </w:p>
    <w:p>
      <w:r>
        <w:t>一套既有天然气合成氨—尿素装置保留原蒸汽转化炉、自热转化炉及后续合成氨、尿素单元。在前端增设催化部分氧化反应器，按上述比例向其供入部分烃类原料、蒸汽和富氧气流。该支路气体急冷并单独变换，原有转化气同步在原有变换路径处理；二者在变换后汇合，经Selexol物理吸收和变压吸附处理。纯化氢气与氮气合成氨，回收CO2与氨进入尿素生成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