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技术方案交底书</w:t>
      </w:r>
    </w:p>
    <w:p>
      <w:r>
        <w:t>发明名称：一种面向历史临床协作安全邮件的分流检索方法及系统。</w:t>
      </w:r>
    </w:p>
    <w:p>
      <w:pPr>
        <w:pStyle w:val="Heading1"/>
      </w:pPr>
      <w:r>
        <w:t>现有技术（背景技术）</w:t>
      </w:r>
    </w:p>
    <w:p>
      <w:r>
        <w:t>院内临床协作过程会形成按科室、患者诊疗阶段和消息箱分类的安全邮件目录。授权医护人员需要围绕医嘱协作关键词、会诊主题或患者标识等搜索字符串回溯相关邮件时，目录中的历史邮件量存在较大差异，因此检索处理方式需要兼顾大范围检索效率和实时临床消息业务的资源需求。</w:t>
      </w:r>
    </w:p>
    <w:p>
      <w:pPr>
        <w:pStyle w:val="Heading1"/>
      </w:pPr>
      <w:r>
        <w:t>发明目的</w:t>
      </w:r>
    </w:p>
    <w:p>
      <w:r>
        <w:t>本方案用于在大规模历史安全邮件范围内提升临床协作消息检索效率；同时，对于小规模范围避免引入并发任务管理开销，并通过与节点CPU核数相适配的线程池配置，避免过度占用院内消息服务节点资源而影响实时临床消息业务。</w:t>
      </w:r>
    </w:p>
    <w:p>
      <w:pPr>
        <w:pStyle w:val="Heading1"/>
      </w:pPr>
      <w:r>
        <w:t>技术解决方案</w:t>
      </w:r>
    </w:p>
    <w:p>
      <w:r>
        <w:t>（1）请求与范围确定：系统接收授权医护人员发起的历史临床协作安全邮件检索请求，从请求中确定搜索字符串及该人员被授权访问的安全邮件目录。检索范围由该人员选定，可跨科室、患者诊疗阶段和消息箱进行组织。</w:t>
      </w:r>
    </w:p>
    <w:p>
      <w:r>
        <w:t>（2）检索路径分流：系统统计选定安全邮件目录内的邮件总量N，据此选择处理路径。当N大于6000封时，进入多线程检索路径；当N不大于6000封时，进入普通检索路径。普通检索路径按安全邮件目录逐封执行检索，适用于较小的邮件范围。</w:t>
      </w:r>
    </w:p>
    <w:p>
      <w:r>
        <w:t>（3）任务形成与并发配置：在多线程检索路径中，系统根据各科室或诊疗阶段安全邮件目录内的邮件数量形成一个或多个任务对象。单个目录的邮件数大于500封时，每500封构成一个任务对象，尾部不足500封的邮件另构成一个任务对象；邮件数不大于500封时，该目录的全部邮件构成一个任务对象。院内消息服务节点创建线程池处理这些任务对象，线程池大小K按节点CPU核数M确定为K=M/2，且K至少为1；该配置为实时临床消息投递预留处理资源。</w:t>
      </w:r>
    </w:p>
    <w:p>
      <w:r>
        <w:t>（4）匹配和汇集：线程池内的线程采用搜索字符串处理相应任务对象，对安全邮件的发件人、收件人、主题和正文进行匹配。上述任一项包含搜索字符串时，该邮件被确定为目标邮件并保存至临床协作检索结果对象。系统汇集各任务对象识别出的目标安全邮件，生成临床协作检索结果列表。</w:t>
      </w:r>
    </w:p>
    <w:p>
      <w:pPr>
        <w:pStyle w:val="Heading1"/>
      </w:pPr>
      <w:r>
        <w:t>技术效果</w:t>
      </w:r>
    </w:p>
    <w:p>
      <w:r>
        <w:t>当邮件总量超过6000封时，按目录规模拆分任务并利用线程池并发处理，使大规模历史安全邮件检索获得更高的临床协作消息检索效率。在线程数量按K=M/2且最小为1的条件下，消息服务节点还保有用于实时临床消息投递的处理资源。相对地，N不大于6000封时逐封检索，不增加小规模范围的并发任务管理开销。</w:t>
      </w:r>
    </w:p>
    <w:p>
      <w:pPr>
        <w:pStyle w:val="Heading1"/>
      </w:pPr>
      <w:r>
        <w:t>具体实施方式</w:t>
      </w:r>
    </w:p>
    <w:p>
      <w:r>
        <w:t>实施时，授权医护人员提交检索请求并选择安全邮件目录，系统提取搜索字符串后先统计N。若N大于6000封，系统按每个目录的邮件数形成任务对象并交由线程池检索；线程完成匹配后将命中邮件汇集为结果列表。若N不大于6000封，系统在各目录中逐封检索，再汇集目标邮件。结果列表按科室、诊疗阶段和消息时间呈现，使授权医护人员能够结合临床上下文追溯临床协作邮件。</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