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4C51" w14:textId="202C94B6" w:rsidR="00A441EB" w:rsidRDefault="0075255A" w:rsidP="0075255A">
      <w:pPr>
        <w:pStyle w:val="Heading2"/>
        <w:jc w:val="both"/>
      </w:pPr>
      <w:r>
        <w:t>Research questions</w:t>
      </w:r>
    </w:p>
    <w:p w14:paraId="3FC94D53" w14:textId="6D0BA5DF" w:rsidR="0075255A" w:rsidRPr="0075255A" w:rsidRDefault="0075255A" w:rsidP="0075255A">
      <w:pPr>
        <w:jc w:val="both"/>
        <w:rPr>
          <w:rFonts w:cs="Segoe UI"/>
          <w:szCs w:val="24"/>
        </w:rPr>
      </w:pPr>
      <w:r w:rsidRPr="0075255A">
        <w:rPr>
          <w:rFonts w:cs="Segoe UI"/>
          <w:szCs w:val="24"/>
        </w:rPr>
        <w:t xml:space="preserve">The main research question follows from the problem statement, knowledge gaps and project objective. </w:t>
      </w:r>
    </w:p>
    <w:p w14:paraId="5C60A1F3" w14:textId="38F7098D" w:rsidR="0075255A" w:rsidRDefault="0075255A" w:rsidP="0075255A">
      <w:pPr>
        <w:jc w:val="center"/>
        <w:rPr>
          <w:rFonts w:cs="Segoe UI"/>
          <w:b/>
          <w:bCs/>
          <w:i/>
          <w:iCs/>
          <w:szCs w:val="24"/>
        </w:rPr>
      </w:pPr>
      <w:r w:rsidRPr="0075255A">
        <w:rPr>
          <w:rFonts w:cs="Segoe UI"/>
          <w:b/>
          <w:bCs/>
          <w:i/>
          <w:iCs/>
          <w:szCs w:val="24"/>
        </w:rPr>
        <w:t>What is the supply chain resilience of Cobalt?</w:t>
      </w:r>
    </w:p>
    <w:p w14:paraId="279D8043" w14:textId="30144BB6" w:rsidR="0075255A" w:rsidRPr="001550EF" w:rsidRDefault="0075255A" w:rsidP="0075255A">
      <w:pPr>
        <w:rPr>
          <w:b/>
          <w:bCs/>
        </w:rPr>
      </w:pPr>
      <w:r w:rsidRPr="001550EF">
        <w:rPr>
          <w:b/>
          <w:bCs/>
        </w:rPr>
        <w:t>What is resilience?</w:t>
      </w:r>
    </w:p>
    <w:p w14:paraId="15A9414A" w14:textId="6FE5E852" w:rsidR="0075255A" w:rsidRDefault="0075255A" w:rsidP="0075255A">
      <w:pPr>
        <w:pStyle w:val="BodyText"/>
        <w:spacing w:before="159"/>
        <w:ind w:right="136"/>
        <w:jc w:val="both"/>
        <w:rPr>
          <w:szCs w:val="24"/>
        </w:rPr>
      </w:pPr>
      <w:r w:rsidRPr="003F04FC">
        <w:rPr>
          <w:szCs w:val="24"/>
        </w:rPr>
        <w:t xml:space="preserve"> “The adaptive capability of a supply chain to reduce</w:t>
      </w:r>
      <w:r w:rsidRPr="003F04FC">
        <w:rPr>
          <w:spacing w:val="1"/>
          <w:szCs w:val="24"/>
        </w:rPr>
        <w:t xml:space="preserve"> </w:t>
      </w:r>
      <w:r w:rsidRPr="003F04FC">
        <w:rPr>
          <w:szCs w:val="24"/>
        </w:rPr>
        <w:t>the probability of facing sudden disturbances, resist the spread of disturbances by maintaining</w:t>
      </w:r>
      <w:r w:rsidRPr="003F04FC">
        <w:rPr>
          <w:spacing w:val="1"/>
          <w:szCs w:val="24"/>
        </w:rPr>
        <w:t xml:space="preserve"> </w:t>
      </w:r>
      <w:r w:rsidRPr="003F04FC">
        <w:rPr>
          <w:szCs w:val="24"/>
        </w:rPr>
        <w:t>control over structures and functions, and recover and respond by immediate and effective</w:t>
      </w:r>
      <w:r w:rsidRPr="003F04FC">
        <w:rPr>
          <w:spacing w:val="1"/>
          <w:szCs w:val="24"/>
        </w:rPr>
        <w:t xml:space="preserve"> </w:t>
      </w:r>
      <w:r w:rsidRPr="003F04FC">
        <w:rPr>
          <w:szCs w:val="24"/>
        </w:rPr>
        <w:t>reactive plans to transcend the disturbance and restore the supply chain to a robust state of</w:t>
      </w:r>
      <w:r w:rsidRPr="003F04FC">
        <w:rPr>
          <w:spacing w:val="1"/>
          <w:szCs w:val="24"/>
        </w:rPr>
        <w:t xml:space="preserve"> </w:t>
      </w:r>
      <w:r w:rsidRPr="003F04FC">
        <w:rPr>
          <w:szCs w:val="24"/>
        </w:rPr>
        <w:t>operations” (</w:t>
      </w:r>
      <w:proofErr w:type="spellStart"/>
      <w:r w:rsidRPr="003F04FC">
        <w:rPr>
          <w:szCs w:val="24"/>
        </w:rPr>
        <w:t>Kamalahmadi</w:t>
      </w:r>
      <w:proofErr w:type="spellEnd"/>
      <w:r w:rsidRPr="003F04FC">
        <w:rPr>
          <w:spacing w:val="-1"/>
          <w:szCs w:val="24"/>
        </w:rPr>
        <w:t xml:space="preserve"> </w:t>
      </w:r>
      <w:r w:rsidRPr="003F04FC">
        <w:rPr>
          <w:szCs w:val="24"/>
        </w:rPr>
        <w:t xml:space="preserve">&amp; </w:t>
      </w:r>
      <w:proofErr w:type="spellStart"/>
      <w:r w:rsidRPr="003F04FC">
        <w:rPr>
          <w:szCs w:val="24"/>
        </w:rPr>
        <w:t>Parast</w:t>
      </w:r>
      <w:proofErr w:type="spellEnd"/>
      <w:r w:rsidRPr="003F04FC">
        <w:rPr>
          <w:szCs w:val="24"/>
        </w:rPr>
        <w:t>, 2016).</w:t>
      </w:r>
    </w:p>
    <w:p w14:paraId="620E864D" w14:textId="7A7D48EE" w:rsidR="00805C49" w:rsidRDefault="00805C49" w:rsidP="0075255A">
      <w:pPr>
        <w:pStyle w:val="BodyText"/>
        <w:spacing w:before="159"/>
        <w:ind w:right="136"/>
        <w:jc w:val="both"/>
        <w:rPr>
          <w:b/>
          <w:bCs/>
          <w:szCs w:val="24"/>
        </w:rPr>
      </w:pPr>
      <w:r w:rsidRPr="009B68B2">
        <w:rPr>
          <w:b/>
          <w:bCs/>
          <w:szCs w:val="24"/>
        </w:rPr>
        <w:t>Data</w:t>
      </w:r>
    </w:p>
    <w:p w14:paraId="3363CFE4" w14:textId="5AF343DE" w:rsidR="009B68B2" w:rsidRDefault="009B68B2" w:rsidP="0075255A">
      <w:pPr>
        <w:pStyle w:val="BodyText"/>
        <w:spacing w:before="159"/>
        <w:ind w:right="136"/>
        <w:jc w:val="both"/>
        <w:rPr>
          <w:bCs/>
          <w:szCs w:val="24"/>
        </w:rPr>
      </w:pPr>
      <w:r w:rsidRPr="009B68B2">
        <w:rPr>
          <w:bCs/>
          <w:szCs w:val="24"/>
        </w:rPr>
        <w:t>PANORAMA</w:t>
      </w:r>
    </w:p>
    <w:p w14:paraId="417F7424" w14:textId="04934923" w:rsidR="009B68B2" w:rsidRPr="009B68B2" w:rsidRDefault="009B68B2" w:rsidP="0075255A">
      <w:pPr>
        <w:pStyle w:val="BodyText"/>
        <w:spacing w:before="159"/>
        <w:ind w:right="136"/>
        <w:jc w:val="both"/>
        <w:rPr>
          <w:bCs/>
          <w:szCs w:val="24"/>
        </w:rPr>
      </w:pPr>
      <w:r>
        <w:rPr>
          <w:bCs/>
          <w:szCs w:val="24"/>
        </w:rPr>
        <w:t xml:space="preserve">Cobalt paper </w:t>
      </w:r>
      <w:proofErr w:type="gramStart"/>
      <w:r>
        <w:rPr>
          <w:bCs/>
          <w:szCs w:val="24"/>
        </w:rPr>
        <w:t>excel</w:t>
      </w:r>
      <w:proofErr w:type="gramEnd"/>
      <w:r>
        <w:rPr>
          <w:bCs/>
          <w:szCs w:val="24"/>
        </w:rPr>
        <w:t xml:space="preserve"> sheet (compilation of many different sources)</w:t>
      </w:r>
    </w:p>
    <w:p w14:paraId="76BDC4CD" w14:textId="005601BE" w:rsidR="00805C49" w:rsidRDefault="00805C49" w:rsidP="00805C49">
      <w:pPr>
        <w:pStyle w:val="Heading1"/>
        <w:shd w:val="clear" w:color="auto" w:fill="FFFFFF"/>
        <w:spacing w:before="0" w:line="390" w:lineRule="atLeast"/>
        <w:rPr>
          <w:szCs w:val="24"/>
        </w:rPr>
      </w:pPr>
      <w:commentRangeStart w:id="0"/>
      <w:r>
        <w:rPr>
          <w:rFonts w:ascii="Arial" w:hAnsi="Arial" w:cs="Arial"/>
          <w:color w:val="333333"/>
          <w:sz w:val="21"/>
          <w:szCs w:val="21"/>
        </w:rPr>
        <w:t>Cobalt ores and concentrates exports by country</w:t>
      </w:r>
      <w:r>
        <w:rPr>
          <w:rFonts w:ascii="Helvetica" w:hAnsi="Helvetica"/>
          <w:b/>
          <w:bCs/>
          <w:color w:val="333333"/>
          <w:sz w:val="21"/>
          <w:szCs w:val="21"/>
          <w:shd w:val="clear" w:color="auto" w:fill="FFFFFF"/>
        </w:rPr>
        <w:t> (in 2019)</w:t>
      </w:r>
      <w:commentRangeEnd w:id="0"/>
      <w:r>
        <w:rPr>
          <w:rStyle w:val="CommentReference"/>
          <w:rFonts w:ascii="Segoe UI" w:eastAsiaTheme="minorHAnsi" w:hAnsi="Segoe UI" w:cstheme="minorBidi"/>
          <w:color w:val="auto"/>
        </w:rPr>
        <w:commentReference w:id="0"/>
      </w:r>
    </w:p>
    <w:p w14:paraId="78363C9D" w14:textId="2F7175E7" w:rsidR="0075255A" w:rsidRDefault="0075255A" w:rsidP="0075255A">
      <w:pPr>
        <w:rPr>
          <w:b/>
          <w:bCs/>
        </w:rPr>
      </w:pPr>
      <w:r w:rsidRPr="001550EF">
        <w:rPr>
          <w:b/>
          <w:bCs/>
        </w:rPr>
        <w:t>How do we measure resilience?</w:t>
      </w:r>
    </w:p>
    <w:p w14:paraId="2EC4F430" w14:textId="7186D0AC" w:rsidR="001550EF" w:rsidRDefault="001550EF" w:rsidP="0075255A">
      <w:r w:rsidRPr="001550EF">
        <w:t xml:space="preserve">Resilience will be measured based on </w:t>
      </w:r>
      <w:r>
        <w:t>the network configurations of efficiency and redundancy</w:t>
      </w:r>
    </w:p>
    <w:p w14:paraId="3F5B901B" w14:textId="4EE96F22" w:rsidR="009B68B2" w:rsidRDefault="009B68B2" w:rsidP="001550EF">
      <w:pPr>
        <w:pStyle w:val="ListParagraph"/>
        <w:numPr>
          <w:ilvl w:val="0"/>
          <w:numId w:val="2"/>
        </w:numPr>
      </w:pPr>
      <w:r>
        <w:t>ENA</w:t>
      </w:r>
      <w:r w:rsidR="00650753">
        <w:t xml:space="preserve"> – examine redundancy and independence</w:t>
      </w:r>
    </w:p>
    <w:p w14:paraId="1F4A2011" w14:textId="66C48AAB" w:rsidR="009B68B2" w:rsidRDefault="009B68B2" w:rsidP="009B68B2">
      <w:pPr>
        <w:pStyle w:val="ListParagraph"/>
        <w:numPr>
          <w:ilvl w:val="1"/>
          <w:numId w:val="2"/>
        </w:numPr>
      </w:pPr>
      <w:r>
        <w:t>Calculating the alpha value – efficiency and redundancy of SC by primary + semi-refined material</w:t>
      </w:r>
    </w:p>
    <w:p w14:paraId="79EADC80" w14:textId="3C9F4B68" w:rsidR="009B68B2" w:rsidRDefault="009B68B2" w:rsidP="009B68B2">
      <w:pPr>
        <w:pStyle w:val="ListParagraph"/>
        <w:numPr>
          <w:ilvl w:val="1"/>
          <w:numId w:val="2"/>
        </w:numPr>
      </w:pPr>
      <w:r>
        <w:t>Calculating independence - of SC by primary + semi-refined material</w:t>
      </w:r>
    </w:p>
    <w:p w14:paraId="54CE75D6" w14:textId="14D3E021" w:rsidR="001550EF" w:rsidRPr="009B68B2" w:rsidRDefault="001550EF" w:rsidP="009B68B2">
      <w:pPr>
        <w:pStyle w:val="ListParagraph"/>
        <w:numPr>
          <w:ilvl w:val="1"/>
          <w:numId w:val="2"/>
        </w:numPr>
        <w:rPr>
          <w:i/>
          <w:iCs/>
        </w:rPr>
      </w:pPr>
      <w:r w:rsidRPr="009B68B2">
        <w:rPr>
          <w:i/>
          <w:iCs/>
        </w:rPr>
        <w:t>Creating a cobalt network diagram</w:t>
      </w:r>
      <w:r w:rsidR="009B68B2" w:rsidRPr="009B68B2">
        <w:rPr>
          <w:i/>
          <w:iCs/>
        </w:rPr>
        <w:t xml:space="preserve"> – </w:t>
      </w:r>
      <w:commentRangeStart w:id="1"/>
      <w:commentRangeStart w:id="2"/>
      <w:r w:rsidR="009B68B2" w:rsidRPr="009B68B2">
        <w:rPr>
          <w:i/>
          <w:iCs/>
        </w:rPr>
        <w:t>examining the links</w:t>
      </w:r>
      <w:commentRangeEnd w:id="1"/>
      <w:r w:rsidR="00BD665F">
        <w:rPr>
          <w:rStyle w:val="CommentReference"/>
          <w:rFonts w:eastAsiaTheme="minorHAnsi" w:cstheme="minorBidi"/>
        </w:rPr>
        <w:commentReference w:id="1"/>
      </w:r>
      <w:commentRangeEnd w:id="2"/>
      <w:r w:rsidR="00BD665F">
        <w:rPr>
          <w:rStyle w:val="CommentReference"/>
          <w:rFonts w:eastAsiaTheme="minorHAnsi" w:cstheme="minorBidi"/>
        </w:rPr>
        <w:commentReference w:id="2"/>
      </w:r>
    </w:p>
    <w:p w14:paraId="55D3BC97" w14:textId="147252DF" w:rsidR="00380BA1" w:rsidRDefault="00380BA1" w:rsidP="001550EF">
      <w:pPr>
        <w:pStyle w:val="ListParagraph"/>
        <w:numPr>
          <w:ilvl w:val="0"/>
          <w:numId w:val="2"/>
        </w:numPr>
      </w:pPr>
      <w:r>
        <w:t xml:space="preserve">Cox PH </w:t>
      </w:r>
      <w:commentRangeStart w:id="3"/>
      <w:commentRangeStart w:id="4"/>
      <w:r>
        <w:t xml:space="preserve">model </w:t>
      </w:r>
      <w:commentRangeEnd w:id="3"/>
      <w:r>
        <w:rPr>
          <w:rStyle w:val="CommentReference"/>
          <w:rFonts w:eastAsiaTheme="minorHAnsi" w:cstheme="minorBidi"/>
        </w:rPr>
        <w:commentReference w:id="3"/>
      </w:r>
      <w:commentRangeEnd w:id="4"/>
      <w:r>
        <w:rPr>
          <w:rStyle w:val="CommentReference"/>
          <w:rFonts w:eastAsiaTheme="minorHAnsi" w:cstheme="minorBidi"/>
        </w:rPr>
        <w:commentReference w:id="4"/>
      </w:r>
      <w:r w:rsidR="009B68B2">
        <w:t xml:space="preserve">– </w:t>
      </w:r>
      <w:commentRangeStart w:id="5"/>
      <w:r w:rsidR="009B68B2">
        <w:t>survival of the system</w:t>
      </w:r>
      <w:commentRangeEnd w:id="5"/>
      <w:r w:rsidR="009B68B2">
        <w:rPr>
          <w:rStyle w:val="CommentReference"/>
          <w:rFonts w:eastAsiaTheme="minorHAnsi" w:cstheme="minorBidi"/>
        </w:rPr>
        <w:commentReference w:id="5"/>
      </w:r>
    </w:p>
    <w:p w14:paraId="00E1F501" w14:textId="4012CBAD" w:rsidR="009B68B2" w:rsidRDefault="00BD665F" w:rsidP="009B68B2">
      <w:pPr>
        <w:pStyle w:val="ListParagraph"/>
        <w:numPr>
          <w:ilvl w:val="1"/>
          <w:numId w:val="2"/>
        </w:numPr>
      </w:pPr>
      <w:commentRangeStart w:id="6"/>
      <w:r>
        <w:t xml:space="preserve">Disruption types </w:t>
      </w:r>
      <w:commentRangeEnd w:id="6"/>
      <w:r>
        <w:rPr>
          <w:rStyle w:val="CommentReference"/>
          <w:rFonts w:eastAsiaTheme="minorHAnsi" w:cstheme="minorBidi"/>
        </w:rPr>
        <w:commentReference w:id="6"/>
      </w:r>
      <w:r>
        <w:t xml:space="preserve">– </w:t>
      </w:r>
      <w:r w:rsidRPr="00BD665F">
        <w:t>Based on their frequency of occurrence, SC risks that occur regularly are: supply risks, process risks, demand risks, intellectual property risks, behavioral risks, and political/social risks (Tang and Tomlin </w:t>
      </w:r>
      <w:hyperlink r:id="rId10" w:anchor="ref-CR128" w:tooltip="Tang, C., &amp; Tomlin, B. (2008). The power of flexibility for mitigating supply chain risks. International Journal of Production Economics, 116(1), 12–27." w:history="1">
        <w:r w:rsidRPr="00BD665F">
          <w:t>2008</w:t>
        </w:r>
      </w:hyperlink>
      <w:r w:rsidRPr="00BD665F">
        <w:t>);</w:t>
      </w:r>
    </w:p>
    <w:p w14:paraId="2C1C920D" w14:textId="14DC85CB" w:rsidR="00D43F38" w:rsidRDefault="00D43F38" w:rsidP="009B68B2">
      <w:pPr>
        <w:pStyle w:val="ListParagraph"/>
        <w:numPr>
          <w:ilvl w:val="1"/>
          <w:numId w:val="2"/>
        </w:numPr>
      </w:pPr>
      <w:r>
        <w:t xml:space="preserve">Coding using R: </w:t>
      </w:r>
      <w:hyperlink r:id="rId11" w:history="1">
        <w:r w:rsidRPr="00A5291D">
          <w:rPr>
            <w:rStyle w:val="Hyperlink"/>
          </w:rPr>
          <w:t>http://www.sthda.com/english/wiki/cox-proportional-hazards-model</w:t>
        </w:r>
      </w:hyperlink>
      <w:r>
        <w:t xml:space="preserve"> </w:t>
      </w:r>
    </w:p>
    <w:p w14:paraId="3FF7F4E7" w14:textId="50E8D189" w:rsidR="00BD665F" w:rsidRDefault="00BD665F" w:rsidP="002F502A">
      <w:pPr>
        <w:jc w:val="center"/>
      </w:pPr>
      <w:r>
        <w:rPr>
          <w:noProof/>
        </w:rPr>
        <w:lastRenderedPageBreak/>
        <mc:AlternateContent>
          <mc:Choice Requires="wps">
            <w:drawing>
              <wp:inline distT="0" distB="0" distL="0" distR="0" wp14:anchorId="4B92310C" wp14:editId="1B01D3E0">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DC4A1"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w:drawing>
          <wp:inline distT="0" distB="0" distL="0" distR="0" wp14:anchorId="42939614" wp14:editId="7958BBCC">
            <wp:extent cx="4261899" cy="3497876"/>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9954" cy="3520901"/>
                    </a:xfrm>
                    <a:prstGeom prst="rect">
                      <a:avLst/>
                    </a:prstGeom>
                    <a:noFill/>
                  </pic:spPr>
                </pic:pic>
              </a:graphicData>
            </a:graphic>
          </wp:inline>
        </w:drawing>
      </w:r>
    </w:p>
    <w:p w14:paraId="0EBB6671" w14:textId="77777777" w:rsidR="00BD665F" w:rsidRDefault="00BD665F" w:rsidP="00BD665F">
      <w:commentRangeStart w:id="7"/>
      <w:commentRangeEnd w:id="7"/>
      <w:r>
        <w:rPr>
          <w:rStyle w:val="CommentReference"/>
        </w:rPr>
        <w:commentReference w:id="7"/>
      </w:r>
    </w:p>
    <w:p w14:paraId="036BF555" w14:textId="2169685B" w:rsidR="001550EF" w:rsidRDefault="00DA001D" w:rsidP="001550EF">
      <w:pPr>
        <w:pStyle w:val="ListParagraph"/>
        <w:numPr>
          <w:ilvl w:val="0"/>
          <w:numId w:val="2"/>
        </w:numPr>
      </w:pPr>
      <w:r>
        <w:t>Geopolitical risk calculation</w:t>
      </w:r>
    </w:p>
    <w:p w14:paraId="63D53E14" w14:textId="2A5E9225" w:rsidR="009B68B2" w:rsidRDefault="00E830E2" w:rsidP="009B68B2">
      <w:pPr>
        <w:pStyle w:val="ListParagraph"/>
        <w:numPr>
          <w:ilvl w:val="1"/>
          <w:numId w:val="2"/>
        </w:numPr>
      </w:pPr>
      <w:r>
        <w:t xml:space="preserve">Cobalt mentioned in discussion section of paper: </w:t>
      </w:r>
      <w:hyperlink r:id="rId13" w:history="1">
        <w:r w:rsidRPr="002A2B58">
          <w:rPr>
            <w:rStyle w:val="Hyperlink"/>
          </w:rPr>
          <w:t>https://onlinelibrary.wiley.com/doi/full/10.1111/jiec.12279?casa_token=S_y7J35sWVIAAAAA%3AijySj49Yk_ki6MIE3ED8-fPLl__aFSGOVXYWkBafOTuqKAP25d05FyF1SD-gg0ixigfDli6FpOqFkkQ</w:t>
        </w:r>
      </w:hyperlink>
      <w:r>
        <w:t xml:space="preserve"> </w:t>
      </w:r>
    </w:p>
    <w:p w14:paraId="50B326EA" w14:textId="654F4FC8" w:rsidR="00805C49" w:rsidRDefault="00805C49" w:rsidP="00805C49">
      <w:pPr>
        <w:pStyle w:val="ListParagraph"/>
        <w:ind w:left="720" w:firstLine="0"/>
      </w:pPr>
      <w:r>
        <w:rPr>
          <w:noProof/>
        </w:rPr>
        <w:lastRenderedPageBreak/>
        <w:drawing>
          <wp:inline distT="0" distB="0" distL="0" distR="0" wp14:anchorId="11DD1072" wp14:editId="68CCAFE4">
            <wp:extent cx="3447699" cy="4257687"/>
            <wp:effectExtent l="0" t="0" r="63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stretch>
                      <a:fillRect/>
                    </a:stretch>
                  </pic:blipFill>
                  <pic:spPr>
                    <a:xfrm>
                      <a:off x="0" y="0"/>
                      <a:ext cx="3447961" cy="4258010"/>
                    </a:xfrm>
                    <a:prstGeom prst="rect">
                      <a:avLst/>
                    </a:prstGeom>
                  </pic:spPr>
                </pic:pic>
              </a:graphicData>
            </a:graphic>
          </wp:inline>
        </w:drawing>
      </w:r>
    </w:p>
    <w:p w14:paraId="2EB4A38B" w14:textId="77777777" w:rsidR="003138C8" w:rsidRDefault="003138C8" w:rsidP="00805C49">
      <w:pPr>
        <w:pStyle w:val="ListParagraph"/>
        <w:ind w:left="720" w:firstLine="0"/>
      </w:pPr>
    </w:p>
    <w:p w14:paraId="5D436781" w14:textId="1A4D09BC" w:rsidR="003138C8" w:rsidRDefault="003138C8" w:rsidP="00805C49">
      <w:pPr>
        <w:pStyle w:val="ListParagraph"/>
        <w:ind w:left="720" w:firstLine="0"/>
      </w:pPr>
      <w:r w:rsidRPr="003138C8">
        <w:rPr>
          <w:noProof/>
        </w:rPr>
        <w:drawing>
          <wp:inline distT="0" distB="0" distL="0" distR="0" wp14:anchorId="187B3C74" wp14:editId="4ACAE8BC">
            <wp:extent cx="5462627" cy="3176611"/>
            <wp:effectExtent l="0" t="0" r="5080" b="508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a:stretch>
                      <a:fillRect/>
                    </a:stretch>
                  </pic:blipFill>
                  <pic:spPr>
                    <a:xfrm>
                      <a:off x="0" y="0"/>
                      <a:ext cx="5462627" cy="3176611"/>
                    </a:xfrm>
                    <a:prstGeom prst="rect">
                      <a:avLst/>
                    </a:prstGeom>
                  </pic:spPr>
                </pic:pic>
              </a:graphicData>
            </a:graphic>
          </wp:inline>
        </w:drawing>
      </w:r>
    </w:p>
    <w:p w14:paraId="32E9C7D0" w14:textId="77777777" w:rsidR="008524B3" w:rsidRDefault="008524B3"/>
    <w:p w14:paraId="55DE9688" w14:textId="58EC2436" w:rsidR="008524B3" w:rsidRDefault="008524B3" w:rsidP="008524B3"/>
    <w:tbl>
      <w:tblPr>
        <w:tblStyle w:val="TableGrid"/>
        <w:tblW w:w="0" w:type="auto"/>
        <w:tblLook w:val="04A0" w:firstRow="1" w:lastRow="0" w:firstColumn="1" w:lastColumn="0" w:noHBand="0" w:noVBand="1"/>
      </w:tblPr>
      <w:tblGrid>
        <w:gridCol w:w="2901"/>
        <w:gridCol w:w="4474"/>
        <w:gridCol w:w="1975"/>
      </w:tblGrid>
      <w:tr w:rsidR="003138C8" w14:paraId="4917E22F" w14:textId="77777777" w:rsidTr="00265BB9">
        <w:tc>
          <w:tcPr>
            <w:tcW w:w="2901" w:type="dxa"/>
          </w:tcPr>
          <w:p w14:paraId="1038A6E8" w14:textId="22C590B2" w:rsidR="003138C8" w:rsidRDefault="003138C8" w:rsidP="0075255A">
            <w:pPr>
              <w:rPr>
                <w:b/>
                <w:bCs/>
              </w:rPr>
            </w:pPr>
            <w:r>
              <w:rPr>
                <w:b/>
                <w:bCs/>
              </w:rPr>
              <w:lastRenderedPageBreak/>
              <w:t>Research Questions</w:t>
            </w:r>
          </w:p>
        </w:tc>
        <w:tc>
          <w:tcPr>
            <w:tcW w:w="4474" w:type="dxa"/>
          </w:tcPr>
          <w:p w14:paraId="728C919D" w14:textId="028700DC" w:rsidR="003138C8" w:rsidRDefault="003138C8" w:rsidP="0075255A">
            <w:pPr>
              <w:rPr>
                <w:b/>
                <w:bCs/>
              </w:rPr>
            </w:pPr>
            <w:r>
              <w:rPr>
                <w:b/>
                <w:bCs/>
              </w:rPr>
              <w:t>Method</w:t>
            </w:r>
          </w:p>
        </w:tc>
        <w:tc>
          <w:tcPr>
            <w:tcW w:w="1975" w:type="dxa"/>
          </w:tcPr>
          <w:p w14:paraId="15BB2F72" w14:textId="5B646015" w:rsidR="003138C8" w:rsidRDefault="003138C8" w:rsidP="0075255A">
            <w:pPr>
              <w:rPr>
                <w:b/>
                <w:bCs/>
              </w:rPr>
            </w:pPr>
            <w:r>
              <w:rPr>
                <w:b/>
                <w:bCs/>
              </w:rPr>
              <w:t>Tools</w:t>
            </w:r>
          </w:p>
        </w:tc>
      </w:tr>
      <w:tr w:rsidR="003138C8" w:rsidRPr="007905F4" w14:paraId="6964F815" w14:textId="77777777" w:rsidTr="00265BB9">
        <w:tc>
          <w:tcPr>
            <w:tcW w:w="2901" w:type="dxa"/>
          </w:tcPr>
          <w:p w14:paraId="0D5B6F5A" w14:textId="77777777" w:rsidR="00265BB9" w:rsidRDefault="00037A76" w:rsidP="0075255A">
            <w:r>
              <w:t xml:space="preserve">What has the resilience of cobalt products been </w:t>
            </w:r>
            <w:r w:rsidR="00662628">
              <w:t>over the past 10 years</w:t>
            </w:r>
            <w:r>
              <w:t>?</w:t>
            </w:r>
          </w:p>
          <w:p w14:paraId="6F76B385" w14:textId="16D1E56E" w:rsidR="00662628" w:rsidRPr="007905F4" w:rsidRDefault="00662628" w:rsidP="0075255A"/>
        </w:tc>
        <w:tc>
          <w:tcPr>
            <w:tcW w:w="4474" w:type="dxa"/>
          </w:tcPr>
          <w:p w14:paraId="344D00A3" w14:textId="2FB3C08E" w:rsidR="003138C8" w:rsidRPr="007905F4" w:rsidRDefault="00037A76" w:rsidP="0075255A">
            <w:r>
              <w:t>Calculating alpha for cobalt products over a time series (i.e., 2009 – 2019)</w:t>
            </w:r>
          </w:p>
        </w:tc>
        <w:tc>
          <w:tcPr>
            <w:tcW w:w="1975" w:type="dxa"/>
          </w:tcPr>
          <w:p w14:paraId="091E45B5" w14:textId="11BE9FCB" w:rsidR="003138C8" w:rsidRPr="007905F4" w:rsidRDefault="003138C8" w:rsidP="0075255A">
            <w:r w:rsidRPr="007905F4">
              <w:t>P</w:t>
            </w:r>
            <w:r>
              <w:t>ython</w:t>
            </w:r>
          </w:p>
        </w:tc>
      </w:tr>
      <w:tr w:rsidR="003138C8" w:rsidRPr="007905F4" w14:paraId="0213CE7D" w14:textId="77777777" w:rsidTr="00265BB9">
        <w:tc>
          <w:tcPr>
            <w:tcW w:w="2901" w:type="dxa"/>
          </w:tcPr>
          <w:p w14:paraId="780B17A6" w14:textId="6E7A8748" w:rsidR="00037A76" w:rsidRDefault="00037A76" w:rsidP="00037A76">
            <w:r>
              <w:t xml:space="preserve">Which </w:t>
            </w:r>
            <w:r w:rsidR="00265BB9">
              <w:t xml:space="preserve">cobalt </w:t>
            </w:r>
            <w:r>
              <w:t>products are the most vulnerable to supply chain disruptions?</w:t>
            </w:r>
          </w:p>
          <w:p w14:paraId="0C0CC958" w14:textId="77777777" w:rsidR="003138C8" w:rsidRPr="007905F4" w:rsidRDefault="003138C8" w:rsidP="0075255A"/>
        </w:tc>
        <w:tc>
          <w:tcPr>
            <w:tcW w:w="4474" w:type="dxa"/>
          </w:tcPr>
          <w:p w14:paraId="1A7AC8E8" w14:textId="61347FB5" w:rsidR="00265BB9" w:rsidRDefault="00037A76" w:rsidP="00037A76">
            <w:r>
              <w:t xml:space="preserve">Which products have high alpha values (overly efficient) </w:t>
            </w:r>
          </w:p>
          <w:p w14:paraId="511F40BF" w14:textId="464FDF24" w:rsidR="003138C8" w:rsidRDefault="00662628" w:rsidP="00662628">
            <w:pPr>
              <w:pStyle w:val="ListParagraph"/>
              <w:numPr>
                <w:ilvl w:val="0"/>
                <w:numId w:val="8"/>
              </w:numPr>
            </w:pPr>
            <w:r>
              <w:t>Also f</w:t>
            </w:r>
            <w:r w:rsidR="00037A76">
              <w:t>ind which EU countries are affected (which EU countries import these products)</w:t>
            </w:r>
          </w:p>
          <w:p w14:paraId="618E3AD5" w14:textId="5778D20E" w:rsidR="00265BB9" w:rsidRPr="007905F4" w:rsidRDefault="00265BB9" w:rsidP="0075255A"/>
        </w:tc>
        <w:tc>
          <w:tcPr>
            <w:tcW w:w="1975" w:type="dxa"/>
          </w:tcPr>
          <w:p w14:paraId="2873EB3A" w14:textId="4E56014E" w:rsidR="003138C8" w:rsidRPr="007905F4" w:rsidRDefault="00265BB9" w:rsidP="0075255A">
            <w:r>
              <w:t>Python</w:t>
            </w:r>
          </w:p>
        </w:tc>
      </w:tr>
      <w:tr w:rsidR="003138C8" w:rsidRPr="007905F4" w14:paraId="6F3F41F0" w14:textId="77777777" w:rsidTr="00265BB9">
        <w:tc>
          <w:tcPr>
            <w:tcW w:w="2901" w:type="dxa"/>
          </w:tcPr>
          <w:p w14:paraId="18B1C946" w14:textId="77777777" w:rsidR="00265BB9" w:rsidRDefault="00265BB9" w:rsidP="00265BB9">
            <w:r>
              <w:t>Which level of the supply chain is most vulnerable to supply chain disruptions?</w:t>
            </w:r>
          </w:p>
          <w:p w14:paraId="28E84C1D" w14:textId="77777777" w:rsidR="003138C8" w:rsidRPr="007905F4" w:rsidRDefault="003138C8" w:rsidP="0075255A"/>
        </w:tc>
        <w:tc>
          <w:tcPr>
            <w:tcW w:w="4474" w:type="dxa"/>
          </w:tcPr>
          <w:p w14:paraId="1E5C002A" w14:textId="4842D71F" w:rsidR="00265BB9" w:rsidRDefault="00265BB9" w:rsidP="00265BB9">
            <w:r>
              <w:t>Separate products by the stage of production and explore the alpha values per stage in the supply chain (raw materials,</w:t>
            </w:r>
            <w:r w:rsidR="00612ED9">
              <w:t xml:space="preserve"> (refined?),</w:t>
            </w:r>
            <w:r>
              <w:t xml:space="preserve"> semi-finished products, finished products)</w:t>
            </w:r>
          </w:p>
          <w:p w14:paraId="4CE550A6" w14:textId="6194EA2B" w:rsidR="003138C8" w:rsidRPr="007905F4" w:rsidRDefault="003138C8" w:rsidP="00265BB9"/>
        </w:tc>
        <w:tc>
          <w:tcPr>
            <w:tcW w:w="1975" w:type="dxa"/>
          </w:tcPr>
          <w:p w14:paraId="1453D5D6" w14:textId="793205E5" w:rsidR="003138C8" w:rsidRPr="007905F4" w:rsidRDefault="00265BB9" w:rsidP="0075255A">
            <w:r>
              <w:t>Python</w:t>
            </w:r>
          </w:p>
        </w:tc>
      </w:tr>
      <w:tr w:rsidR="00265BB9" w:rsidRPr="007905F4" w14:paraId="5EF47EFF" w14:textId="77777777" w:rsidTr="00265BB9">
        <w:tc>
          <w:tcPr>
            <w:tcW w:w="2901" w:type="dxa"/>
          </w:tcPr>
          <w:p w14:paraId="64B8E310" w14:textId="05870774" w:rsidR="00265BB9" w:rsidRDefault="00265BB9" w:rsidP="00265BB9">
            <w:r>
              <w:t xml:space="preserve">What is the </w:t>
            </w:r>
            <w:r w:rsidR="007D1119">
              <w:t xml:space="preserve">global </w:t>
            </w:r>
            <w:r>
              <w:t xml:space="preserve">supply chain </w:t>
            </w:r>
            <w:r w:rsidR="008524B3">
              <w:t xml:space="preserve">network </w:t>
            </w:r>
            <w:r>
              <w:t>of vulnerable products?</w:t>
            </w:r>
          </w:p>
          <w:p w14:paraId="08A35860" w14:textId="77777777" w:rsidR="00265BB9" w:rsidRDefault="00265BB9" w:rsidP="00265BB9"/>
        </w:tc>
        <w:tc>
          <w:tcPr>
            <w:tcW w:w="4474" w:type="dxa"/>
          </w:tcPr>
          <w:p w14:paraId="60B3AE1D" w14:textId="77777777" w:rsidR="00265BB9" w:rsidRDefault="00265BB9" w:rsidP="00265BB9">
            <w:r>
              <w:t xml:space="preserve">Seeing which products have high alpha values and are most relevant for the green transition from these high alpha values (i.e., lithium-ion batteries, magnets (for wind turbines), smart technology, </w:t>
            </w:r>
            <w:commentRangeStart w:id="8"/>
            <w:r>
              <w:t>etc</w:t>
            </w:r>
            <w:commentRangeEnd w:id="8"/>
            <w:r w:rsidR="00F72C31">
              <w:rPr>
                <w:rStyle w:val="CommentReference"/>
              </w:rPr>
              <w:commentReference w:id="8"/>
            </w:r>
            <w:r>
              <w:t>.)</w:t>
            </w:r>
          </w:p>
          <w:p w14:paraId="7DB6AEAD" w14:textId="681A10B6" w:rsidR="00265BB9" w:rsidRDefault="00265BB9" w:rsidP="00265BB9"/>
          <w:p w14:paraId="5D8D57A6" w14:textId="1B56BCB5" w:rsidR="00265BB9" w:rsidRDefault="00265BB9" w:rsidP="00265BB9">
            <w:r>
              <w:t xml:space="preserve">Mapping the supply chain network of these products </w:t>
            </w:r>
            <w:r w:rsidR="00662628">
              <w:t>(5</w:t>
            </w:r>
            <w:r w:rsidR="007D1119">
              <w:t>-ish</w:t>
            </w:r>
            <w:r w:rsidR="00662628">
              <w:t xml:space="preserve"> products)</w:t>
            </w:r>
          </w:p>
          <w:p w14:paraId="7A66E4B0" w14:textId="77777777" w:rsidR="00265BB9" w:rsidRDefault="00265BB9" w:rsidP="00265BB9">
            <w:pPr>
              <w:ind w:left="360"/>
            </w:pPr>
          </w:p>
          <w:p w14:paraId="126867BB" w14:textId="5012C045" w:rsidR="00265BB9" w:rsidRDefault="00265BB9" w:rsidP="00265BB9">
            <w:r>
              <w:t>Conducting a centrality analysis on the network to see the vulnerabilities of the supply chain (geographical locations)</w:t>
            </w:r>
          </w:p>
          <w:p w14:paraId="4A601E0A" w14:textId="6FB2A839" w:rsidR="00265BB9" w:rsidRPr="00114E3F" w:rsidRDefault="00265BB9" w:rsidP="00662628">
            <w:pPr>
              <w:pStyle w:val="ListParagraph"/>
              <w:numPr>
                <w:ilvl w:val="0"/>
                <w:numId w:val="7"/>
              </w:numPr>
              <w:rPr>
                <w:sz w:val="22"/>
              </w:rPr>
            </w:pPr>
            <w:r w:rsidRPr="00114E3F">
              <w:rPr>
                <w:sz w:val="22"/>
              </w:rPr>
              <w:t xml:space="preserve">Degree centrality </w:t>
            </w:r>
            <w:commentRangeStart w:id="9"/>
            <w:r w:rsidRPr="00114E3F">
              <w:rPr>
                <w:sz w:val="22"/>
              </w:rPr>
              <w:t xml:space="preserve">– </w:t>
            </w:r>
            <w:commentRangeEnd w:id="9"/>
            <w:r w:rsidR="00114E3F" w:rsidRPr="00114E3F">
              <w:rPr>
                <w:rStyle w:val="CommentReference"/>
                <w:rFonts w:eastAsiaTheme="minorHAnsi" w:cstheme="minorBidi"/>
                <w:sz w:val="22"/>
                <w:szCs w:val="22"/>
              </w:rPr>
              <w:commentReference w:id="9"/>
            </w:r>
            <w:r w:rsidR="00114E3F">
              <w:rPr>
                <w:sz w:val="22"/>
              </w:rPr>
              <w:t>important nodes have many connections</w:t>
            </w:r>
            <w:r w:rsidR="004856C1">
              <w:rPr>
                <w:sz w:val="22"/>
              </w:rPr>
              <w:t xml:space="preserve"> </w:t>
            </w:r>
          </w:p>
          <w:p w14:paraId="7693658C" w14:textId="53F8C838" w:rsidR="00114E3F" w:rsidRPr="00114E3F" w:rsidRDefault="00114E3F" w:rsidP="00662628">
            <w:pPr>
              <w:pStyle w:val="ListParagraph"/>
              <w:numPr>
                <w:ilvl w:val="0"/>
                <w:numId w:val="7"/>
              </w:numPr>
              <w:rPr>
                <w:sz w:val="22"/>
              </w:rPr>
            </w:pPr>
            <w:r w:rsidRPr="00114E3F">
              <w:rPr>
                <w:sz w:val="22"/>
              </w:rPr>
              <w:t>Betweenness centrality</w:t>
            </w:r>
            <w:r>
              <w:rPr>
                <w:sz w:val="22"/>
              </w:rPr>
              <w:t xml:space="preserve"> -</w:t>
            </w:r>
            <w:r w:rsidRPr="00114E3F">
              <w:rPr>
                <w:sz w:val="22"/>
              </w:rPr>
              <w:t xml:space="preserve"> important nodes connect other nodes</w:t>
            </w:r>
          </w:p>
          <w:p w14:paraId="7EC58EEC" w14:textId="77777777" w:rsidR="00265BB9" w:rsidRDefault="00265BB9" w:rsidP="00265BB9">
            <w:pPr>
              <w:rPr>
                <w:color w:val="0070C0"/>
              </w:rPr>
            </w:pPr>
          </w:p>
          <w:p w14:paraId="40C54665" w14:textId="696DD873" w:rsidR="00265BB9" w:rsidRPr="00123CAA" w:rsidRDefault="00265BB9" w:rsidP="00265BB9">
            <w:r w:rsidRPr="00123CAA">
              <w:t>Compare the countries with the highest centrality to a geopolitical risk index (</w:t>
            </w:r>
            <w:r w:rsidR="00123CAA" w:rsidRPr="00123CAA">
              <w:t>International country risk guide – July 2016 table</w:t>
            </w:r>
            <w:commentRangeStart w:id="10"/>
            <w:commentRangeStart w:id="11"/>
            <w:commentRangeStart w:id="12"/>
            <w:r w:rsidRPr="00123CAA">
              <w:t>)</w:t>
            </w:r>
            <w:commentRangeEnd w:id="10"/>
            <w:r w:rsidRPr="00123CAA">
              <w:rPr>
                <w:rStyle w:val="CommentReference"/>
              </w:rPr>
              <w:commentReference w:id="10"/>
            </w:r>
            <w:commentRangeEnd w:id="11"/>
            <w:r w:rsidR="00612ED9">
              <w:rPr>
                <w:rStyle w:val="CommentReference"/>
              </w:rPr>
              <w:commentReference w:id="11"/>
            </w:r>
            <w:commentRangeEnd w:id="12"/>
            <w:r w:rsidR="00612ED9">
              <w:rPr>
                <w:rStyle w:val="CommentReference"/>
              </w:rPr>
              <w:commentReference w:id="12"/>
            </w:r>
          </w:p>
          <w:p w14:paraId="7D82026F" w14:textId="0DE003A2" w:rsidR="00662628" w:rsidRPr="00265BB9" w:rsidRDefault="00662628" w:rsidP="00265BB9">
            <w:pPr>
              <w:rPr>
                <w:color w:val="0070C0"/>
              </w:rPr>
            </w:pPr>
          </w:p>
        </w:tc>
        <w:tc>
          <w:tcPr>
            <w:tcW w:w="1975" w:type="dxa"/>
          </w:tcPr>
          <w:p w14:paraId="31A4BD4F" w14:textId="77777777" w:rsidR="00265BB9" w:rsidRDefault="00265BB9" w:rsidP="0075255A">
            <w:r>
              <w:t>Python</w:t>
            </w:r>
          </w:p>
          <w:p w14:paraId="7FA458ED" w14:textId="1ABA73F0" w:rsidR="004856C1" w:rsidRPr="007905F4" w:rsidRDefault="00265BB9" w:rsidP="004856C1">
            <w:r>
              <w:t xml:space="preserve">Package: </w:t>
            </w:r>
            <w:proofErr w:type="spellStart"/>
            <w:r>
              <w:t>pyvis</w:t>
            </w:r>
            <w:proofErr w:type="spellEnd"/>
            <w:r w:rsidR="004856C1">
              <w:t xml:space="preserve">, </w:t>
            </w:r>
            <w:proofErr w:type="spellStart"/>
            <w:r w:rsidR="004856C1">
              <w:t>networkx</w:t>
            </w:r>
            <w:proofErr w:type="spellEnd"/>
          </w:p>
        </w:tc>
      </w:tr>
    </w:tbl>
    <w:p w14:paraId="2DD3580A" w14:textId="77777777" w:rsidR="00F72C31" w:rsidRDefault="00F72C31" w:rsidP="00662628">
      <w:pPr>
        <w:rPr>
          <w:b/>
          <w:bCs/>
        </w:rPr>
      </w:pPr>
    </w:p>
    <w:p w14:paraId="514E5925" w14:textId="66E9AE5F" w:rsidR="00662628" w:rsidRPr="001903AE" w:rsidRDefault="00662628" w:rsidP="00662628">
      <w:pPr>
        <w:rPr>
          <w:b/>
          <w:bCs/>
        </w:rPr>
      </w:pPr>
      <w:r w:rsidRPr="001903AE">
        <w:rPr>
          <w:b/>
          <w:bCs/>
        </w:rPr>
        <w:t>Data:</w:t>
      </w:r>
    </w:p>
    <w:p w14:paraId="45BEB33D" w14:textId="77777777" w:rsidR="00662628" w:rsidRDefault="00662628" w:rsidP="00662628">
      <w:pPr>
        <w:pStyle w:val="ListParagraph"/>
        <w:numPr>
          <w:ilvl w:val="0"/>
          <w:numId w:val="6"/>
        </w:numPr>
      </w:pPr>
      <w:r>
        <w:t>BACI Database</w:t>
      </w:r>
    </w:p>
    <w:p w14:paraId="488F0C07" w14:textId="77777777" w:rsidR="00AA64B8" w:rsidRDefault="00AA64B8" w:rsidP="00AA64B8"/>
    <w:p w14:paraId="61F416BC" w14:textId="5F279003" w:rsidR="0075255A" w:rsidRDefault="005779FC">
      <w:r>
        <w:t>Amount of cobalt needed will need to increase by 14x</w:t>
      </w:r>
      <w:r w:rsidR="006A2807">
        <w:t xml:space="preserve"> by 2050</w:t>
      </w:r>
    </w:p>
    <w:sectPr w:rsidR="007525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tany, J.I. (Jasmine)" w:date="2022-02-10T21:09:00Z" w:initials="PJ(">
    <w:p w14:paraId="6A877C98" w14:textId="77777777" w:rsidR="00805C49" w:rsidRPr="0075255A" w:rsidRDefault="00805C49" w:rsidP="00805C49">
      <w:pPr>
        <w:pStyle w:val="BodyText"/>
        <w:spacing w:before="159"/>
        <w:ind w:right="136"/>
        <w:jc w:val="both"/>
        <w:rPr>
          <w:szCs w:val="24"/>
        </w:rPr>
      </w:pPr>
      <w:r>
        <w:rPr>
          <w:rStyle w:val="CommentReference"/>
        </w:rPr>
        <w:annotationRef/>
      </w:r>
      <w:hyperlink r:id="rId1" w:history="1">
        <w:r w:rsidRPr="002A2B58">
          <w:rPr>
            <w:rStyle w:val="Hyperlink"/>
            <w:szCs w:val="24"/>
          </w:rPr>
          <w:t>https://wits.worldbank.org/trade/comtrade/en/country/ALL/year/2019/tradeflow/Exports/partner/WLD/product/260500#</w:t>
        </w:r>
      </w:hyperlink>
      <w:r>
        <w:rPr>
          <w:szCs w:val="24"/>
        </w:rPr>
        <w:t xml:space="preserve"> </w:t>
      </w:r>
    </w:p>
    <w:p w14:paraId="51A57937" w14:textId="6AC3B8F8" w:rsidR="00805C49" w:rsidRDefault="00805C49">
      <w:pPr>
        <w:pStyle w:val="CommentText"/>
      </w:pPr>
    </w:p>
  </w:comment>
  <w:comment w:id="1" w:author="Pattany, J.I. (Jasmine)" w:date="2022-02-10T23:28:00Z" w:initials="PJ(">
    <w:p w14:paraId="5D43E1E8"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Style w:val="CommentReference"/>
        </w:rPr>
        <w:annotationRef/>
      </w:r>
      <w:r>
        <w:rPr>
          <w:rFonts w:ascii="Georgia" w:hAnsi="Georgia"/>
          <w:color w:val="333333"/>
          <w:sz w:val="27"/>
          <w:szCs w:val="27"/>
        </w:rPr>
        <w:t xml:space="preserve">Katz centrality can be used to calculate systemic risk for a site </w:t>
      </w:r>
      <w:proofErr w:type="gramStart"/>
      <w:r>
        <w:rPr>
          <w:rFonts w:ascii="Georgia" w:hAnsi="Georgia"/>
          <w:color w:val="333333"/>
          <w:sz w:val="27"/>
          <w:szCs w:val="27"/>
        </w:rPr>
        <w:t>taking into account</w:t>
      </w:r>
      <w:proofErr w:type="gramEnd"/>
      <w:r>
        <w:rPr>
          <w:rFonts w:ascii="Georgia" w:hAnsi="Georgia"/>
          <w:color w:val="333333"/>
          <w:sz w:val="27"/>
          <w:szCs w:val="27"/>
        </w:rPr>
        <w:t xml:space="preserve"> the local risks of neighboring business partners.</w:t>
      </w:r>
    </w:p>
    <w:p w14:paraId="103E628B"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Hub centrality can be used to identify the sites that have high-risk customer relationships.</w:t>
      </w:r>
    </w:p>
    <w:p w14:paraId="44571921"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Authority centrality can be used to identify sites that have high-risk supply relationships.</w:t>
      </w:r>
    </w:p>
    <w:p w14:paraId="5C6BEE63"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Weighted closeness can be used to identify the companies that if disrupted will make the cascading failure to progress the quickest.</w:t>
      </w:r>
    </w:p>
    <w:p w14:paraId="33A53F48"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Weighted betweenness centrality can be used to identify the highest risk companies amongst intermediaries.</w:t>
      </w:r>
    </w:p>
    <w:p w14:paraId="06BF54A8" w14:textId="65797589" w:rsidR="00BD665F" w:rsidRDefault="00BD665F">
      <w:pPr>
        <w:pStyle w:val="CommentText"/>
      </w:pPr>
    </w:p>
  </w:comment>
  <w:comment w:id="2" w:author="Pattany, J.I. (Jasmine)" w:date="2022-02-10T23:28:00Z" w:initials="PJ(">
    <w:p w14:paraId="29404E08" w14:textId="2A1839E3" w:rsidR="00BD665F" w:rsidRDefault="00BD665F">
      <w:pPr>
        <w:pStyle w:val="CommentText"/>
      </w:pPr>
      <w:r>
        <w:rPr>
          <w:rStyle w:val="CommentReference"/>
        </w:rPr>
        <w:annotationRef/>
      </w:r>
      <w:r w:rsidRPr="00BD665F">
        <w:t>https://ieeexplore-ieee-org.tudelft.idm.oclc.org/document/7549087</w:t>
      </w:r>
    </w:p>
  </w:comment>
  <w:comment w:id="3" w:author="Pattany, J.I. (Jasmine)" w:date="2022-02-10T21:22:00Z" w:initials="PJ(">
    <w:p w14:paraId="7E8D97A8" w14:textId="4D5F6723" w:rsidR="00380BA1" w:rsidRDefault="00380BA1">
      <w:pPr>
        <w:pStyle w:val="CommentText"/>
      </w:pPr>
      <w:r>
        <w:rPr>
          <w:rStyle w:val="CommentReference"/>
        </w:rPr>
        <w:annotationRef/>
      </w:r>
      <w:r>
        <w:t xml:space="preserve">methodology: </w:t>
      </w:r>
      <w:r w:rsidRPr="00380BA1">
        <w:t>https://ieeexplore-ieee-org.tudelft.idm.oclc.org/abstract/document/6876130</w:t>
      </w:r>
    </w:p>
  </w:comment>
  <w:comment w:id="4" w:author="Pattany, J.I. (Jasmine)" w:date="2022-02-10T21:22:00Z" w:initials="PJ(">
    <w:p w14:paraId="5471B127" w14:textId="1E3148C6" w:rsidR="00380BA1" w:rsidRDefault="00380BA1">
      <w:pPr>
        <w:pStyle w:val="CommentText"/>
      </w:pPr>
      <w:r>
        <w:rPr>
          <w:rStyle w:val="CommentReference"/>
        </w:rPr>
        <w:annotationRef/>
      </w:r>
      <w:r>
        <w:t xml:space="preserve">historical data: </w:t>
      </w:r>
      <w:r w:rsidRPr="00380BA1">
        <w:t>https://www-sciencedirect-com.tudelft.idm.oclc.org/science/article/pii/S0921344921002998</w:t>
      </w:r>
    </w:p>
  </w:comment>
  <w:comment w:id="5" w:author="Pattany, J.I. (Jasmine)" w:date="2022-02-10T22:19:00Z" w:initials="PJ(">
    <w:p w14:paraId="7780DF7B" w14:textId="3665CD2F" w:rsidR="009B68B2" w:rsidRDefault="009B68B2">
      <w:pPr>
        <w:pStyle w:val="CommentText"/>
      </w:pPr>
      <w:r>
        <w:rPr>
          <w:rStyle w:val="CommentReference"/>
        </w:rPr>
        <w:annotationRef/>
      </w:r>
      <w:r>
        <w:rPr>
          <w:rFonts w:ascii="Arial" w:hAnsi="Arial" w:cs="Arial"/>
          <w:color w:val="333333"/>
          <w:sz w:val="27"/>
          <w:szCs w:val="27"/>
          <w:shd w:val="clear" w:color="auto" w:fill="FFFFFF"/>
        </w:rPr>
        <w:t>The survival model represents a time interval or period from the time the system failed to function to the time the system gets back with its function (i.e., recovery). The input to the model is, thus, a failure event; the output from the model is the recovery time.</w:t>
      </w:r>
    </w:p>
  </w:comment>
  <w:comment w:id="6" w:author="Pattany, J.I. (Jasmine)" w:date="2022-02-10T23:35:00Z" w:initials="PJ(">
    <w:p w14:paraId="46997C50" w14:textId="6037666B" w:rsidR="00BD665F" w:rsidRDefault="00BD665F">
      <w:pPr>
        <w:pStyle w:val="CommentText"/>
      </w:pPr>
      <w:r>
        <w:rPr>
          <w:rStyle w:val="CommentReference"/>
        </w:rPr>
        <w:annotationRef/>
      </w:r>
      <w:r w:rsidRPr="00BD665F">
        <w:t>https://link-springer-com.tudelft.idm.oclc.org/article/10.1007/s10479-020-03912-1#Sec2</w:t>
      </w:r>
    </w:p>
  </w:comment>
  <w:comment w:id="7" w:author="Pattany, J.I. (Jasmine)" w:date="2022-02-10T23:45:00Z" w:initials="PJ(">
    <w:p w14:paraId="501A4655" w14:textId="377BAAD7" w:rsidR="001E50F2" w:rsidRDefault="00BD665F" w:rsidP="001E50F2">
      <w:pPr>
        <w:pStyle w:val="CommentText"/>
        <w:rPr>
          <w:rFonts w:ascii="Georgia" w:hAnsi="Georgia"/>
          <w:color w:val="333333"/>
          <w:sz w:val="27"/>
          <w:szCs w:val="27"/>
          <w:shd w:val="clear" w:color="auto" w:fill="FFFFFF"/>
        </w:rPr>
      </w:pPr>
      <w:r>
        <w:rPr>
          <w:rStyle w:val="CommentReference"/>
        </w:rPr>
        <w:annotationRef/>
      </w:r>
      <w:r w:rsidR="001E50F2">
        <w:rPr>
          <w:rFonts w:ascii="Georgia" w:hAnsi="Georgia"/>
          <w:color w:val="333333"/>
          <w:sz w:val="27"/>
          <w:szCs w:val="27"/>
          <w:shd w:val="clear" w:color="auto" w:fill="FFFFFF"/>
        </w:rPr>
        <w:t>External sources</w:t>
      </w:r>
    </w:p>
    <w:p w14:paraId="18091D86" w14:textId="3F9EF498" w:rsidR="00BD665F" w:rsidRDefault="00BD665F" w:rsidP="00BD665F">
      <w:pPr>
        <w:pStyle w:val="CommentText"/>
        <w:numPr>
          <w:ilvl w:val="0"/>
          <w:numId w:val="4"/>
        </w:num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fire </w:t>
      </w:r>
    </w:p>
    <w:p w14:paraId="2ABD02C8" w14:textId="77777777" w:rsidR="00BD665F" w:rsidRPr="00BD665F" w:rsidRDefault="00BD665F" w:rsidP="00BD665F">
      <w:pPr>
        <w:pStyle w:val="CommentText"/>
        <w:numPr>
          <w:ilvl w:val="0"/>
          <w:numId w:val="4"/>
        </w:numPr>
      </w:pPr>
      <w:r>
        <w:rPr>
          <w:rFonts w:ascii="Georgia" w:hAnsi="Georgia"/>
          <w:color w:val="333333"/>
          <w:sz w:val="27"/>
          <w:szCs w:val="27"/>
          <w:shd w:val="clear" w:color="auto" w:fill="FFFFFF"/>
        </w:rPr>
        <w:t xml:space="preserve"> extreme weather</w:t>
      </w:r>
    </w:p>
    <w:p w14:paraId="289262D4" w14:textId="23DB29D9" w:rsidR="00BD665F" w:rsidRPr="00BD665F" w:rsidRDefault="00BD665F" w:rsidP="00BD665F">
      <w:pPr>
        <w:pStyle w:val="CommentText"/>
        <w:numPr>
          <w:ilvl w:val="0"/>
          <w:numId w:val="5"/>
        </w:numPr>
      </w:pPr>
      <w:r>
        <w:rPr>
          <w:rFonts w:ascii="Georgia" w:hAnsi="Georgia"/>
          <w:color w:val="333333"/>
          <w:sz w:val="27"/>
          <w:szCs w:val="27"/>
          <w:shd w:val="clear" w:color="auto" w:fill="FFFFFF"/>
        </w:rPr>
        <w:t xml:space="preserve"> Strikes</w:t>
      </w:r>
    </w:p>
    <w:p w14:paraId="79E7A86A" w14:textId="0631CD55" w:rsidR="001E50F2" w:rsidRPr="001E50F2" w:rsidRDefault="00BD665F" w:rsidP="001E50F2">
      <w:pPr>
        <w:pStyle w:val="CommentText"/>
        <w:numPr>
          <w:ilvl w:val="0"/>
          <w:numId w:val="5"/>
        </w:numPr>
      </w:pPr>
      <w:r>
        <w:rPr>
          <w:rFonts w:ascii="Georgia" w:hAnsi="Georgia"/>
          <w:color w:val="333333"/>
          <w:sz w:val="27"/>
          <w:szCs w:val="27"/>
          <w:shd w:val="clear" w:color="auto" w:fill="FFFFFF"/>
        </w:rPr>
        <w:t xml:space="preserve"> high-cost labors</w:t>
      </w:r>
    </w:p>
    <w:p w14:paraId="793027AB" w14:textId="1E55D239" w:rsidR="001E50F2" w:rsidRDefault="001E50F2" w:rsidP="001E50F2">
      <w:pPr>
        <w:pStyle w:val="CommentText"/>
        <w:rPr>
          <w:rFonts w:ascii="Georgia" w:hAnsi="Georgia"/>
          <w:color w:val="333333"/>
          <w:sz w:val="27"/>
          <w:szCs w:val="27"/>
          <w:shd w:val="clear" w:color="auto" w:fill="FFFFFF"/>
        </w:rPr>
      </w:pPr>
      <w:r w:rsidRPr="001E50F2">
        <w:rPr>
          <w:rFonts w:ascii="Georgia" w:hAnsi="Georgia"/>
          <w:color w:val="333333"/>
          <w:sz w:val="27"/>
          <w:szCs w:val="27"/>
          <w:shd w:val="clear" w:color="auto" w:fill="FFFFFF"/>
        </w:rPr>
        <w:t>7.</w:t>
      </w:r>
      <w:r>
        <w:rPr>
          <w:rFonts w:ascii="Georgia" w:hAnsi="Georgia"/>
          <w:color w:val="333333"/>
          <w:sz w:val="27"/>
          <w:szCs w:val="27"/>
          <w:shd w:val="clear" w:color="auto" w:fill="FFFFFF"/>
        </w:rPr>
        <w:t xml:space="preserve">  epidemics</w:t>
      </w:r>
    </w:p>
    <w:p w14:paraId="5D6E9F8F" w14:textId="0D113EE8"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Internal sources</w:t>
      </w:r>
    </w:p>
    <w:p w14:paraId="5B54EB65"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8. </w:t>
      </w:r>
      <w:r w:rsidR="00BD665F" w:rsidRPr="001E50F2">
        <w:rPr>
          <w:rFonts w:ascii="Georgia" w:hAnsi="Georgia"/>
          <w:color w:val="333333"/>
          <w:sz w:val="27"/>
          <w:szCs w:val="27"/>
          <w:shd w:val="clear" w:color="auto" w:fill="FFFFFF"/>
        </w:rPr>
        <w:t>are shortage of qualified labors</w:t>
      </w:r>
    </w:p>
    <w:p w14:paraId="1902F1C1"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9. </w:t>
      </w:r>
      <w:r w:rsidR="00BD665F" w:rsidRPr="001E50F2">
        <w:rPr>
          <w:rFonts w:ascii="Georgia" w:hAnsi="Georgia"/>
          <w:color w:val="333333"/>
          <w:sz w:val="27"/>
          <w:szCs w:val="27"/>
          <w:shd w:val="clear" w:color="auto" w:fill="FFFFFF"/>
        </w:rPr>
        <w:t>inflexible production capacity</w:t>
      </w:r>
    </w:p>
    <w:p w14:paraId="4CBD2C0D"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10. </w:t>
      </w:r>
      <w:r w:rsidR="00BD665F" w:rsidRPr="001E50F2">
        <w:rPr>
          <w:rFonts w:ascii="Georgia" w:hAnsi="Georgia"/>
          <w:color w:val="333333"/>
          <w:sz w:val="27"/>
          <w:szCs w:val="27"/>
          <w:shd w:val="clear" w:color="auto" w:fill="FFFFFF"/>
        </w:rPr>
        <w:t>long setup and lead time</w:t>
      </w:r>
    </w:p>
    <w:p w14:paraId="77184E5C"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11. </w:t>
      </w:r>
      <w:r w:rsidR="00BD665F" w:rsidRPr="001E50F2">
        <w:rPr>
          <w:rFonts w:ascii="Georgia" w:hAnsi="Georgia"/>
          <w:color w:val="333333"/>
          <w:sz w:val="27"/>
          <w:szCs w:val="27"/>
          <w:shd w:val="clear" w:color="auto" w:fill="FFFFFF"/>
        </w:rPr>
        <w:t>overly leaned inventory</w:t>
      </w:r>
    </w:p>
    <w:p w14:paraId="7DAE1F21" w14:textId="0447D0DF" w:rsidR="00BD665F" w:rsidRP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12. </w:t>
      </w:r>
      <w:r w:rsidR="00BD665F" w:rsidRPr="001E50F2">
        <w:rPr>
          <w:rFonts w:ascii="Georgia" w:hAnsi="Georgia"/>
          <w:color w:val="333333"/>
          <w:sz w:val="27"/>
          <w:szCs w:val="27"/>
          <w:shd w:val="clear" w:color="auto" w:fill="FFFFFF"/>
        </w:rPr>
        <w:t>process issues.</w:t>
      </w:r>
    </w:p>
  </w:comment>
  <w:comment w:id="8" w:author="Pattany, J.I. (Jasmine)" w:date="2022-02-18T02:26:00Z" w:initials="PJ(">
    <w:p w14:paraId="13A900B0" w14:textId="11FDD496" w:rsidR="00F72C31" w:rsidRPr="006A2807" w:rsidRDefault="00F72C31" w:rsidP="00F72C31">
      <w:pPr>
        <w:rPr>
          <w:color w:val="0070C0"/>
        </w:rPr>
      </w:pPr>
      <w:r>
        <w:rPr>
          <w:rStyle w:val="CommentReference"/>
        </w:rPr>
        <w:annotationRef/>
      </w:r>
      <w:r>
        <w:rPr>
          <w:color w:val="0070C0"/>
        </w:rPr>
        <w:t>Potentially: Explore cobalt ‘waste</w:t>
      </w:r>
      <w:proofErr w:type="gramStart"/>
      <w:r>
        <w:rPr>
          <w:color w:val="0070C0"/>
        </w:rPr>
        <w:t xml:space="preserve">’ </w:t>
      </w:r>
      <w:r w:rsidR="007D1119">
        <w:rPr>
          <w:color w:val="0070C0"/>
        </w:rPr>
        <w:t>?</w:t>
      </w:r>
      <w:proofErr w:type="gramEnd"/>
    </w:p>
    <w:p w14:paraId="1FE55632" w14:textId="558C11B0" w:rsidR="00F72C31" w:rsidRDefault="00F72C31">
      <w:pPr>
        <w:pStyle w:val="CommentText"/>
      </w:pPr>
    </w:p>
  </w:comment>
  <w:comment w:id="9" w:author="Pattany, J.I. (Jasmine)" w:date="2022-02-18T02:33:00Z" w:initials="PJ(">
    <w:p w14:paraId="4E7D4A27" w14:textId="074C25B6" w:rsidR="00114E3F" w:rsidRDefault="00114E3F">
      <w:pPr>
        <w:pStyle w:val="CommentText"/>
      </w:pPr>
      <w:r>
        <w:rPr>
          <w:rStyle w:val="CommentReference"/>
        </w:rPr>
        <w:annotationRef/>
      </w:r>
      <w:r w:rsidRPr="00114E3F">
        <w:t>https://www.geeksforgeeks.org/network-centrality-measures-in-a-graph-using-networkx-python/</w:t>
      </w:r>
    </w:p>
  </w:comment>
  <w:comment w:id="10" w:author="Pattany, J.I. (Jasmine)" w:date="2022-02-18T00:49:00Z" w:initials="PJ(">
    <w:p w14:paraId="50287F9C" w14:textId="59B2E1DA" w:rsidR="00265BB9" w:rsidRDefault="00265BB9" w:rsidP="00265BB9">
      <w:pPr>
        <w:pStyle w:val="CommentText"/>
      </w:pPr>
      <w:r>
        <w:rPr>
          <w:rStyle w:val="CommentReference"/>
        </w:rPr>
        <w:annotationRef/>
      </w:r>
      <w:r w:rsidR="00123CAA">
        <w:rPr>
          <w:rStyle w:val="CommentReference"/>
        </w:rPr>
        <w:t>Do you have free access</w:t>
      </w:r>
      <w:r w:rsidR="007D1119">
        <w:rPr>
          <w:rStyle w:val="CommentReference"/>
        </w:rPr>
        <w:t xml:space="preserve"> to more recent data</w:t>
      </w:r>
      <w:r w:rsidR="00123CAA">
        <w:rPr>
          <w:rStyle w:val="CommentReference"/>
        </w:rPr>
        <w:t>?</w:t>
      </w:r>
    </w:p>
  </w:comment>
  <w:comment w:id="11" w:author="Pattany, J.I. (Jasmine)" w:date="2022-02-18T15:05:00Z" w:initials="PJ(">
    <w:p w14:paraId="0A3ECB7A" w14:textId="226EDA6C" w:rsidR="00612ED9" w:rsidRDefault="00612ED9">
      <w:pPr>
        <w:pStyle w:val="CommentText"/>
      </w:pPr>
      <w:r>
        <w:rPr>
          <w:rStyle w:val="CommentReference"/>
        </w:rPr>
        <w:annotationRef/>
      </w:r>
      <w:r>
        <w:t>Combine with HHI data</w:t>
      </w:r>
    </w:p>
  </w:comment>
  <w:comment w:id="12" w:author="Pattany, J.I. (Jasmine)" w:date="2022-02-18T15:10:00Z" w:initials="PJ(">
    <w:p w14:paraId="39417632" w14:textId="77777777" w:rsidR="00612ED9" w:rsidRDefault="00612ED9" w:rsidP="00612ED9">
      <w:pPr>
        <w:pStyle w:val="NormalWeb"/>
        <w:spacing w:before="0" w:beforeAutospacing="0" w:after="0" w:afterAutospacing="0"/>
        <w:rPr>
          <w:rFonts w:ascii="Segoe UI" w:hAnsi="Segoe UI" w:cs="Segoe UI"/>
          <w:sz w:val="21"/>
          <w:szCs w:val="21"/>
        </w:rPr>
      </w:pPr>
      <w:r>
        <w:rPr>
          <w:rStyle w:val="CommentReference"/>
        </w:rPr>
        <w:annotationRef/>
      </w:r>
      <w:r>
        <w:rPr>
          <w:rFonts w:ascii="Segoe UI" w:hAnsi="Segoe UI" w:cs="Segoe UI"/>
          <w:sz w:val="21"/>
          <w:szCs w:val="21"/>
        </w:rPr>
        <w:t xml:space="preserve">[3:09 PM] </w:t>
      </w:r>
      <w:proofErr w:type="spellStart"/>
      <w:r>
        <w:rPr>
          <w:rFonts w:ascii="Segoe UI" w:hAnsi="Segoe UI" w:cs="Segoe UI"/>
          <w:sz w:val="21"/>
          <w:szCs w:val="21"/>
        </w:rPr>
        <w:t>Mogollón</w:t>
      </w:r>
      <w:proofErr w:type="spellEnd"/>
      <w:r>
        <w:rPr>
          <w:rFonts w:ascii="Segoe UI" w:hAnsi="Segoe UI" w:cs="Segoe UI"/>
          <w:sz w:val="21"/>
          <w:szCs w:val="21"/>
        </w:rPr>
        <w:t>, J.M. (José)</w:t>
      </w:r>
    </w:p>
    <w:p w14:paraId="1F6030C3" w14:textId="77777777" w:rsidR="00612ED9" w:rsidRDefault="00612ED9" w:rsidP="00612ED9">
      <w:pPr>
        <w:pStyle w:val="NormalWeb"/>
        <w:ind w:left="480"/>
        <w:rPr>
          <w:rFonts w:ascii="Segoe UI" w:hAnsi="Segoe UI" w:cs="Segoe UI"/>
          <w:sz w:val="21"/>
          <w:szCs w:val="21"/>
        </w:rPr>
      </w:pPr>
      <w:proofErr w:type="spellStart"/>
      <w:r>
        <w:rPr>
          <w:rFonts w:ascii="Segoe UI" w:hAnsi="Segoe UI" w:cs="Segoe UI"/>
          <w:sz w:val="22"/>
          <w:szCs w:val="22"/>
        </w:rPr>
        <w:t>Cimprich</w:t>
      </w:r>
      <w:proofErr w:type="spellEnd"/>
      <w:r>
        <w:rPr>
          <w:rFonts w:ascii="Segoe UI" w:hAnsi="Segoe UI" w:cs="Segoe UI"/>
          <w:sz w:val="22"/>
          <w:szCs w:val="22"/>
        </w:rPr>
        <w:t xml:space="preserve">, A., Young, S. B., </w:t>
      </w:r>
      <w:proofErr w:type="spellStart"/>
      <w:r>
        <w:rPr>
          <w:rFonts w:ascii="Segoe UI" w:hAnsi="Segoe UI" w:cs="Segoe UI"/>
          <w:sz w:val="22"/>
          <w:szCs w:val="22"/>
        </w:rPr>
        <w:t>Helbig</w:t>
      </w:r>
      <w:proofErr w:type="spellEnd"/>
      <w:r>
        <w:rPr>
          <w:rFonts w:ascii="Segoe UI" w:hAnsi="Segoe UI" w:cs="Segoe UI"/>
          <w:sz w:val="22"/>
          <w:szCs w:val="22"/>
        </w:rPr>
        <w:t>, C., </w:t>
      </w:r>
      <w:proofErr w:type="spellStart"/>
      <w:r>
        <w:rPr>
          <w:rFonts w:ascii="Segoe UI" w:hAnsi="Segoe UI" w:cs="Segoe UI"/>
          <w:sz w:val="22"/>
          <w:szCs w:val="22"/>
        </w:rPr>
        <w:t>Gemechu</w:t>
      </w:r>
      <w:proofErr w:type="spellEnd"/>
      <w:r>
        <w:rPr>
          <w:rFonts w:ascii="Segoe UI" w:hAnsi="Segoe UI" w:cs="Segoe UI"/>
          <w:sz w:val="22"/>
          <w:szCs w:val="22"/>
        </w:rPr>
        <w:t>, E. D., </w:t>
      </w:r>
      <w:proofErr w:type="spellStart"/>
      <w:r>
        <w:rPr>
          <w:rFonts w:ascii="Segoe UI" w:hAnsi="Segoe UI" w:cs="Segoe UI"/>
          <w:sz w:val="22"/>
          <w:szCs w:val="22"/>
        </w:rPr>
        <w:t>Thorenz</w:t>
      </w:r>
      <w:proofErr w:type="spellEnd"/>
      <w:r>
        <w:rPr>
          <w:rFonts w:ascii="Segoe UI" w:hAnsi="Segoe UI" w:cs="Segoe UI"/>
          <w:sz w:val="22"/>
          <w:szCs w:val="22"/>
        </w:rPr>
        <w:t xml:space="preserve">, A., </w:t>
      </w:r>
      <w:proofErr w:type="spellStart"/>
      <w:r>
        <w:rPr>
          <w:rFonts w:ascii="Segoe UI" w:hAnsi="Segoe UI" w:cs="Segoe UI"/>
          <w:sz w:val="22"/>
          <w:szCs w:val="22"/>
        </w:rPr>
        <w:t>Tuma</w:t>
      </w:r>
      <w:proofErr w:type="spellEnd"/>
      <w:r>
        <w:rPr>
          <w:rFonts w:ascii="Segoe UI" w:hAnsi="Segoe UI" w:cs="Segoe UI"/>
          <w:sz w:val="22"/>
          <w:szCs w:val="22"/>
        </w:rPr>
        <w:t xml:space="preserve">, A., &amp; </w:t>
      </w:r>
      <w:proofErr w:type="spellStart"/>
      <w:r>
        <w:rPr>
          <w:rFonts w:ascii="Segoe UI" w:hAnsi="Segoe UI" w:cs="Segoe UI"/>
          <w:sz w:val="22"/>
          <w:szCs w:val="22"/>
        </w:rPr>
        <w:t>Sonnemann</w:t>
      </w:r>
      <w:proofErr w:type="spellEnd"/>
      <w:r>
        <w:rPr>
          <w:rFonts w:ascii="Segoe UI" w:hAnsi="Segoe UI" w:cs="Segoe UI"/>
          <w:sz w:val="22"/>
          <w:szCs w:val="22"/>
        </w:rPr>
        <w:t xml:space="preserve">, G. (2017). Extension of geopolitical supply risk </w:t>
      </w:r>
      <w:proofErr w:type="gramStart"/>
      <w:r>
        <w:rPr>
          <w:rFonts w:ascii="Segoe UI" w:hAnsi="Segoe UI" w:cs="Segoe UI"/>
          <w:sz w:val="22"/>
          <w:szCs w:val="22"/>
        </w:rPr>
        <w:t>methodology :</w:t>
      </w:r>
      <w:proofErr w:type="gramEnd"/>
      <w:r>
        <w:rPr>
          <w:rFonts w:ascii="Segoe UI" w:hAnsi="Segoe UI" w:cs="Segoe UI"/>
          <w:sz w:val="22"/>
          <w:szCs w:val="22"/>
        </w:rPr>
        <w:t xml:space="preserve"> Characterization model applied to conventional and electric vehicles. Journal of Cleaner Production, 162, 754–763. </w:t>
      </w:r>
      <w:hyperlink r:id="rId2" w:tgtFrame="_blank" w:tooltip="https://doi.org/10.1016/j.jclepro.2017.06.063" w:history="1">
        <w:r>
          <w:rPr>
            <w:rStyle w:val="Hyperlink"/>
            <w:rFonts w:ascii="Segoe UI" w:hAnsi="Segoe UI" w:cs="Segoe UI"/>
            <w:sz w:val="22"/>
            <w:szCs w:val="22"/>
          </w:rPr>
          <w:t>https://doi.org/10.1016/j.jclepro.2017.06.063</w:t>
        </w:r>
      </w:hyperlink>
    </w:p>
    <w:p w14:paraId="483B5F16"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Redirecting</w:t>
      </w:r>
    </w:p>
    <w:p w14:paraId="28BBBC50" w14:textId="77777777" w:rsidR="00612ED9" w:rsidRDefault="00612ED9" w:rsidP="00612ED9">
      <w:pPr>
        <w:pStyle w:val="NormalWeb"/>
      </w:pPr>
    </w:p>
    <w:p w14:paraId="4534236D"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[3:09 PM] </w:t>
      </w:r>
      <w:proofErr w:type="spellStart"/>
      <w:r>
        <w:rPr>
          <w:rFonts w:ascii="Segoe UI" w:hAnsi="Segoe UI" w:cs="Segoe UI"/>
          <w:sz w:val="21"/>
          <w:szCs w:val="21"/>
        </w:rPr>
        <w:t>Mogollón</w:t>
      </w:r>
      <w:proofErr w:type="spellEnd"/>
      <w:r>
        <w:rPr>
          <w:rFonts w:ascii="Segoe UI" w:hAnsi="Segoe UI" w:cs="Segoe UI"/>
          <w:sz w:val="21"/>
          <w:szCs w:val="21"/>
        </w:rPr>
        <w:t>, J.M. (José)</w:t>
      </w:r>
    </w:p>
    <w:p w14:paraId="7C3FE8AE" w14:textId="77777777" w:rsidR="00612ED9" w:rsidRDefault="00612ED9" w:rsidP="00612ED9">
      <w:pPr>
        <w:pStyle w:val="NormalWeb"/>
        <w:ind w:left="480"/>
        <w:rPr>
          <w:rFonts w:ascii="Segoe UI" w:hAnsi="Segoe UI" w:cs="Segoe UI"/>
          <w:sz w:val="21"/>
          <w:szCs w:val="21"/>
        </w:rPr>
      </w:pPr>
      <w:proofErr w:type="spellStart"/>
      <w:r>
        <w:rPr>
          <w:rFonts w:ascii="Segoe UI" w:hAnsi="Segoe UI" w:cs="Segoe UI"/>
          <w:sz w:val="22"/>
          <w:szCs w:val="22"/>
        </w:rPr>
        <w:t>Cimprich</w:t>
      </w:r>
      <w:proofErr w:type="spellEnd"/>
      <w:r>
        <w:rPr>
          <w:rFonts w:ascii="Segoe UI" w:hAnsi="Segoe UI" w:cs="Segoe UI"/>
          <w:sz w:val="22"/>
          <w:szCs w:val="22"/>
        </w:rPr>
        <w:t xml:space="preserve">, A., Karim, K. S., &amp; Young, S. B. (2018). Extending the geopolitical supply risk </w:t>
      </w:r>
      <w:proofErr w:type="gramStart"/>
      <w:r>
        <w:rPr>
          <w:rFonts w:ascii="Segoe UI" w:hAnsi="Segoe UI" w:cs="Segoe UI"/>
          <w:sz w:val="22"/>
          <w:szCs w:val="22"/>
        </w:rPr>
        <w:t>method :</w:t>
      </w:r>
      <w:proofErr w:type="gramEnd"/>
      <w:r>
        <w:rPr>
          <w:rFonts w:ascii="Segoe UI" w:hAnsi="Segoe UI" w:cs="Segoe UI"/>
          <w:sz w:val="22"/>
          <w:szCs w:val="22"/>
        </w:rPr>
        <w:t xml:space="preserve"> material B substitutability ^ indicators applied to electric vehicles and dental X-ray equipment. 2024–2042. </w:t>
      </w:r>
    </w:p>
    <w:p w14:paraId="0CD13E7D" w14:textId="77777777" w:rsidR="00612ED9" w:rsidRDefault="00612ED9">
      <w:pPr>
        <w:pStyle w:val="CommentText"/>
      </w:pPr>
    </w:p>
    <w:p w14:paraId="5B53A348"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[3:10 PM] </w:t>
      </w:r>
      <w:proofErr w:type="spellStart"/>
      <w:r>
        <w:rPr>
          <w:rFonts w:ascii="Segoe UI" w:hAnsi="Segoe UI" w:cs="Segoe UI"/>
          <w:sz w:val="21"/>
          <w:szCs w:val="21"/>
        </w:rPr>
        <w:t>Mogollón</w:t>
      </w:r>
      <w:proofErr w:type="spellEnd"/>
      <w:r>
        <w:rPr>
          <w:rFonts w:ascii="Segoe UI" w:hAnsi="Segoe UI" w:cs="Segoe UI"/>
          <w:sz w:val="21"/>
          <w:szCs w:val="21"/>
        </w:rPr>
        <w:t>, J.M. (José)</w:t>
      </w:r>
    </w:p>
    <w:p w14:paraId="32ABF452" w14:textId="77777777" w:rsidR="00612ED9" w:rsidRDefault="00612ED9" w:rsidP="00612ED9">
      <w:pPr>
        <w:pStyle w:val="NormalWeb"/>
        <w:ind w:left="480"/>
        <w:rPr>
          <w:rFonts w:ascii="Segoe UI" w:hAnsi="Segoe UI" w:cs="Segoe UI"/>
          <w:sz w:val="21"/>
          <w:szCs w:val="21"/>
        </w:rPr>
      </w:pPr>
      <w:proofErr w:type="spellStart"/>
      <w:r>
        <w:rPr>
          <w:rFonts w:ascii="Segoe UI" w:hAnsi="Segoe UI" w:cs="Segoe UI"/>
          <w:sz w:val="22"/>
          <w:szCs w:val="22"/>
        </w:rPr>
        <w:t>Gemechu</w:t>
      </w:r>
      <w:proofErr w:type="spellEnd"/>
      <w:r>
        <w:rPr>
          <w:rFonts w:ascii="Segoe UI" w:hAnsi="Segoe UI" w:cs="Segoe UI"/>
          <w:sz w:val="22"/>
          <w:szCs w:val="22"/>
        </w:rPr>
        <w:t xml:space="preserve">, E. D., </w:t>
      </w:r>
      <w:proofErr w:type="spellStart"/>
      <w:r>
        <w:rPr>
          <w:rFonts w:ascii="Segoe UI" w:hAnsi="Segoe UI" w:cs="Segoe UI"/>
          <w:sz w:val="22"/>
          <w:szCs w:val="22"/>
        </w:rPr>
        <w:t>Helbig</w:t>
      </w:r>
      <w:proofErr w:type="spellEnd"/>
      <w:r>
        <w:rPr>
          <w:rFonts w:ascii="Segoe UI" w:hAnsi="Segoe UI" w:cs="Segoe UI"/>
          <w:sz w:val="22"/>
          <w:szCs w:val="22"/>
        </w:rPr>
        <w:t xml:space="preserve">, C., </w:t>
      </w:r>
      <w:proofErr w:type="spellStart"/>
      <w:r>
        <w:rPr>
          <w:rFonts w:ascii="Segoe UI" w:hAnsi="Segoe UI" w:cs="Segoe UI"/>
          <w:sz w:val="22"/>
          <w:szCs w:val="22"/>
        </w:rPr>
        <w:t>Sonnemann</w:t>
      </w:r>
      <w:proofErr w:type="spellEnd"/>
      <w:r>
        <w:rPr>
          <w:rFonts w:ascii="Segoe UI" w:hAnsi="Segoe UI" w:cs="Segoe UI"/>
          <w:sz w:val="22"/>
          <w:szCs w:val="22"/>
        </w:rPr>
        <w:t>, G., </w:t>
      </w:r>
      <w:proofErr w:type="spellStart"/>
      <w:r>
        <w:rPr>
          <w:rFonts w:ascii="Segoe UI" w:hAnsi="Segoe UI" w:cs="Segoe UI"/>
          <w:sz w:val="22"/>
          <w:szCs w:val="22"/>
        </w:rPr>
        <w:t>Thorenz</w:t>
      </w:r>
      <w:proofErr w:type="spellEnd"/>
      <w:r>
        <w:rPr>
          <w:rFonts w:ascii="Segoe UI" w:hAnsi="Segoe UI" w:cs="Segoe UI"/>
          <w:sz w:val="22"/>
          <w:szCs w:val="22"/>
        </w:rPr>
        <w:t>, A., &amp; </w:t>
      </w:r>
      <w:proofErr w:type="spellStart"/>
      <w:r>
        <w:rPr>
          <w:rFonts w:ascii="Segoe UI" w:hAnsi="Segoe UI" w:cs="Segoe UI"/>
          <w:sz w:val="22"/>
          <w:szCs w:val="22"/>
        </w:rPr>
        <w:t>Tuma</w:t>
      </w:r>
      <w:proofErr w:type="spellEnd"/>
      <w:r>
        <w:rPr>
          <w:rFonts w:ascii="Segoe UI" w:hAnsi="Segoe UI" w:cs="Segoe UI"/>
          <w:sz w:val="22"/>
          <w:szCs w:val="22"/>
        </w:rPr>
        <w:t xml:space="preserve">, A. (2016). Import-based Indicator for the Geopolitical Supply Risk of Raw Materials in Life Cycle Sustainability Assessments. Journal of Industrial Ecology, 20(1), 154–165. </w:t>
      </w:r>
      <w:hyperlink r:id="rId3" w:tgtFrame="_blank" w:tooltip="https://doi.org/10.1111/jiec.12279" w:history="1">
        <w:r>
          <w:rPr>
            <w:rStyle w:val="Hyperlink"/>
            <w:rFonts w:ascii="Segoe UI" w:hAnsi="Segoe UI" w:cs="Segoe UI"/>
            <w:sz w:val="22"/>
            <w:szCs w:val="22"/>
          </w:rPr>
          <w:t>https://doi.org/10.1111/jiec.12279</w:t>
        </w:r>
      </w:hyperlink>
    </w:p>
    <w:p w14:paraId="09C8CE9A" w14:textId="77777777" w:rsidR="00612ED9" w:rsidRDefault="00612ED9" w:rsidP="00612ED9">
      <w:pPr>
        <w:pStyle w:val="NormalWeb"/>
      </w:pPr>
    </w:p>
    <w:p w14:paraId="77AA9121"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[3:10 PM] </w:t>
      </w:r>
      <w:proofErr w:type="spellStart"/>
      <w:r>
        <w:rPr>
          <w:rFonts w:ascii="Segoe UI" w:hAnsi="Segoe UI" w:cs="Segoe UI"/>
          <w:sz w:val="21"/>
          <w:szCs w:val="21"/>
        </w:rPr>
        <w:t>Mogollón</w:t>
      </w:r>
      <w:proofErr w:type="spellEnd"/>
      <w:r>
        <w:rPr>
          <w:rFonts w:ascii="Segoe UI" w:hAnsi="Segoe UI" w:cs="Segoe UI"/>
          <w:sz w:val="21"/>
          <w:szCs w:val="21"/>
        </w:rPr>
        <w:t>, J.M. (José)</w:t>
      </w:r>
    </w:p>
    <w:p w14:paraId="658E9F1D" w14:textId="77777777" w:rsidR="00612ED9" w:rsidRDefault="00612ED9" w:rsidP="00612ED9">
      <w:pPr>
        <w:pStyle w:val="NormalWeb"/>
        <w:ind w:left="480"/>
        <w:rPr>
          <w:rFonts w:ascii="Segoe UI" w:hAnsi="Segoe UI" w:cs="Segoe UI"/>
          <w:sz w:val="21"/>
          <w:szCs w:val="21"/>
        </w:rPr>
      </w:pPr>
      <w:proofErr w:type="spellStart"/>
      <w:r>
        <w:rPr>
          <w:rFonts w:ascii="Segoe UI" w:hAnsi="Segoe UI" w:cs="Segoe UI"/>
          <w:sz w:val="22"/>
          <w:szCs w:val="22"/>
        </w:rPr>
        <w:t>Gemechu</w:t>
      </w:r>
      <w:proofErr w:type="spellEnd"/>
      <w:r>
        <w:rPr>
          <w:rFonts w:ascii="Segoe UI" w:hAnsi="Segoe UI" w:cs="Segoe UI"/>
          <w:sz w:val="22"/>
          <w:szCs w:val="22"/>
        </w:rPr>
        <w:t xml:space="preserve">, E. D., </w:t>
      </w:r>
      <w:proofErr w:type="spellStart"/>
      <w:r>
        <w:rPr>
          <w:rFonts w:ascii="Segoe UI" w:hAnsi="Segoe UI" w:cs="Segoe UI"/>
          <w:sz w:val="22"/>
          <w:szCs w:val="22"/>
        </w:rPr>
        <w:t>Sonnemann</w:t>
      </w:r>
      <w:proofErr w:type="spellEnd"/>
      <w:r>
        <w:rPr>
          <w:rFonts w:ascii="Segoe UI" w:hAnsi="Segoe UI" w:cs="Segoe UI"/>
          <w:sz w:val="22"/>
          <w:szCs w:val="22"/>
        </w:rPr>
        <w:t xml:space="preserve">, G., &amp; Young, S. B. (2017). Geopolitical-related supply risk assessment as a complement to environmental impact </w:t>
      </w:r>
      <w:proofErr w:type="gramStart"/>
      <w:r>
        <w:rPr>
          <w:rFonts w:ascii="Segoe UI" w:hAnsi="Segoe UI" w:cs="Segoe UI"/>
          <w:sz w:val="22"/>
          <w:szCs w:val="22"/>
        </w:rPr>
        <w:t>assessment :</w:t>
      </w:r>
      <w:proofErr w:type="gramEnd"/>
      <w:r>
        <w:rPr>
          <w:rFonts w:ascii="Segoe UI" w:hAnsi="Segoe UI" w:cs="Segoe UI"/>
          <w:sz w:val="22"/>
          <w:szCs w:val="22"/>
        </w:rPr>
        <w:t xml:space="preserve"> the case of electric vehicles. The International Journal of Life Cycle Assessment, 31–39. </w:t>
      </w:r>
      <w:hyperlink r:id="rId4" w:tgtFrame="_blank" w:tooltip="https://doi.org/10.1007/s11367-015-0917-4" w:history="1">
        <w:r>
          <w:rPr>
            <w:rStyle w:val="Hyperlink"/>
            <w:rFonts w:ascii="Segoe UI" w:hAnsi="Segoe UI" w:cs="Segoe UI"/>
            <w:sz w:val="22"/>
            <w:szCs w:val="22"/>
          </w:rPr>
          <w:t>https://doi.org/10.1007/s11367-015-0917-4</w:t>
        </w:r>
      </w:hyperlink>
    </w:p>
    <w:p w14:paraId="2B7B0CC1"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Geopolitical-related supply risk assessment as a complement to environmental impact assessment: the case of electric vehicles</w:t>
      </w:r>
    </w:p>
    <w:p w14:paraId="2AA50D33"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The International Journal of Life Cycle Assessment - Introducing a geopolitical-related supply risk (</w:t>
      </w:r>
      <w:proofErr w:type="spellStart"/>
      <w:r>
        <w:rPr>
          <w:rFonts w:ascii="Segoe UI" w:hAnsi="Segoe UI" w:cs="Segoe UI"/>
          <w:sz w:val="21"/>
          <w:szCs w:val="21"/>
        </w:rPr>
        <w:t>GeoPolRisk</w:t>
      </w:r>
      <w:proofErr w:type="spellEnd"/>
      <w:r>
        <w:rPr>
          <w:rFonts w:ascii="Segoe UI" w:hAnsi="Segoe UI" w:cs="Segoe UI"/>
          <w:sz w:val="21"/>
          <w:szCs w:val="21"/>
        </w:rPr>
        <w:t>) into the life cycle sustainability assessment (LCSA) framework adds a criticality...</w:t>
      </w:r>
    </w:p>
    <w:p w14:paraId="7061AC3F" w14:textId="70ABE085" w:rsidR="00612ED9" w:rsidRDefault="00612ED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A57937" w15:done="0"/>
  <w15:commentEx w15:paraId="06BF54A8" w15:done="0"/>
  <w15:commentEx w15:paraId="29404E08" w15:paraIdParent="06BF54A8" w15:done="0"/>
  <w15:commentEx w15:paraId="7E8D97A8" w15:done="0"/>
  <w15:commentEx w15:paraId="5471B127" w15:paraIdParent="7E8D97A8" w15:done="0"/>
  <w15:commentEx w15:paraId="7780DF7B" w15:done="0"/>
  <w15:commentEx w15:paraId="46997C50" w15:done="0"/>
  <w15:commentEx w15:paraId="7DAE1F21" w15:done="0"/>
  <w15:commentEx w15:paraId="1FE55632" w15:done="1"/>
  <w15:commentEx w15:paraId="4E7D4A27" w15:done="1"/>
  <w15:commentEx w15:paraId="50287F9C" w15:done="0"/>
  <w15:commentEx w15:paraId="0A3ECB7A" w15:paraIdParent="50287F9C" w15:done="0"/>
  <w15:commentEx w15:paraId="7061AC3F" w15:paraIdParent="50287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FD94" w16cex:dateUtc="2022-02-10T20:09:00Z"/>
  <w16cex:commentExtensible w16cex:durableId="25B01E00" w16cex:dateUtc="2022-02-10T22:28:00Z"/>
  <w16cex:commentExtensible w16cex:durableId="25B01E25" w16cex:dateUtc="2022-02-10T22:28:00Z"/>
  <w16cex:commentExtensible w16cex:durableId="25B00096" w16cex:dateUtc="2022-02-10T20:22:00Z"/>
  <w16cex:commentExtensible w16cex:durableId="25B0009B" w16cex:dateUtc="2022-02-10T20:22:00Z"/>
  <w16cex:commentExtensible w16cex:durableId="25B00DEA" w16cex:dateUtc="2022-02-10T21:19:00Z"/>
  <w16cex:commentExtensible w16cex:durableId="25B01FB5" w16cex:dateUtc="2022-02-10T22:35:00Z"/>
  <w16cex:commentExtensible w16cex:durableId="25B02224" w16cex:dateUtc="2022-02-10T22:45:00Z"/>
  <w16cex:commentExtensible w16cex:durableId="25B9826A" w16cex:dateUtc="2022-02-18T01:26:00Z"/>
  <w16cex:commentExtensible w16cex:durableId="25B983DE" w16cex:dateUtc="2022-02-18T01:33:00Z"/>
  <w16cex:commentExtensible w16cex:durableId="25B96F88" w16cex:dateUtc="2022-02-17T23:49:00Z"/>
  <w16cex:commentExtensible w16cex:durableId="25BA3426" w16cex:dateUtc="2022-02-18T14:05:00Z"/>
  <w16cex:commentExtensible w16cex:durableId="25BA3556" w16cex:dateUtc="2022-02-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A57937" w16cid:durableId="25AFFD94"/>
  <w16cid:commentId w16cid:paraId="06BF54A8" w16cid:durableId="25B01E00"/>
  <w16cid:commentId w16cid:paraId="29404E08" w16cid:durableId="25B01E25"/>
  <w16cid:commentId w16cid:paraId="7E8D97A8" w16cid:durableId="25B00096"/>
  <w16cid:commentId w16cid:paraId="5471B127" w16cid:durableId="25B0009B"/>
  <w16cid:commentId w16cid:paraId="7780DF7B" w16cid:durableId="25B00DEA"/>
  <w16cid:commentId w16cid:paraId="46997C50" w16cid:durableId="25B01FB5"/>
  <w16cid:commentId w16cid:paraId="7DAE1F21" w16cid:durableId="25B02224"/>
  <w16cid:commentId w16cid:paraId="1FE55632" w16cid:durableId="25B9826A"/>
  <w16cid:commentId w16cid:paraId="4E7D4A27" w16cid:durableId="25B983DE"/>
  <w16cid:commentId w16cid:paraId="50287F9C" w16cid:durableId="25B96F88"/>
  <w16cid:commentId w16cid:paraId="0A3ECB7A" w16cid:durableId="25BA3426"/>
  <w16cid:commentId w16cid:paraId="7061AC3F" w16cid:durableId="25BA35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7DF"/>
    <w:multiLevelType w:val="hybridMultilevel"/>
    <w:tmpl w:val="18D87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600A2"/>
    <w:multiLevelType w:val="hybridMultilevel"/>
    <w:tmpl w:val="CFF8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511"/>
    <w:multiLevelType w:val="hybridMultilevel"/>
    <w:tmpl w:val="91DE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20ADD"/>
    <w:multiLevelType w:val="hybridMultilevel"/>
    <w:tmpl w:val="2DA433E6"/>
    <w:lvl w:ilvl="0" w:tplc="16A2B7A0">
      <w:start w:val="1"/>
      <w:numFmt w:val="decimal"/>
      <w:lvlText w:val="%1."/>
      <w:lvlJc w:val="left"/>
      <w:pPr>
        <w:ind w:left="720" w:hanging="360"/>
      </w:pPr>
      <w:rPr>
        <w:rFonts w:ascii="Segoe UI" w:hAnsi="Segoe U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47D70"/>
    <w:multiLevelType w:val="hybridMultilevel"/>
    <w:tmpl w:val="4BE89474"/>
    <w:lvl w:ilvl="0" w:tplc="E1844778">
      <w:start w:val="4"/>
      <w:numFmt w:val="decimal"/>
      <w:lvlText w:val="%1."/>
      <w:lvlJc w:val="left"/>
      <w:pPr>
        <w:ind w:left="720" w:hanging="360"/>
      </w:pPr>
      <w:rPr>
        <w:rFonts w:ascii="Georgia" w:hAnsi="Georgia" w:hint="default"/>
        <w:color w:val="333333"/>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E72B9"/>
    <w:multiLevelType w:val="hybridMultilevel"/>
    <w:tmpl w:val="FD30D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82398"/>
    <w:multiLevelType w:val="hybridMultilevel"/>
    <w:tmpl w:val="14D46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013B0"/>
    <w:multiLevelType w:val="multilevel"/>
    <w:tmpl w:val="05CA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71684A"/>
    <w:multiLevelType w:val="hybridMultilevel"/>
    <w:tmpl w:val="51A0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4"/>
  </w:num>
  <w:num w:numId="6">
    <w:abstractNumId w:val="5"/>
  </w:num>
  <w:num w:numId="7">
    <w:abstractNumId w:val="2"/>
  </w:num>
  <w:num w:numId="8">
    <w:abstractNumId w:val="8"/>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tany, J.I. (Jasmine)">
    <w15:presenceInfo w15:providerId="None" w15:userId="Pattany, J.I. (Jasm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F8"/>
    <w:rsid w:val="00037A76"/>
    <w:rsid w:val="00114E3F"/>
    <w:rsid w:val="00123CAA"/>
    <w:rsid w:val="001550EF"/>
    <w:rsid w:val="00180889"/>
    <w:rsid w:val="001903AE"/>
    <w:rsid w:val="001E50F2"/>
    <w:rsid w:val="00265BB9"/>
    <w:rsid w:val="002F502A"/>
    <w:rsid w:val="003138C8"/>
    <w:rsid w:val="00380BA1"/>
    <w:rsid w:val="004856C1"/>
    <w:rsid w:val="005779FC"/>
    <w:rsid w:val="005B69E2"/>
    <w:rsid w:val="00612ED9"/>
    <w:rsid w:val="00650753"/>
    <w:rsid w:val="00662628"/>
    <w:rsid w:val="00664A8A"/>
    <w:rsid w:val="006A2807"/>
    <w:rsid w:val="0075255A"/>
    <w:rsid w:val="00787FF3"/>
    <w:rsid w:val="007905F4"/>
    <w:rsid w:val="00797586"/>
    <w:rsid w:val="007D1119"/>
    <w:rsid w:val="00805C49"/>
    <w:rsid w:val="008524B3"/>
    <w:rsid w:val="0086732E"/>
    <w:rsid w:val="008A4711"/>
    <w:rsid w:val="009473F8"/>
    <w:rsid w:val="009B68B2"/>
    <w:rsid w:val="009E28FB"/>
    <w:rsid w:val="00A25D27"/>
    <w:rsid w:val="00A441EB"/>
    <w:rsid w:val="00AA64B8"/>
    <w:rsid w:val="00B109AD"/>
    <w:rsid w:val="00BB43C4"/>
    <w:rsid w:val="00BD665F"/>
    <w:rsid w:val="00D43F38"/>
    <w:rsid w:val="00DA001D"/>
    <w:rsid w:val="00E47117"/>
    <w:rsid w:val="00E472F2"/>
    <w:rsid w:val="00E645F3"/>
    <w:rsid w:val="00E830E2"/>
    <w:rsid w:val="00E96D40"/>
    <w:rsid w:val="00F35E4C"/>
    <w:rsid w:val="00F72C31"/>
    <w:rsid w:val="00F809A1"/>
    <w:rsid w:val="00FA49EF"/>
    <w:rsid w:val="00FF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4BF3"/>
  <w15:chartTrackingRefBased/>
  <w15:docId w15:val="{FD351D2F-A89C-4C3B-9307-E99E78C4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55A"/>
    <w:rPr>
      <w:rFonts w:ascii="Segoe UI" w:hAnsi="Segoe UI"/>
      <w:sz w:val="24"/>
    </w:rPr>
  </w:style>
  <w:style w:type="paragraph" w:styleId="Heading1">
    <w:name w:val="heading 1"/>
    <w:basedOn w:val="Normal"/>
    <w:next w:val="Normal"/>
    <w:link w:val="Heading1Char"/>
    <w:uiPriority w:val="9"/>
    <w:qFormat/>
    <w:rsid w:val="00805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55A"/>
    <w:pPr>
      <w:keepNext/>
      <w:keepLines/>
      <w:widowControl w:val="0"/>
      <w:autoSpaceDE w:val="0"/>
      <w:autoSpaceDN w:val="0"/>
      <w:spacing w:before="40" w:after="0" w:line="240" w:lineRule="auto"/>
      <w:outlineLvl w:val="1"/>
    </w:pPr>
    <w:rPr>
      <w:rFonts w:ascii="Georgia" w:eastAsiaTheme="majorEastAsia" w:hAnsi="Georg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55A"/>
    <w:rPr>
      <w:rFonts w:ascii="Georgia" w:eastAsiaTheme="majorEastAsia" w:hAnsi="Georgia" w:cstheme="majorBidi"/>
      <w:b/>
      <w:color w:val="000000" w:themeColor="text1"/>
      <w:sz w:val="28"/>
      <w:szCs w:val="26"/>
    </w:rPr>
  </w:style>
  <w:style w:type="paragraph" w:styleId="BodyText">
    <w:name w:val="Body Text"/>
    <w:basedOn w:val="Normal"/>
    <w:link w:val="BodyTextChar"/>
    <w:uiPriority w:val="1"/>
    <w:qFormat/>
    <w:rsid w:val="0075255A"/>
    <w:pPr>
      <w:widowControl w:val="0"/>
      <w:autoSpaceDE w:val="0"/>
      <w:autoSpaceDN w:val="0"/>
      <w:spacing w:before="120" w:after="120" w:line="240" w:lineRule="auto"/>
    </w:pPr>
    <w:rPr>
      <w:rFonts w:eastAsia="Segoe UI" w:cs="Segoe UI"/>
    </w:rPr>
  </w:style>
  <w:style w:type="character" w:customStyle="1" w:styleId="BodyTextChar">
    <w:name w:val="Body Text Char"/>
    <w:basedOn w:val="DefaultParagraphFont"/>
    <w:link w:val="BodyText"/>
    <w:uiPriority w:val="1"/>
    <w:rsid w:val="0075255A"/>
    <w:rPr>
      <w:rFonts w:ascii="Segoe UI" w:eastAsia="Segoe UI" w:hAnsi="Segoe UI" w:cs="Segoe UI"/>
      <w:sz w:val="24"/>
    </w:rPr>
  </w:style>
  <w:style w:type="paragraph" w:styleId="ListParagraph">
    <w:name w:val="List Paragraph"/>
    <w:basedOn w:val="Normal"/>
    <w:uiPriority w:val="1"/>
    <w:qFormat/>
    <w:rsid w:val="0075255A"/>
    <w:pPr>
      <w:widowControl w:val="0"/>
      <w:autoSpaceDE w:val="0"/>
      <w:autoSpaceDN w:val="0"/>
      <w:spacing w:after="0" w:line="240" w:lineRule="auto"/>
      <w:ind w:left="859" w:right="139" w:hanging="360"/>
      <w:jc w:val="both"/>
    </w:pPr>
    <w:rPr>
      <w:rFonts w:eastAsia="Segoe UI" w:cs="Segoe UI"/>
    </w:rPr>
  </w:style>
  <w:style w:type="character" w:styleId="CommentReference">
    <w:name w:val="annotation reference"/>
    <w:basedOn w:val="DefaultParagraphFont"/>
    <w:uiPriority w:val="99"/>
    <w:semiHidden/>
    <w:unhideWhenUsed/>
    <w:rsid w:val="00DA001D"/>
    <w:rPr>
      <w:sz w:val="16"/>
      <w:szCs w:val="16"/>
    </w:rPr>
  </w:style>
  <w:style w:type="paragraph" w:styleId="CommentText">
    <w:name w:val="annotation text"/>
    <w:basedOn w:val="Normal"/>
    <w:link w:val="CommentTextChar"/>
    <w:uiPriority w:val="99"/>
    <w:semiHidden/>
    <w:unhideWhenUsed/>
    <w:rsid w:val="00DA001D"/>
    <w:pPr>
      <w:spacing w:line="240" w:lineRule="auto"/>
    </w:pPr>
    <w:rPr>
      <w:sz w:val="20"/>
      <w:szCs w:val="20"/>
    </w:rPr>
  </w:style>
  <w:style w:type="character" w:customStyle="1" w:styleId="CommentTextChar">
    <w:name w:val="Comment Text Char"/>
    <w:basedOn w:val="DefaultParagraphFont"/>
    <w:link w:val="CommentText"/>
    <w:uiPriority w:val="99"/>
    <w:semiHidden/>
    <w:rsid w:val="00DA001D"/>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DA001D"/>
    <w:rPr>
      <w:b/>
      <w:bCs/>
    </w:rPr>
  </w:style>
  <w:style w:type="character" w:customStyle="1" w:styleId="CommentSubjectChar">
    <w:name w:val="Comment Subject Char"/>
    <w:basedOn w:val="CommentTextChar"/>
    <w:link w:val="CommentSubject"/>
    <w:uiPriority w:val="99"/>
    <w:semiHidden/>
    <w:rsid w:val="00DA001D"/>
    <w:rPr>
      <w:rFonts w:ascii="Segoe UI" w:hAnsi="Segoe UI"/>
      <w:b/>
      <w:bCs/>
      <w:sz w:val="20"/>
      <w:szCs w:val="20"/>
    </w:rPr>
  </w:style>
  <w:style w:type="character" w:styleId="Hyperlink">
    <w:name w:val="Hyperlink"/>
    <w:basedOn w:val="DefaultParagraphFont"/>
    <w:uiPriority w:val="99"/>
    <w:unhideWhenUsed/>
    <w:rsid w:val="00805C49"/>
    <w:rPr>
      <w:color w:val="0563C1" w:themeColor="hyperlink"/>
      <w:u w:val="single"/>
    </w:rPr>
  </w:style>
  <w:style w:type="character" w:styleId="UnresolvedMention">
    <w:name w:val="Unresolved Mention"/>
    <w:basedOn w:val="DefaultParagraphFont"/>
    <w:uiPriority w:val="99"/>
    <w:semiHidden/>
    <w:unhideWhenUsed/>
    <w:rsid w:val="00805C49"/>
    <w:rPr>
      <w:color w:val="605E5C"/>
      <w:shd w:val="clear" w:color="auto" w:fill="E1DFDD"/>
    </w:rPr>
  </w:style>
  <w:style w:type="character" w:customStyle="1" w:styleId="Heading1Char">
    <w:name w:val="Heading 1 Char"/>
    <w:basedOn w:val="DefaultParagraphFont"/>
    <w:link w:val="Heading1"/>
    <w:uiPriority w:val="9"/>
    <w:rsid w:val="00805C4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D665F"/>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790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738693">
      <w:bodyDiv w:val="1"/>
      <w:marLeft w:val="0"/>
      <w:marRight w:val="0"/>
      <w:marTop w:val="0"/>
      <w:marBottom w:val="0"/>
      <w:divBdr>
        <w:top w:val="none" w:sz="0" w:space="0" w:color="auto"/>
        <w:left w:val="none" w:sz="0" w:space="0" w:color="auto"/>
        <w:bottom w:val="none" w:sz="0" w:space="0" w:color="auto"/>
        <w:right w:val="none" w:sz="0" w:space="0" w:color="auto"/>
      </w:divBdr>
    </w:div>
    <w:div w:id="1565949894">
      <w:bodyDiv w:val="1"/>
      <w:marLeft w:val="0"/>
      <w:marRight w:val="0"/>
      <w:marTop w:val="0"/>
      <w:marBottom w:val="0"/>
      <w:divBdr>
        <w:top w:val="none" w:sz="0" w:space="0" w:color="auto"/>
        <w:left w:val="none" w:sz="0" w:space="0" w:color="auto"/>
        <w:bottom w:val="none" w:sz="0" w:space="0" w:color="auto"/>
        <w:right w:val="none" w:sz="0" w:space="0" w:color="auto"/>
      </w:divBdr>
    </w:div>
    <w:div w:id="1887836430">
      <w:bodyDiv w:val="1"/>
      <w:marLeft w:val="0"/>
      <w:marRight w:val="0"/>
      <w:marTop w:val="0"/>
      <w:marBottom w:val="0"/>
      <w:divBdr>
        <w:top w:val="none" w:sz="0" w:space="0" w:color="auto"/>
        <w:left w:val="none" w:sz="0" w:space="0" w:color="auto"/>
        <w:bottom w:val="none" w:sz="0" w:space="0" w:color="auto"/>
        <w:right w:val="none" w:sz="0" w:space="0" w:color="auto"/>
      </w:divBdr>
    </w:div>
    <w:div w:id="201911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111/jiec.12279" TargetMode="External"/><Relationship Id="rId2" Type="http://schemas.openxmlformats.org/officeDocument/2006/relationships/hyperlink" Target="https://doi.org/10.1016/j.jclepro.2017.06.063" TargetMode="External"/><Relationship Id="rId1" Type="http://schemas.openxmlformats.org/officeDocument/2006/relationships/hyperlink" Target="https://wits.worldbank.org/trade/comtrade/en/country/ALL/year/2019/tradeflow/Exports/partner/WLD/product/260500" TargetMode="External"/><Relationship Id="rId4" Type="http://schemas.openxmlformats.org/officeDocument/2006/relationships/hyperlink" Target="https://doi.org/10.1007/s11367-015-0917-4"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onlinelibrary.wiley.com/doi/full/10.1111/jiec.12279?casa_token=S_y7J35sWVIAAAAA%3AijySj49Yk_ki6MIE3ED8-fPLl__aFSGOVXYWkBafOTuqKAP25d05FyF1SD-gg0ixigfDli6FpOqFkkQ"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sthda.com/english/wiki/cox-proportional-hazards-mode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link-springer-com.tudelft.idm.oclc.org/article/10.1007/s10479-020-03912-1"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Fat07</b:Tag>
    <b:SourceType>JournalArticle</b:SourceType>
    <b:Guid>{7CF42711-CAAA-4CCB-9E4E-49DA97F825D8}</b:Guid>
    <b:Title>Ecological network analysis: network construction</b:Title>
    <b:JournalName>Ecological Modelling</b:JournalName>
    <b:Year>2007</b:Year>
    <b:Pages>49-55</b:Pages>
    <b:Author>
      <b:Author>
        <b:NameList>
          <b:Person>
            <b:Last>Fatha</b:Last>
            <b:First>Brian</b:First>
          </b:Person>
          <b:Person>
            <b:Last>Scharler</b:Last>
            <b:First>Ursula </b:First>
          </b:Person>
          <b:Person>
            <b:Last>Ulanowicz</b:Last>
            <b:First>Robert</b:First>
          </b:Person>
        </b:NameList>
      </b:Author>
    </b:Author>
    <b:RefOrder>1</b:RefOrder>
  </b:Source>
</b:Sources>
</file>

<file path=customXml/itemProps1.xml><?xml version="1.0" encoding="utf-8"?>
<ds:datastoreItem xmlns:ds="http://schemas.openxmlformats.org/officeDocument/2006/customXml" ds:itemID="{6A52526E-AB4D-4478-B5C0-B68D218D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5072</TotalTime>
  <Pages>5</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Pattany, J.I. (Jasmine)</dc:creator>
  <cp:keywords/>
  <dc:description/>
  <cp:lastModifiedBy>Pattany, J.I. (Jasmine)</cp:lastModifiedBy>
  <cp:revision>45</cp:revision>
  <dcterms:created xsi:type="dcterms:W3CDTF">2022-02-08T19:40:00Z</dcterms:created>
  <dcterms:modified xsi:type="dcterms:W3CDTF">2022-02-18T14:13:00Z</dcterms:modified>
</cp:coreProperties>
</file>