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</w:pPr>
      <w:r>
        <w:rPr>
          <w:b/>
          <w:bCs/>
          <w:color w:val="23262B"/>
          <w:sz w:val="30"/>
          <w:szCs w:val="30"/>
        </w:rPr>
        <w:t xml:space="preserve">GRUSH VENTURES</w:t>
      </w:r>
      <w:r>
        <w:rPr>
          <w:color w:val="5F6A72"/>
          <w:sz w:val="22"/>
          <w:szCs w:val="22"/>
        </w:rPr>
        <w:t xml:space="preserve">  — Self-Employment Business Plan (Summary)</w:t>
      </w:r>
    </w:p>
    <w:p>
      <w:pPr>
        <w:spacing w:after="10"/>
      </w:pPr>
      <w:r>
        <w:rPr>
          <w:i/>
          <w:iCs/>
          <w:color w:val="5F6A72"/>
          <w:sz w:val="17"/>
          <w:szCs w:val="17"/>
        </w:rPr>
        <w:t xml:space="preserve">Veteran Readiness &amp; Employment (Chapter 31) · Self-Employment Track</w:t>
      </w:r>
    </w:p>
    <w:p>
      <w:pPr>
        <w:spacing w:after="18"/>
      </w:pPr>
      <w:r>
        <w:rPr>
          <w:color w:val="333333"/>
          <w:sz w:val="17"/>
          <w:szCs w:val="17"/>
        </w:rPr>
        <w:t xml:space="preserve">Chad Eric Pattengale · Riverside, CA · U.S. Marine Corps (Honorable) · 100% Permanent &amp; Total service-connected · VA Claim #: __________ · Prepared July 2026</w:t>
      </w:r>
    </w:p>
    <w:p>
      <w:pPr>
        <w:pBdr>
          <w:bottom w:val="single" w:color="9E2B30" w:sz="8"/>
        </w:pBdr>
        <w:spacing w:after="28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0"/>
            </w:tcMar>
            <w:vAlign w:val="top"/>
          </w:tcPr>
          <w:p>
            <w:pPr>
              <w:spacing w:after="16" w:before="0"/>
            </w:pPr>
            <w:r>
              <w:rPr>
                <w:b/>
                <w:bCs/>
                <w:color w:val="23262B"/>
                <w:sz w:val="21"/>
                <w:szCs w:val="21"/>
              </w:rPr>
              <w:t xml:space="preserve">1 · Vocational Goal</w:t>
            </w:r>
          </w:p>
          <w:p>
            <w:pPr>
              <w:spacing w:after="48"/>
            </w:pPr>
            <w:r>
              <w:rPr>
                <w:color w:val="222222"/>
                <w:sz w:val="17"/>
                <w:szCs w:val="17"/>
              </w:rPr>
              <w:t xml:space="preserve">Self-employment as founder and operator of Grush Ventures, an environmental production-and-restoration company. The anchor business is Fun Guy Fungi, a single-container gourmet mushroom farm. Additional revenue streams (Grush software, modular grow structures, soil-restoration products) develop in sequence, each funded by the one before it.</w:t>
            </w:r>
          </w:p>
          <w:p>
            <w:pPr>
              <w:spacing w:after="16" w:before="48"/>
            </w:pPr>
            <w:r>
              <w:rPr>
                <w:b/>
                <w:bCs/>
                <w:color w:val="23262B"/>
                <w:sz w:val="21"/>
                <w:szCs w:val="21"/>
              </w:rPr>
              <w:t xml:space="preserve">2 · Founder Qualifications</w:t>
            </w:r>
          </w:p>
          <w:p>
            <w:pPr>
              <w:spacing w:after="48"/>
            </w:pPr>
            <w:r>
              <w:rPr>
                <w:color w:val="222222"/>
                <w:sz w:val="17"/>
                <w:szCs w:val="17"/>
              </w:rPr>
              <w:t xml:space="preserve">A career of high-consequence, get-it-right-the-first-time roles: Marine linguist; 911 operator; armed power-plant guard; nurse across cardiac ICU, emergency, trauma, and correctional units; and electrician, builder, and project coordinator on the power-distribution buildings that AI data centers and utilities depend on. Currently completing a B.S. in Environmental Science (California Baptist University). He self-taught and built the Grush software platform end-to-end (two live deployments). This breadth — field operations, healthcare, the trades, and applied environmental science — directly equips the production, systems, and restoration sides of the venture.</w:t>
            </w:r>
          </w:p>
          <w:p>
            <w:pPr>
              <w:spacing w:after="16" w:before="48"/>
            </w:pPr>
            <w:r>
              <w:rPr>
                <w:b/>
                <w:bCs/>
                <w:color w:val="23262B"/>
                <w:sz w:val="21"/>
                <w:szCs w:val="21"/>
              </w:rPr>
              <w:t xml:space="preserve">3 · Why Self-Employment Is the Feasible Path</w:t>
            </w:r>
          </w:p>
          <w:p>
            <w:pPr>
              <w:spacing w:after="0"/>
            </w:pPr>
            <w:r>
              <w:rPr>
                <w:color w:val="222222"/>
                <w:sz w:val="17"/>
                <w:szCs w:val="17"/>
              </w:rPr>
              <w:t xml:space="preserve">The veteran's service-connected disabilities are rated 100% Permanent &amp; Total. The inflammatory nature of his physical conditions requires the ability to self-manage his work pace and to modify or pause his schedule to recover during flares; his service-connected chronic PTSD requires flexibility to alter his daily routine as symptoms dictate. Traditional employment — a fixed schedule, a set worksite, and an employer-controlled pace — cannot reliably accommodate these needs. Self-employment lets the work be structured around his medical reality. The container-farm model reinforces this fit: indoor, climate-controlled, single-operator, and task-flexible, so daily tasks can shift by hours.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0"/>
            </w:tcMar>
            <w:vAlign w:val="top"/>
          </w:tcPr>
          <w:p>
            <w:pPr>
              <w:spacing w:after="16" w:before="0"/>
            </w:pPr>
            <w:r>
              <w:rPr>
                <w:b/>
                <w:bCs/>
                <w:color w:val="23262B"/>
                <w:sz w:val="21"/>
                <w:szCs w:val="21"/>
              </w:rPr>
              <w:t xml:space="preserve">4 · Business &amp; Revenue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/>
            </w:pPr>
            <w:r>
              <w:rPr>
                <w:color w:val="222222"/>
                <w:sz w:val="17"/>
                <w:szCs w:val="17"/>
              </w:rPr>
              <w:t xml:space="preserve">Phase 1 — Fun Guy Fungi (launch): high-value gourmet mushroom production in a 40-ft container; the first revenue engine and the live proof-of-concept for the Grush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/>
            </w:pPr>
            <w:r>
              <w:rPr>
                <w:color w:val="222222"/>
                <w:sz w:val="17"/>
                <w:szCs w:val="17"/>
              </w:rPr>
              <w:t xml:space="preserve">Phase 2 — Grush software: a field-management platform (already built, running Fun Guy Fungi and a second site) licensed to growers of every scale, with Fun Guy Fungi as its showcase.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/>
            </w:pPr>
            <w:r>
              <w:rPr>
                <w:color w:val="222222"/>
                <w:sz w:val="17"/>
                <w:szCs w:val="17"/>
              </w:rPr>
              <w:t xml:space="preserve">Roadmap (self-funded, not part of this request): a modular grow-structure product line (GC-DPS, patent-pending) and a soil-restoration products line applying environmental-science R&amp;D.</w:t>
            </w:r>
          </w:p>
          <w:p>
            <w:pPr>
              <w:spacing w:after="16" w:before="48"/>
            </w:pPr>
            <w:r>
              <w:rPr>
                <w:b/>
                <w:bCs/>
                <w:color w:val="23262B"/>
                <w:sz w:val="21"/>
                <w:szCs w:val="21"/>
              </w:rPr>
              <w:t xml:space="preserve">5 · Market</w:t>
            </w:r>
          </w:p>
          <w:p>
            <w:pPr>
              <w:spacing w:after="0"/>
            </w:pPr>
            <w:r>
              <w:rPr>
                <w:color w:val="222222"/>
                <w:sz w:val="17"/>
                <w:szCs w:val="17"/>
              </w:rPr>
              <w:t xml:space="preserve">Gourmet and functional mushrooms have sustained, growing demand and are classified as fresh produce (minimal permitting). Channels: direct-to-restaurant, farmers markets, specialty grocers/CSA, and value-added products (dried, extracts). Industry data (2025-26) puts wholesale at ~$7-14/lb and restaurant/market direct at ~$16-24/lb; the decisive profit driver is channel mix, not raw yield. Strategy: standing restaurant accounts for baseline cash flow, direct/market channels for margin, and warm/cool species rotation to manage Riverside HVAC cost.</w:t>
            </w:r>
          </w:p>
        </w:tc>
      </w:tr>
    </w:tbl>
    <w:p>
      <w:pPr>
        <w:spacing w:after="16" w:before="48"/>
      </w:pPr>
      <w:r>
        <w:rPr>
          <w:b/>
          <w:bCs/>
          <w:color w:val="23262B"/>
          <w:sz w:val="21"/>
          <w:szCs w:val="21"/>
        </w:rPr>
        <w:t xml:space="preserve">6 · Financial Summary (conservative baseline — to be localized with VBOC)</w:t>
      </w:r>
    </w:p>
    <w:tbl>
      <w:tblPr>
        <w:tblW w:type="dxa" w:w="10224"/>
        <w:tblBorders>
          <w:top w:val="single" w:color="B9BDC2" w:sz="2"/>
          <w:left w:val="single" w:color="B9BDC2" w:sz="2"/>
          <w:bottom w:val="single" w:color="B9BDC2" w:sz="2"/>
          <w:right w:val="single" w:color="B9BDC2" w:sz="2"/>
          <w:insideH w:val="single" w:color="E2E2E2" w:sz="2"/>
          <w:insideV w:val="single" w:color="E2E2E2" w:sz="2"/>
        </w:tblBorders>
      </w:tblPr>
      <w:tblGrid>
        <w:gridCol w:w="4400"/>
        <w:gridCol w:w="5824"/>
      </w:tblGrid>
      <w:tr>
        <w:tc>
          <w:tcPr>
            <w:tcW w:type="dxa" w:w="4400"/>
            <w:shd w:fill="ECEAE3" w:color="auto" w:val="clear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left"/>
            </w:pPr>
            <w:r>
              <w:rPr>
                <w:b/>
                <w:bCs/>
                <w:color w:val="23262B"/>
                <w:sz w:val="17"/>
                <w:szCs w:val="17"/>
              </w:rPr>
              <w:t xml:space="preserve">Metric</w:t>
            </w:r>
          </w:p>
        </w:tc>
        <w:tc>
          <w:tcPr>
            <w:tcW w:type="dxa" w:w="5824"/>
            <w:shd w:fill="ECEAE3" w:color="auto" w:val="clear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right"/>
            </w:pPr>
            <w:r>
              <w:rPr>
                <w:b/>
                <w:bCs/>
                <w:color w:val="23262B"/>
                <w:sz w:val="17"/>
                <w:szCs w:val="17"/>
              </w:rPr>
              <w:t xml:space="preserve">Conservative estimate</w:t>
            </w:r>
          </w:p>
        </w:tc>
      </w:tr>
      <w:tr>
        <w:tc>
          <w:tcPr>
            <w:tcW w:type="dxa" w:w="4400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Steady-state output</w:t>
            </w:r>
          </w:p>
        </w:tc>
        <w:tc>
          <w:tcPr>
            <w:tcW w:type="dxa" w:w="5824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~300 lb/week (40-ft container ceiling ~400 lb)</w:t>
            </w:r>
          </w:p>
        </w:tc>
      </w:tr>
      <w:tr>
        <w:tc>
          <w:tcPr>
            <w:tcW w:type="dxa" w:w="4400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Blended price</w:t>
            </w:r>
          </w:p>
        </w:tc>
        <w:tc>
          <w:tcPr>
            <w:tcW w:type="dxa" w:w="5824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~$10/lb wholesale-weighted (direct $15-18/lb = upside)</w:t>
            </w:r>
          </w:p>
        </w:tc>
      </w:tr>
      <w:tr>
        <w:tc>
          <w:tcPr>
            <w:tcW w:type="dxa" w:w="4400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Weekly revenue</w:t>
            </w:r>
          </w:p>
        </w:tc>
        <w:tc>
          <w:tcPr>
            <w:tcW w:type="dxa" w:w="5824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~$3,000</w:t>
            </w:r>
          </w:p>
        </w:tc>
      </w:tr>
      <w:tr>
        <w:tc>
          <w:tcPr>
            <w:tcW w:type="dxa" w:w="4400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Production cost</w:t>
            </w:r>
          </w:p>
        </w:tc>
        <w:tc>
          <w:tcPr>
            <w:tcW w:type="dxa" w:w="5824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~$5/lb (top of $2.50-5.50 range)</w:t>
            </w:r>
          </w:p>
        </w:tc>
      </w:tr>
      <w:tr>
        <w:tc>
          <w:tcPr>
            <w:tcW w:type="dxa" w:w="4400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Weekly net over production</w:t>
            </w:r>
          </w:p>
        </w:tc>
        <w:tc>
          <w:tcPr>
            <w:tcW w:type="dxa" w:w="5824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~$1,500</w:t>
            </w:r>
          </w:p>
        </w:tc>
      </w:tr>
      <w:tr>
        <w:tc>
          <w:tcPr>
            <w:tcW w:type="dxa" w:w="4400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Annual revenue (48 wks)</w:t>
            </w:r>
          </w:p>
        </w:tc>
        <w:tc>
          <w:tcPr>
            <w:tcW w:type="dxa" w:w="5824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~$144,000</w:t>
            </w:r>
          </w:p>
        </w:tc>
      </w:tr>
      <w:tr>
        <w:tc>
          <w:tcPr>
            <w:tcW w:type="dxa" w:w="4400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Annual net over production</w:t>
            </w:r>
          </w:p>
        </w:tc>
        <w:tc>
          <w:tcPr>
            <w:tcW w:type="dxa" w:w="5824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~$72,000</w:t>
            </w:r>
          </w:p>
        </w:tc>
      </w:tr>
      <w:tr>
        <w:tc>
          <w:tcPr>
            <w:tcW w:type="dxa" w:w="4400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Year 1 (ramp)</w:t>
            </w:r>
          </w:p>
        </w:tc>
        <w:tc>
          <w:tcPr>
            <w:tcW w:type="dxa" w:w="5824"/>
            <w:tcMar>
              <w:top w:type="dxa" w:w="20"/>
              <w:left w:type="dxa" w:w="88"/>
              <w:bottom w:type="dxa" w:w="20"/>
              <w:right w:type="dxa" w:w="88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~$30,000-40,000; steady sales 3-6 mo post-buildout</w:t>
            </w:r>
          </w:p>
        </w:tc>
      </w:tr>
    </w:tbl>
    <w:p>
      <w:pPr>
        <w:spacing w:after="4"/>
      </w:pPr>
      <w:r>
        <w:rPr>
          <w:color w:val="222222"/>
          <w:sz w:val="17"/>
          <w:szCs w:val="17"/>
        </w:rPr>
        <w:t xml:space="preserve">Operating costs (HVAC/electricity, packaging) run ~35-50% of revenue; facility lease is a separate, location-dependent line (TBD). The veteran's VA compensation covers personal living expenses independent of the business, so early revenue can be reinvested in growth. </w:t>
      </w:r>
      <w:r>
        <w:rPr>
          <w:i/>
          <w:iCs/>
          <w:color w:val="5F6A72"/>
          <w:sz w:val="17"/>
          <w:szCs w:val="17"/>
        </w:rPr>
        <w:t xml:space="preserve">Figures are industry-baseline projections to be verified and localized with the LA VBOC.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20"/>
            </w:tcMar>
            <w:vAlign w:val="top"/>
          </w:tcPr>
          <w:p>
            <w:pPr>
              <w:spacing w:after="16" w:before="0"/>
            </w:pPr>
            <w:r>
              <w:rPr>
                <w:b/>
                <w:bCs/>
                <w:color w:val="23262B"/>
                <w:sz w:val="21"/>
                <w:szCs w:val="21"/>
              </w:rPr>
              <w:t xml:space="preserve">7 · VR&amp;E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/>
            </w:pPr>
            <w:r>
              <w:rPr>
                <w:color w:val="222222"/>
                <w:sz w:val="17"/>
                <w:szCs w:val="17"/>
              </w:rPr>
              <w:t xml:space="preserve">Startup funding for the Fun Guy Fungi buildout — equipment, tools, supplies, and initial inventory (container fit-out, sterilization/lab gear, climate control, shelving, spawn/substrate). Scoped and staged under the $25,000 local-approval threshold, pre-approved before purchase.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/>
            </w:pPr>
            <w:r>
              <w:rPr>
                <w:color w:val="222222"/>
                <w:sz w:val="17"/>
                <w:szCs w:val="17"/>
              </w:rPr>
              <w:t xml:space="preserve">Completion of the B.S. in Environmental Science, required for the restoration/remediation lines that need credentialed environmental expertise. Hiring that expertise is legally blocked (an F-1 visa) or economically unviable for a startup (recurring six-figure cost); building it into the founder is the one-time, lower-cost path.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20"/>
              <w:bottom w:type="dxa" w:w="0"/>
              <w:right w:type="dxa" w:w="0"/>
            </w:tcMar>
            <w:vAlign w:val="top"/>
          </w:tcPr>
          <w:p>
            <w:pPr>
              <w:spacing w:after="16" w:before="0"/>
            </w:pPr>
            <w:r>
              <w:rPr>
                <w:b/>
                <w:bCs/>
                <w:color w:val="23262B"/>
                <w:sz w:val="21"/>
                <w:szCs w:val="21"/>
              </w:rPr>
              <w:t xml:space="preserve">8 · Roadmap Note</w:t>
            </w:r>
          </w:p>
          <w:p>
            <w:pPr>
              <w:spacing w:after="0"/>
            </w:pPr>
            <w:r>
              <w:rPr>
                <w:color w:val="222222"/>
                <w:sz w:val="17"/>
                <w:szCs w:val="17"/>
              </w:rPr>
              <w:t xml:space="preserve">Not part of this request. Property acquisition and on-site agricultural caretaker housing are planned as a Phase-2 growth move, financed from business strength (e.g., SBA / veteran lending) once the operation is proven — not required to launch.</w:t>
            </w:r>
          </w:p>
        </w:tc>
      </w:tr>
    </w:tbl>
    <w:p>
      <w:pPr>
        <w:pBdr>
          <w:top w:val="single" w:color="B9BDC2" w:sz="6"/>
        </w:pBdr>
        <w:spacing w:after="0" w:before="16"/>
      </w:pPr>
      <w:r>
        <w:rPr>
          <w:i/>
          <w:iCs/>
          <w:color w:val="5F6A72"/>
          <w:sz w:val="15"/>
          <w:szCs w:val="15"/>
        </w:rPr>
        <w:t xml:space="preserve">Sources: Northstar Financial (2026 mushroom economics), Fungi Ally, container-farm &amp; USDA/SBA market data. VBOC coordination per 38 CFR §21.257(d) in progress; full business plan to be finalized with the LA VBOC.</w:t>
      </w:r>
    </w:p>
    <w:sectPr>
      <w:pgSz w:w="12240" w:h="15840" w:orient="portrait"/>
      <w:pgMar w:top="560" w:right="1008" w:bottom="36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2026-07-11T04:15:16.137Z</dcterms:created>
  <dcterms:modified xsi:type="dcterms:W3CDTF">2026-07-11T04:15:16.137Z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