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"/>
      </w:pPr>
      <w:r>
        <w:rPr>
          <w:b/>
          <w:bCs/>
          <w:color w:val="23262B"/>
          <w:sz w:val="28"/>
          <w:szCs w:val="28"/>
        </w:rPr>
        <w:t xml:space="preserve">GRUSH VENTURES</w:t>
      </w:r>
      <w:r>
        <w:rPr>
          <w:color w:val="5F6A72"/>
          <w:sz w:val="20"/>
          <w:szCs w:val="20"/>
        </w:rPr>
        <w:t xml:space="preserve">  — Startup Equipment &amp; Cost Breakdown (Phase 1)</w:t>
      </w:r>
    </w:p>
    <w:p>
      <w:pPr>
        <w:spacing w:after="12"/>
      </w:pPr>
      <w:r>
        <w:rPr>
          <w:i/>
          <w:iCs/>
          <w:color w:val="5F6A72"/>
          <w:sz w:val="18"/>
          <w:szCs w:val="18"/>
        </w:rPr>
        <w:t xml:space="preserve">Veteran Readiness &amp; Employment (Chapter 31) · Self-Employment Track · single-container launch</w:t>
      </w:r>
    </w:p>
    <w:p>
      <w:pPr>
        <w:pBdr>
          <w:bottom w:val="single" w:color="9E2B30" w:sz="8"/>
        </w:pBdr>
        <w:spacing w:after="120"/>
      </w:pPr>
      <w:r>
        <w:rPr>
          <w:sz w:val="2"/>
          <w:szCs w:val="2"/>
        </w:rPr>
        <w:t xml:space="preserve"/>
      </w:r>
    </w:p>
    <w:p>
      <w:pPr>
        <w:spacing w:after="120"/>
      </w:pPr>
      <w:r>
        <w:rPr>
          <w:color w:val="222222"/>
          <w:sz w:val="19"/>
          <w:szCs w:val="19"/>
        </w:rPr>
        <w:t xml:space="preserve">Itemized equipment for a single 40-ft container gourmet-mushroom operation (Fun Guy Fungi), grouped by production zone and scoped to remain within the local VR&amp;E approval threshold </w:t>
      </w:r>
      <w:r>
        <w:rPr>
          <w:i/>
          <w:iCs/>
          <w:color w:val="5F6A72"/>
          <w:sz w:val="19"/>
          <w:szCs w:val="19"/>
        </w:rPr>
        <w:t xml:space="preserve">(reported at ~$25,000; to confirm with counselor)</w:t>
      </w:r>
      <w:r>
        <w:rPr>
          <w:color w:val="222222"/>
          <w:sz w:val="19"/>
          <w:szCs w:val="19"/>
        </w:rPr>
        <w:t xml:space="preserve">. Ranges are industry-baseline figures to be replaced by VBOC-sourced quotes; VR&amp;E requires pre-approval on actual quotes before any purchase.</w:t>
      </w:r>
    </w:p>
    <w:tbl>
      <w:tblPr>
        <w:tblW w:type="dxa" w:w="10224"/>
        <w:tblBorders>
          <w:top w:val="single" w:color="B9BDC2" w:sz="2"/>
          <w:left w:val="single" w:color="B9BDC2" w:sz="2"/>
          <w:bottom w:val="single" w:color="B9BDC2" w:sz="2"/>
          <w:right w:val="single" w:color="B9BDC2" w:sz="2"/>
          <w:insideH w:val="single" w:color="E2E2E2" w:sz="2"/>
          <w:insideV w:val="single" w:color="E2E2E2" w:sz="2"/>
        </w:tblBorders>
      </w:tblPr>
      <w:tblGrid>
        <w:gridCol w:w="6300"/>
        <w:gridCol w:w="3924"/>
      </w:tblGrid>
      <w:tr>
        <w:tc>
          <w:tcPr>
            <w:tcW w:type="dxa" w:w="6300"/>
            <w:shd w:fill="ECEAE3" w:color="auto" w:val="clear"/>
            <w:tcMar>
              <w:top w:type="dxa" w:w="34"/>
              <w:left w:type="dxa" w:w="100"/>
              <w:bottom w:type="dxa" w:w="34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3262B"/>
                <w:sz w:val="18"/>
                <w:szCs w:val="18"/>
              </w:rPr>
              <w:t xml:space="preserve">Category</w:t>
            </w:r>
          </w:p>
        </w:tc>
        <w:tc>
          <w:tcPr>
            <w:tcW w:type="dxa" w:w="3924"/>
            <w:shd w:fill="ECEAE3" w:color="auto" w:val="clear"/>
            <w:tcMar>
              <w:top w:type="dxa" w:w="34"/>
              <w:left w:type="dxa" w:w="100"/>
              <w:bottom w:type="dxa" w:w="34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3262B"/>
                <w:sz w:val="18"/>
                <w:szCs w:val="18"/>
              </w:rPr>
              <w:t xml:space="preserve">Estimated range</w:t>
            </w:r>
          </w:p>
        </w:tc>
      </w:tr>
      <w:tr>
        <w:tc>
          <w:tcPr>
            <w:tcW w:type="dxa" w:w="6300"/>
            <w:tcMar>
              <w:top w:type="dxa" w:w="34"/>
              <w:left w:type="dxa" w:w="100"/>
              <w:bottom w:type="dxa" w:w="34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Substrate &amp; sterilization</w:t>
            </w:r>
          </w:p>
        </w:tc>
        <w:tc>
          <w:tcPr>
            <w:tcW w:type="dxa" w:w="3924"/>
            <w:tcMar>
              <w:top w:type="dxa" w:w="34"/>
              <w:left w:type="dxa" w:w="100"/>
              <w:bottom w:type="dxa" w:w="34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$2,500 – $6,300</w:t>
            </w:r>
          </w:p>
        </w:tc>
      </w:tr>
      <w:tr>
        <w:tc>
          <w:tcPr>
            <w:tcW w:type="dxa" w:w="6300"/>
            <w:tcMar>
              <w:top w:type="dxa" w:w="34"/>
              <w:left w:type="dxa" w:w="100"/>
              <w:bottom w:type="dxa" w:w="34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Lab / inoculation (clean zone)</w:t>
            </w:r>
          </w:p>
        </w:tc>
        <w:tc>
          <w:tcPr>
            <w:tcW w:type="dxa" w:w="3924"/>
            <w:tcMar>
              <w:top w:type="dxa" w:w="34"/>
              <w:left w:type="dxa" w:w="100"/>
              <w:bottom w:type="dxa" w:w="34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$650 – $2,900</w:t>
            </w:r>
          </w:p>
        </w:tc>
      </w:tr>
      <w:tr>
        <w:tc>
          <w:tcPr>
            <w:tcW w:type="dxa" w:w="6300"/>
            <w:tcMar>
              <w:top w:type="dxa" w:w="34"/>
              <w:left w:type="dxa" w:w="100"/>
              <w:bottom w:type="dxa" w:w="34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Incubation</w:t>
            </w:r>
          </w:p>
        </w:tc>
        <w:tc>
          <w:tcPr>
            <w:tcW w:type="dxa" w:w="3924"/>
            <w:tcMar>
              <w:top w:type="dxa" w:w="34"/>
              <w:left w:type="dxa" w:w="100"/>
              <w:bottom w:type="dxa" w:w="34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$800 – $2,500</w:t>
            </w:r>
          </w:p>
        </w:tc>
      </w:tr>
      <w:tr>
        <w:tc>
          <w:tcPr>
            <w:tcW w:type="dxa" w:w="6300"/>
            <w:tcMar>
              <w:top w:type="dxa" w:w="34"/>
              <w:left w:type="dxa" w:w="100"/>
              <w:bottom w:type="dxa" w:w="34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Fruiting chamber (climate control)</w:t>
            </w:r>
          </w:p>
        </w:tc>
        <w:tc>
          <w:tcPr>
            <w:tcW w:type="dxa" w:w="3924"/>
            <w:tcMar>
              <w:top w:type="dxa" w:w="34"/>
              <w:left w:type="dxa" w:w="100"/>
              <w:bottom w:type="dxa" w:w="34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$2,950 – $10,000</w:t>
            </w:r>
          </w:p>
        </w:tc>
      </w:tr>
      <w:tr>
        <w:tc>
          <w:tcPr>
            <w:tcW w:type="dxa" w:w="6300"/>
            <w:tcMar>
              <w:top w:type="dxa" w:w="34"/>
              <w:left w:type="dxa" w:w="100"/>
              <w:bottom w:type="dxa" w:w="34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Cold storage &amp; packaging</w:t>
            </w:r>
          </w:p>
        </w:tc>
        <w:tc>
          <w:tcPr>
            <w:tcW w:type="dxa" w:w="3924"/>
            <w:tcMar>
              <w:top w:type="dxa" w:w="34"/>
              <w:left w:type="dxa" w:w="100"/>
              <w:bottom w:type="dxa" w:w="34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$700 – $3,800</w:t>
            </w:r>
          </w:p>
        </w:tc>
      </w:tr>
      <w:tr>
        <w:tc>
          <w:tcPr>
            <w:tcW w:type="dxa" w:w="6300"/>
            <w:tcMar>
              <w:top w:type="dxa" w:w="34"/>
              <w:left w:type="dxa" w:w="100"/>
              <w:bottom w:type="dxa" w:w="34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Monitoring &amp; controls</w:t>
            </w:r>
          </w:p>
        </w:tc>
        <w:tc>
          <w:tcPr>
            <w:tcW w:type="dxa" w:w="3924"/>
            <w:tcMar>
              <w:top w:type="dxa" w:w="34"/>
              <w:left w:type="dxa" w:w="100"/>
              <w:bottom w:type="dxa" w:w="34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$300 – $1,200</w:t>
            </w:r>
          </w:p>
        </w:tc>
      </w:tr>
      <w:tr>
        <w:tc>
          <w:tcPr>
            <w:tcW w:type="dxa" w:w="6300"/>
            <w:tcMar>
              <w:top w:type="dxa" w:w="34"/>
              <w:left w:type="dxa" w:w="100"/>
              <w:bottom w:type="dxa" w:w="34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Initial inventory (spawn, substrate, consumables)</w:t>
            </w:r>
          </w:p>
        </w:tc>
        <w:tc>
          <w:tcPr>
            <w:tcW w:type="dxa" w:w="3924"/>
            <w:tcMar>
              <w:top w:type="dxa" w:w="34"/>
              <w:left w:type="dxa" w:w="100"/>
              <w:bottom w:type="dxa" w:w="34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$650 – $1,800</w:t>
            </w:r>
          </w:p>
        </w:tc>
      </w:tr>
      <w:tr>
        <w:tc>
          <w:tcPr>
            <w:tcW w:type="dxa" w:w="6300"/>
            <w:tcMar>
              <w:top w:type="dxa" w:w="34"/>
              <w:left w:type="dxa" w:w="100"/>
              <w:bottom w:type="dxa" w:w="34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3262B"/>
                <w:sz w:val="18"/>
                <w:szCs w:val="18"/>
              </w:rPr>
              <w:t xml:space="preserve">Equipment total</w:t>
            </w:r>
          </w:p>
        </w:tc>
        <w:tc>
          <w:tcPr>
            <w:tcW w:type="dxa" w:w="3924"/>
            <w:tcMar>
              <w:top w:type="dxa" w:w="34"/>
              <w:left w:type="dxa" w:w="100"/>
              <w:bottom w:type="dxa" w:w="34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3262B"/>
                <w:sz w:val="18"/>
                <w:szCs w:val="18"/>
              </w:rPr>
              <w:t xml:space="preserve">~$8,550 – $28,500</w:t>
            </w:r>
          </w:p>
        </w:tc>
      </w:tr>
    </w:tbl>
    <w:p>
      <w:pPr>
        <w:spacing w:after="80"/>
      </w:pPr>
      <w:r>
        <w:rPr>
          <w:b/>
          <w:bCs/>
          <w:color w:val="23262B"/>
          <w:sz w:val="19"/>
          <w:szCs w:val="19"/>
        </w:rPr>
        <w:t xml:space="preserve">Moderate build target: ~$14,000 – $22,000</w:t>
      </w:r>
      <w:r>
        <w:rPr>
          <w:color w:val="222222"/>
          <w:sz w:val="19"/>
          <w:szCs w:val="19"/>
        </w:rPr>
        <w:t xml:space="preserve"> — a mostly-new-with-some-used package that stays within the local-approval threshold. The lean end assumes DIY/steam pasteurization and hardware-store or used gear; the high end assumes new, more-automated equipment.</w:t>
      </w:r>
    </w:p>
    <w:p>
      <w:pPr>
        <w:spacing w:after="40" w:before="150"/>
      </w:pPr>
      <w:r>
        <w:rPr>
          <w:b/>
          <w:bCs/>
          <w:color w:val="23262B"/>
          <w:sz w:val="21"/>
          <w:szCs w:val="21"/>
        </w:rPr>
        <w:t xml:space="preserve">What each category includes</w:t>
      </w:r>
    </w:p>
    <w:p>
      <w:pPr>
        <w:spacing w:after="36"/>
      </w:pPr>
      <w:r>
        <w:rPr>
          <w:b/>
          <w:bCs/>
          <w:color w:val="23262B"/>
          <w:sz w:val="19"/>
          <w:szCs w:val="19"/>
        </w:rPr>
        <w:t xml:space="preserve">Substrate &amp; sterilization: </w:t>
      </w:r>
      <w:r>
        <w:rPr>
          <w:color w:val="222222"/>
          <w:sz w:val="19"/>
          <w:szCs w:val="19"/>
        </w:rPr>
        <w:t xml:space="preserve">steam sterilizer / pressure vessel, impulse bag sealer, autoclavable grow bags.</w:t>
      </w:r>
    </w:p>
    <w:p>
      <w:pPr>
        <w:spacing w:after="36"/>
      </w:pPr>
      <w:r>
        <w:rPr>
          <w:b/>
          <w:bCs/>
          <w:color w:val="23262B"/>
          <w:sz w:val="19"/>
          <w:szCs w:val="19"/>
        </w:rPr>
        <w:t xml:space="preserve">Lab / inoculation: </w:t>
      </w:r>
      <w:r>
        <w:rPr>
          <w:color w:val="222222"/>
          <w:sz w:val="19"/>
          <w:szCs w:val="19"/>
        </w:rPr>
        <w:t xml:space="preserve">laminar flow hood (HEPA), still-air box, sanitation supplies.</w:t>
      </w:r>
    </w:p>
    <w:p>
      <w:pPr>
        <w:spacing w:after="36"/>
      </w:pPr>
      <w:r>
        <w:rPr>
          <w:b/>
          <w:bCs/>
          <w:color w:val="23262B"/>
          <w:sz w:val="19"/>
          <w:szCs w:val="19"/>
        </w:rPr>
        <w:t xml:space="preserve">Incubation: </w:t>
      </w:r>
      <w:r>
        <w:rPr>
          <w:color w:val="222222"/>
          <w:sz w:val="19"/>
          <w:szCs w:val="19"/>
        </w:rPr>
        <w:t xml:space="preserve">metal shelving/racking, temperature control and monitoring.</w:t>
      </w:r>
    </w:p>
    <w:p>
      <w:pPr>
        <w:spacing w:after="36"/>
      </w:pPr>
      <w:r>
        <w:rPr>
          <w:b/>
          <w:bCs/>
          <w:color w:val="23262B"/>
          <w:sz w:val="19"/>
          <w:szCs w:val="19"/>
        </w:rPr>
        <w:t xml:space="preserve">Fruiting chamber: </w:t>
      </w:r>
      <w:r>
        <w:rPr>
          <w:color w:val="222222"/>
          <w:sz w:val="19"/>
          <w:szCs w:val="19"/>
        </w:rPr>
        <w:t xml:space="preserve">HVAC (AC + heat), ultrasonic humidifier + hygrostat controller, fresh-air-exchange fans + ducting + CO₂ sensor, waterproof LED lighting, fruiting shelving.</w:t>
      </w:r>
    </w:p>
    <w:p>
      <w:pPr>
        <w:spacing w:after="36"/>
      </w:pPr>
      <w:r>
        <w:rPr>
          <w:b/>
          <w:bCs/>
          <w:color w:val="23262B"/>
          <w:sz w:val="19"/>
          <w:szCs w:val="19"/>
        </w:rPr>
        <w:t xml:space="preserve">Cold storage &amp; packaging: </w:t>
      </w:r>
      <w:r>
        <w:rPr>
          <w:color w:val="222222"/>
          <w:sz w:val="19"/>
          <w:szCs w:val="19"/>
        </w:rPr>
        <w:t xml:space="preserve">small cold storage / reach-in, scale, packaging, labels.</w:t>
      </w:r>
    </w:p>
    <w:p>
      <w:pPr>
        <w:spacing w:after="36"/>
      </w:pPr>
      <w:r>
        <w:rPr>
          <w:b/>
          <w:bCs/>
          <w:color w:val="23262B"/>
          <w:sz w:val="19"/>
          <w:szCs w:val="19"/>
        </w:rPr>
        <w:t xml:space="preserve">Monitoring &amp; controls: </w:t>
      </w:r>
      <w:r>
        <w:rPr>
          <w:color w:val="222222"/>
          <w:sz w:val="19"/>
          <w:szCs w:val="19"/>
        </w:rPr>
        <w:t xml:space="preserve">digital environmental sensors and controllers (temp / humidity / CO₂).</w:t>
      </w:r>
    </w:p>
    <w:p>
      <w:pPr>
        <w:spacing w:after="90"/>
      </w:pPr>
      <w:r>
        <w:rPr>
          <w:b/>
          <w:bCs/>
          <w:color w:val="23262B"/>
          <w:sz w:val="19"/>
          <w:szCs w:val="19"/>
        </w:rPr>
        <w:t xml:space="preserve">Initial inventory: </w:t>
      </w:r>
      <w:r>
        <w:rPr>
          <w:color w:val="222222"/>
          <w:sz w:val="19"/>
          <w:szCs w:val="19"/>
        </w:rPr>
        <w:t xml:space="preserve">starter spawn / cultures, first-run substrate materials, consumables (alcohol, gloves, filters).</w:t>
      </w:r>
    </w:p>
    <w:p>
      <w:pPr>
        <w:spacing w:after="40" w:before="150"/>
      </w:pPr>
      <w:r>
        <w:rPr>
          <w:b/>
          <w:bCs/>
          <w:color w:val="23262B"/>
          <w:sz w:val="21"/>
          <w:szCs w:val="21"/>
        </w:rPr>
        <w:t xml:space="preserve">Facility / container (separate — counselor question)</w:t>
      </w:r>
    </w:p>
    <w:p>
      <w:pPr>
        <w:spacing w:after="80"/>
      </w:pPr>
      <w:r>
        <w:rPr>
          <w:color w:val="222222"/>
          <w:sz w:val="19"/>
          <w:szCs w:val="19"/>
        </w:rPr>
        <w:t xml:space="preserve">A used 40-ft high-cube container (~$3,000 – $6,000) plus insulation and electrical fit-out (~$3,000 – $8,000) is </w:t>
      </w:r>
      <w:r>
        <w:rPr>
          <w:b/>
          <w:bCs/>
          <w:color w:val="23262B"/>
          <w:sz w:val="19"/>
          <w:szCs w:val="19"/>
        </w:rPr>
        <w:t xml:space="preserve">listed separately</w:t>
      </w:r>
      <w:r>
        <w:rPr>
          <w:color w:val="222222"/>
          <w:sz w:val="19"/>
          <w:szCs w:val="19"/>
        </w:rPr>
        <w:t xml:space="preserve"> because a container sits between “equipment” and “facility.” Open question for the counselor: does VR&amp;E treat the container as fundable equipment, or is it self-funded? Keeping it separate protects the under-threshold equipment ask.</w:t>
      </w:r>
    </w:p>
    <w:p>
      <w:pPr>
        <w:spacing w:after="60"/>
      </w:pPr>
      <w:r>
        <w:rPr>
          <w:b/>
          <w:bCs/>
          <w:color w:val="23262B"/>
          <w:sz w:val="19"/>
          <w:szCs w:val="19"/>
        </w:rPr>
        <w:t xml:space="preserve">Phase-2 expansion (not part of this request): </w:t>
      </w:r>
      <w:r>
        <w:rPr>
          <w:color w:val="222222"/>
          <w:sz w:val="19"/>
          <w:szCs w:val="19"/>
        </w:rPr>
        <w:t xml:space="preserve">a second container, funded from business strength (reinvested revenue or SBA / veteran lending) once Phase 1 is proven — the documented path to the two-container goal without enlarging the initial ask.</w:t>
      </w:r>
    </w:p>
    <w:p>
      <w:pPr>
        <w:pBdr>
          <w:top w:val="single" w:color="B9BDC2" w:sz="6"/>
        </w:pBdr>
        <w:spacing w:after="0" w:before="150"/>
      </w:pPr>
      <w:r>
        <w:rPr>
          <w:i/>
          <w:iCs/>
          <w:color w:val="5F6A72"/>
          <w:sz w:val="16"/>
          <w:szCs w:val="16"/>
        </w:rPr>
        <w:t xml:space="preserve">Sources: container-farm industry data (Miracle, Satrise, CleanTec); Northstar Financial (2026); GroCycle / Out Grow / FarmstandApp equipment guides. Ranges are estimates to be finalized with VBOC-sourced quotes; VR&amp;E pre-approval required before purchase.</w:t>
      </w:r>
    </w:p>
    <w:sectPr>
      <w:pgSz w:w="12240" w:h="15840" w:orient="portrait"/>
      <w:pgMar w:top="900" w:right="1008" w:bottom="8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2026-07-11T04:40:57.845Z</dcterms:created>
  <dcterms:modified xsi:type="dcterms:W3CDTF">2026-07-11T04:40:57.860Z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