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
      </w:pPr>
      <w:r>
        <w:rPr>
          <w:b/>
          <w:bCs/>
          <w:color w:val="23262B"/>
          <w:sz w:val="28"/>
          <w:szCs w:val="28"/>
        </w:rPr>
        <w:t xml:space="preserve">GRUSH VENTURES</w:t>
      </w:r>
      <w:r>
        <w:rPr>
          <w:color w:val="5F6A72"/>
          <w:sz w:val="20"/>
          <w:szCs w:val="20"/>
        </w:rPr>
        <w:t xml:space="preserve">  — Market Feasibility — Gourmet &amp; Functional Mushrooms</w:t>
      </w:r>
    </w:p>
    <w:p>
      <w:pPr>
        <w:spacing w:after="12"/>
      </w:pPr>
      <w:r>
        <w:rPr>
          <w:i/>
          <w:iCs/>
          <w:color w:val="5F6A72"/>
          <w:sz w:val="18"/>
          <w:szCs w:val="18"/>
        </w:rPr>
        <w:t xml:space="preserve">Veteran Readiness &amp; Employment (Chapter 31) · Self-Employment Track · supporting brief</w:t>
      </w:r>
    </w:p>
    <w:p>
      <w:pPr>
        <w:pBdr>
          <w:bottom w:val="single" w:color="9E2B30" w:sz="8"/>
        </w:pBdr>
        <w:spacing w:after="120"/>
      </w:pPr>
      <w:r>
        <w:rPr>
          <w:sz w:val="2"/>
          <w:szCs w:val="2"/>
        </w:rPr>
        <w:t xml:space="preserve"/>
      </w:r>
    </w:p>
    <w:p>
      <w:pPr>
        <w:spacing w:after="40" w:before="0"/>
      </w:pPr>
      <w:r>
        <w:rPr>
          <w:b/>
          <w:bCs/>
          <w:color w:val="23262B"/>
          <w:sz w:val="21"/>
          <w:szCs w:val="21"/>
        </w:rPr>
        <w:t xml:space="preserve">Demand</w:t>
      </w:r>
    </w:p>
    <w:p>
      <w:pPr>
        <w:spacing w:after="90"/>
      </w:pPr>
      <w:r>
        <w:rPr>
          <w:color w:val="222222"/>
          <w:sz w:val="19"/>
          <w:szCs w:val="19"/>
        </w:rPr>
        <w:t xml:space="preserve">Gourmet and functional mushrooms (oyster, lion’s mane, reishi) have sustained, growing consumer and restaurant demand. They are classified as fresh produce, which keeps permitting and regulatory overhead low relative to processed foods. Demand is strongest in the exact channels a small local grower can reach directly: restaurants, farmers markets, specialty grocers, and CSA boxes.</w:t>
      </w:r>
    </w:p>
    <w:p>
      <w:pPr>
        <w:spacing w:after="40" w:before="150"/>
      </w:pPr>
      <w:r>
        <w:rPr>
          <w:b/>
          <w:bCs/>
          <w:color w:val="23262B"/>
          <w:sz w:val="21"/>
          <w:szCs w:val="21"/>
        </w:rPr>
        <w:t xml:space="preserve">Pricing (industry data, 2025–26)</w:t>
      </w:r>
    </w:p>
    <w:tbl>
      <w:tblPr>
        <w:tblW w:type="dxa" w:w="10224"/>
        <w:tblBorders>
          <w:top w:val="single" w:color="B9BDC2" w:sz="2"/>
          <w:left w:val="single" w:color="B9BDC2" w:sz="2"/>
          <w:bottom w:val="single" w:color="B9BDC2" w:sz="2"/>
          <w:right w:val="single" w:color="B9BDC2" w:sz="2"/>
          <w:insideH w:val="single" w:color="E2E2E2" w:sz="2"/>
          <w:insideV w:val="single" w:color="E2E2E2" w:sz="2"/>
        </w:tblBorders>
      </w:tblPr>
      <w:tblGrid>
        <w:gridCol w:w="6300"/>
        <w:gridCol w:w="3924"/>
      </w:tblGrid>
      <w:tr>
        <w:tc>
          <w:tcPr>
            <w:tcW w:type="dxa" w:w="6300"/>
            <w:shd w:fill="ECEAE3" w:color="auto" w:val="clear"/>
            <w:tcMar>
              <w:top w:type="dxa" w:w="34"/>
              <w:left w:type="dxa" w:w="100"/>
              <w:bottom w:type="dxa" w:w="34"/>
              <w:right w:type="dxa" w:w="100"/>
            </w:tcMar>
          </w:tcPr>
          <w:p>
            <w:pPr>
              <w:jc w:val="left"/>
            </w:pPr>
            <w:r>
              <w:rPr>
                <w:b/>
                <w:bCs/>
                <w:color w:val="23262B"/>
                <w:sz w:val="18"/>
                <w:szCs w:val="18"/>
              </w:rPr>
              <w:t xml:space="preserve">Channel / product</w:t>
            </w:r>
          </w:p>
        </w:tc>
        <w:tc>
          <w:tcPr>
            <w:tcW w:type="dxa" w:w="3924"/>
            <w:shd w:fill="ECEAE3" w:color="auto" w:val="clear"/>
            <w:tcMar>
              <w:top w:type="dxa" w:w="34"/>
              <w:left w:type="dxa" w:w="100"/>
              <w:bottom w:type="dxa" w:w="34"/>
              <w:right w:type="dxa" w:w="100"/>
            </w:tcMar>
          </w:tcPr>
          <w:p>
            <w:pPr>
              <w:jc w:val="right"/>
            </w:pPr>
            <w:r>
              <w:rPr>
                <w:b/>
                <w:bCs/>
                <w:color w:val="23262B"/>
                <w:sz w:val="18"/>
                <w:szCs w:val="18"/>
              </w:rPr>
              <w:t xml:space="preserve">Price</w:t>
            </w:r>
          </w:p>
        </w:tc>
      </w:tr>
      <w:tr>
        <w:tc>
          <w:tcPr>
            <w:tcW w:type="dxa" w:w="6300"/>
            <w:tcMar>
              <w:top w:type="dxa" w:w="34"/>
              <w:left w:type="dxa" w:w="100"/>
              <w:bottom w:type="dxa" w:w="34"/>
              <w:right w:type="dxa" w:w="100"/>
            </w:tcMar>
          </w:tcPr>
          <w:p>
            <w:pPr>
              <w:jc w:val="left"/>
            </w:pPr>
            <w:r>
              <w:rPr>
                <w:b w:val="false"/>
                <w:bCs w:val="false"/>
                <w:color w:val="222222"/>
                <w:sz w:val="18"/>
                <w:szCs w:val="18"/>
              </w:rPr>
              <w:t xml:space="preserve">Oyster — wholesale</w:t>
            </w:r>
          </w:p>
        </w:tc>
        <w:tc>
          <w:tcPr>
            <w:tcW w:type="dxa" w:w="3924"/>
            <w:tcMar>
              <w:top w:type="dxa" w:w="34"/>
              <w:left w:type="dxa" w:w="100"/>
              <w:bottom w:type="dxa" w:w="34"/>
              <w:right w:type="dxa" w:w="100"/>
            </w:tcMar>
          </w:tcPr>
          <w:p>
            <w:pPr>
              <w:jc w:val="right"/>
            </w:pPr>
            <w:r>
              <w:rPr>
                <w:b w:val="false"/>
                <w:bCs w:val="false"/>
                <w:color w:val="222222"/>
                <w:sz w:val="18"/>
                <w:szCs w:val="18"/>
              </w:rPr>
              <w:t xml:space="preserve">$6 – $8 / lb</w:t>
            </w:r>
          </w:p>
        </w:tc>
      </w:tr>
      <w:tr>
        <w:tc>
          <w:tcPr>
            <w:tcW w:type="dxa" w:w="6300"/>
            <w:tcMar>
              <w:top w:type="dxa" w:w="34"/>
              <w:left w:type="dxa" w:w="100"/>
              <w:bottom w:type="dxa" w:w="34"/>
              <w:right w:type="dxa" w:w="100"/>
            </w:tcMar>
          </w:tcPr>
          <w:p>
            <w:pPr>
              <w:jc w:val="left"/>
            </w:pPr>
            <w:r>
              <w:rPr>
                <w:b w:val="false"/>
                <w:bCs w:val="false"/>
                <w:color w:val="222222"/>
                <w:sz w:val="18"/>
                <w:szCs w:val="18"/>
              </w:rPr>
              <w:t xml:space="preserve">Oyster — retail</w:t>
            </w:r>
          </w:p>
        </w:tc>
        <w:tc>
          <w:tcPr>
            <w:tcW w:type="dxa" w:w="3924"/>
            <w:tcMar>
              <w:top w:type="dxa" w:w="34"/>
              <w:left w:type="dxa" w:w="100"/>
              <w:bottom w:type="dxa" w:w="34"/>
              <w:right w:type="dxa" w:w="100"/>
            </w:tcMar>
          </w:tcPr>
          <w:p>
            <w:pPr>
              <w:jc w:val="right"/>
            </w:pPr>
            <w:r>
              <w:rPr>
                <w:b w:val="false"/>
                <w:bCs w:val="false"/>
                <w:color w:val="222222"/>
                <w:sz w:val="18"/>
                <w:szCs w:val="18"/>
              </w:rPr>
              <w:t xml:space="preserve">$8 – $12 / lb</w:t>
            </w:r>
          </w:p>
        </w:tc>
      </w:tr>
      <w:tr>
        <w:tc>
          <w:tcPr>
            <w:tcW w:type="dxa" w:w="6300"/>
            <w:tcMar>
              <w:top w:type="dxa" w:w="34"/>
              <w:left w:type="dxa" w:w="100"/>
              <w:bottom w:type="dxa" w:w="34"/>
              <w:right w:type="dxa" w:w="100"/>
            </w:tcMar>
          </w:tcPr>
          <w:p>
            <w:pPr>
              <w:jc w:val="left"/>
            </w:pPr>
            <w:r>
              <w:rPr>
                <w:b w:val="false"/>
                <w:bCs w:val="false"/>
                <w:color w:val="222222"/>
                <w:sz w:val="18"/>
                <w:szCs w:val="18"/>
              </w:rPr>
              <w:t xml:space="preserve">Lion’s mane — wholesale</w:t>
            </w:r>
          </w:p>
        </w:tc>
        <w:tc>
          <w:tcPr>
            <w:tcW w:type="dxa" w:w="3924"/>
            <w:tcMar>
              <w:top w:type="dxa" w:w="34"/>
              <w:left w:type="dxa" w:w="100"/>
              <w:bottom w:type="dxa" w:w="34"/>
              <w:right w:type="dxa" w:w="100"/>
            </w:tcMar>
          </w:tcPr>
          <w:p>
            <w:pPr>
              <w:jc w:val="right"/>
            </w:pPr>
            <w:r>
              <w:rPr>
                <w:b w:val="false"/>
                <w:bCs w:val="false"/>
                <w:color w:val="222222"/>
                <w:sz w:val="18"/>
                <w:szCs w:val="18"/>
              </w:rPr>
              <w:t xml:space="preserve">$8 – $12 / lb</w:t>
            </w:r>
          </w:p>
        </w:tc>
      </w:tr>
      <w:tr>
        <w:tc>
          <w:tcPr>
            <w:tcW w:type="dxa" w:w="6300"/>
            <w:tcMar>
              <w:top w:type="dxa" w:w="34"/>
              <w:left w:type="dxa" w:w="100"/>
              <w:bottom w:type="dxa" w:w="34"/>
              <w:right w:type="dxa" w:w="100"/>
            </w:tcMar>
          </w:tcPr>
          <w:p>
            <w:pPr>
              <w:jc w:val="left"/>
            </w:pPr>
            <w:r>
              <w:rPr>
                <w:b w:val="false"/>
                <w:bCs w:val="false"/>
                <w:color w:val="222222"/>
                <w:sz w:val="18"/>
                <w:szCs w:val="18"/>
              </w:rPr>
              <w:t xml:space="preserve">Lion’s mane — retail</w:t>
            </w:r>
          </w:p>
        </w:tc>
        <w:tc>
          <w:tcPr>
            <w:tcW w:type="dxa" w:w="3924"/>
            <w:tcMar>
              <w:top w:type="dxa" w:w="34"/>
              <w:left w:type="dxa" w:w="100"/>
              <w:bottom w:type="dxa" w:w="34"/>
              <w:right w:type="dxa" w:w="100"/>
            </w:tcMar>
          </w:tcPr>
          <w:p>
            <w:pPr>
              <w:jc w:val="right"/>
            </w:pPr>
            <w:r>
              <w:rPr>
                <w:b w:val="false"/>
                <w:bCs w:val="false"/>
                <w:color w:val="222222"/>
                <w:sz w:val="18"/>
                <w:szCs w:val="18"/>
              </w:rPr>
              <w:t xml:space="preserve">$12 – $16 / lb</w:t>
            </w:r>
          </w:p>
        </w:tc>
      </w:tr>
      <w:tr>
        <w:tc>
          <w:tcPr>
            <w:tcW w:type="dxa" w:w="6300"/>
            <w:tcMar>
              <w:top w:type="dxa" w:w="34"/>
              <w:left w:type="dxa" w:w="100"/>
              <w:bottom w:type="dxa" w:w="34"/>
              <w:right w:type="dxa" w:w="100"/>
            </w:tcMar>
          </w:tcPr>
          <w:p>
            <w:pPr>
              <w:jc w:val="left"/>
            </w:pPr>
            <w:r>
              <w:rPr>
                <w:b w:val="false"/>
                <w:bCs w:val="false"/>
                <w:color w:val="222222"/>
                <w:sz w:val="18"/>
                <w:szCs w:val="18"/>
              </w:rPr>
              <w:t xml:space="preserve">Direct-to-chef / farmers market</w:t>
            </w:r>
          </w:p>
        </w:tc>
        <w:tc>
          <w:tcPr>
            <w:tcW w:type="dxa" w:w="3924"/>
            <w:tcMar>
              <w:top w:type="dxa" w:w="34"/>
              <w:left w:type="dxa" w:w="100"/>
              <w:bottom w:type="dxa" w:w="34"/>
              <w:right w:type="dxa" w:w="100"/>
            </w:tcMar>
          </w:tcPr>
          <w:p>
            <w:pPr>
              <w:jc w:val="right"/>
            </w:pPr>
            <w:r>
              <w:rPr>
                <w:b w:val="false"/>
                <w:bCs w:val="false"/>
                <w:color w:val="222222"/>
                <w:sz w:val="18"/>
                <w:szCs w:val="18"/>
              </w:rPr>
              <w:t xml:space="preserve">$16 – $24 / lb</w:t>
            </w:r>
          </w:p>
        </w:tc>
      </w:tr>
      <w:tr>
        <w:tc>
          <w:tcPr>
            <w:tcW w:type="dxa" w:w="6300"/>
            <w:tcMar>
              <w:top w:type="dxa" w:w="34"/>
              <w:left w:type="dxa" w:w="100"/>
              <w:bottom w:type="dxa" w:w="34"/>
              <w:right w:type="dxa" w:w="100"/>
            </w:tcMar>
          </w:tcPr>
          <w:p>
            <w:pPr>
              <w:jc w:val="left"/>
            </w:pPr>
            <w:r>
              <w:rPr>
                <w:b/>
                <w:bCs/>
                <w:color w:val="23262B"/>
                <w:sz w:val="18"/>
                <w:szCs w:val="18"/>
              </w:rPr>
              <w:t xml:space="preserve">Production cost (all species)</w:t>
            </w:r>
          </w:p>
        </w:tc>
        <w:tc>
          <w:tcPr>
            <w:tcW w:type="dxa" w:w="3924"/>
            <w:tcMar>
              <w:top w:type="dxa" w:w="34"/>
              <w:left w:type="dxa" w:w="100"/>
              <w:bottom w:type="dxa" w:w="34"/>
              <w:right w:type="dxa" w:w="100"/>
            </w:tcMar>
          </w:tcPr>
          <w:p>
            <w:pPr>
              <w:jc w:val="right"/>
            </w:pPr>
            <w:r>
              <w:rPr>
                <w:b/>
                <w:bCs/>
                <w:color w:val="23262B"/>
                <w:sz w:val="18"/>
                <w:szCs w:val="18"/>
              </w:rPr>
              <w:t xml:space="preserve">$2.50 – $5.50 / lb</w:t>
            </w:r>
          </w:p>
        </w:tc>
      </w:tr>
    </w:tbl>
    <w:p>
      <w:pPr>
        <w:spacing w:after="90"/>
      </w:pPr>
      <w:r>
        <w:rPr>
          <w:i/>
          <w:iCs/>
          <w:color w:val="5F6A72"/>
          <w:sz w:val="19"/>
          <w:szCs w:val="19"/>
        </w:rPr>
        <w:t xml:space="preserve">The gap between wholesale and direct pricing is the core opportunity: the same pound of mushrooms earns 50–100% more through direct-to-chef and market channels than through wholesale.</w:t>
      </w:r>
    </w:p>
    <w:p>
      <w:pPr>
        <w:spacing w:after="40" w:before="150"/>
      </w:pPr>
      <w:r>
        <w:rPr>
          <w:b/>
          <w:bCs/>
          <w:color w:val="23262B"/>
          <w:sz w:val="21"/>
          <w:szCs w:val="21"/>
        </w:rPr>
        <w:t xml:space="preserve">Yield &amp; revenue potential</w:t>
      </w:r>
    </w:p>
    <w:p>
      <w:pPr>
        <w:spacing w:after="90"/>
      </w:pPr>
      <w:r>
        <w:rPr>
          <w:color w:val="222222"/>
          <w:sz w:val="19"/>
          <w:szCs w:val="19"/>
        </w:rPr>
        <w:t xml:space="preserve">A single 40-ft container produces roughly 300 lb/week at steady state (industry ceiling ~400 lb). Industry sources put a serious starter-commercial container operation at $80,000–$180,000 in annual revenue potential. On a deliberately conservative, wholesale-weighted basis, this plan models ~$144,000/yr revenue and ~$72,000/yr net over production at steady state, with a Year-1 ramp of ~$30,000–40,000 as production and sales channels come online.</w:t>
      </w:r>
    </w:p>
    <w:p>
      <w:pPr>
        <w:spacing w:after="40" w:before="150"/>
      </w:pPr>
      <w:r>
        <w:rPr>
          <w:b/>
          <w:bCs/>
          <w:color w:val="23262B"/>
          <w:sz w:val="21"/>
          <w:szCs w:val="21"/>
        </w:rPr>
        <w:t xml:space="preserve">Why this is feasible for a single operator</w:t>
      </w:r>
    </w:p>
    <w:p>
      <w:pPr>
        <w:spacing w:after="90"/>
      </w:pPr>
      <w:r>
        <w:rPr>
          <w:color w:val="222222"/>
          <w:sz w:val="19"/>
          <w:szCs w:val="19"/>
        </w:rPr>
        <w:t xml:space="preserve">The decisive profit driver is </w:t>
      </w:r>
      <w:r>
        <w:rPr>
          <w:b/>
          <w:bCs/>
          <w:color w:val="23262B"/>
          <w:sz w:val="19"/>
          <w:szCs w:val="19"/>
        </w:rPr>
        <w:t xml:space="preserve">channel mix, not raw yield</w:t>
      </w:r>
      <w:r>
        <w:rPr>
          <w:color w:val="222222"/>
          <w:sz w:val="19"/>
          <w:szCs w:val="19"/>
        </w:rPr>
        <w:t xml:space="preserve">. A grower who secures a few standing restaurant accounts for baseline cash flow and adds farmers-market and value-added (dried, extracts) sales for margin can reach strong revenue without industrial scale. In Riverside specifically, rotating warm- and cool-season species (pink oyster in summer, blue oyster in winter) manages HVAC cost — a regional edge that lowers the largest variable expense.</w:t>
      </w:r>
    </w:p>
    <w:p>
      <w:pPr>
        <w:pBdr>
          <w:top w:val="single" w:color="B9BDC2" w:sz="6"/>
        </w:pBdr>
        <w:spacing w:after="0" w:before="150"/>
      </w:pPr>
      <w:r>
        <w:rPr>
          <w:i/>
          <w:iCs/>
          <w:color w:val="5F6A72"/>
          <w:sz w:val="16"/>
          <w:szCs w:val="16"/>
        </w:rPr>
        <w:t xml:space="preserve">Sources: Northstar Financial (2026 gourmet-mushroom economics); Fungi Ally cultivation &amp; profit guides; container-farm industry data (Miracle, Satrise); USDA / SBA market context. Figures are industry-baseline projections to be localized with the LA VBOC.</w:t>
      </w:r>
    </w:p>
    <w:sectPr>
      <w:pgSz w:w="12240" w:h="15840" w:orient="portrait"/>
      <w:pgMar w:top="900" w:right="1008" w:bottom="82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2026-07-11T04:40:57.912Z</dcterms:created>
  <dcterms:modified xsi:type="dcterms:W3CDTF">2026-07-11T04:40:57.912Z</dcterms:modified>
</cp:coreProperties>
</file>

<file path=docProps/custom.xml><?xml version="1.0" encoding="utf-8"?>
<Properties xmlns="http://schemas.openxmlformats.org/officeDocument/2006/custom-properties" xmlns:vt="http://schemas.openxmlformats.org/officeDocument/2006/docPropsVTypes"/>
</file>