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A6B4A"/>
          <w:sz w:val="52"/>
          <w:szCs w:val="52"/>
        </w:rPr>
        <w:t xml:space="preserve">Emerald Feedback Wall</w:t>
      </w:r>
    </w:p>
    <w:p>
      <w:pPr>
        <w:spacing w:before="0" w:after="80"/>
      </w:pPr>
      <w:r>
        <w:rPr>
          <w:rFonts w:ascii="Arial" w:cs="Arial" w:eastAsia="Arial" w:hAnsi="Arial"/>
          <w:color w:val="555555"/>
          <w:sz w:val="30"/>
          <w:szCs w:val="30"/>
        </w:rPr>
        <w:t xml:space="preserve">Practical Risk Analysis — Conference Deployment</w:t>
      </w:r>
    </w:p>
    <w:p>
      <w:pPr>
        <w:spacing w:before="0" w:after="240"/>
      </w:pPr>
      <w:r>
        <w:rPr>
          <w:rFonts w:ascii="Arial" w:cs="Arial" w:eastAsia="Arial" w:hAnsi="Arial"/>
          <w:i/>
          <w:iCs/>
          <w:color w:val="555555"/>
          <w:sz w:val="20"/>
          <w:szCs w:val="20"/>
        </w:rPr>
        <w:t xml:space="preserve">Version 1.0  ·  March 2026  ·  </w:t>
      </w:r>
      <w:r>
        <w:rPr>
          <w:rFonts w:ascii="Arial" w:cs="Arial" w:eastAsia="Arial" w:hAnsi="Arial"/>
          <w:i/>
          <w:iCs/>
          <w:color w:val="555555"/>
          <w:sz w:val="20"/>
          <w:szCs w:val="20"/>
        </w:rPr>
        <w:t xml:space="preserve">Deployment context: 150"+ display driven from a single laptop; input via laptop keyboard/mouse or QR-linked mobile</w:t>
      </w:r>
    </w:p>
    <w:p>
      <w:pPr>
        <w:pBdr>
          <w:bottom w:val="single" w:color="C2E0CF" w:sz="4"/>
        </w:pBdr>
        <w:spacing w:before="160" w:after="160"/>
      </w:pPr>
    </w:p>
    <w:p>
      <w:pPr>
        <w:pStyle w:val="Heading1"/>
        <w:spacing w:before="360" w:after="120"/>
      </w:pPr>
      <w:r>
        <w:rPr>
          <w:rFonts w:ascii="Arial" w:cs="Arial" w:eastAsia="Arial" w:hAnsi="Arial"/>
          <w:b/>
          <w:bCs/>
          <w:color w:val="1A6B4A"/>
          <w:sz w:val="36"/>
          <w:szCs w:val="36"/>
        </w:rPr>
        <w:t xml:space="preserve">Introduction</w:t>
      </w:r>
    </w:p>
    <w:p>
      <w:pPr>
        <w:spacing w:before="60" w:after="80"/>
      </w:pPr>
      <w:r>
        <w:rPr>
          <w:rFonts w:ascii="Arial" w:cs="Arial" w:eastAsia="Arial" w:hAnsi="Arial"/>
          <w:color w:val="1A1A1A"/>
          <w:sz w:val="22"/>
          <w:szCs w:val="22"/>
        </w:rPr>
        <w:t xml:space="preserve">This document identifies practical risks the Emerald Feedback Wall may face during live conference deployment. The analysis assumes a specific configuration that differs from the self-service touchscreen kiosk model described in PRD v2.0:</w:t>
      </w:r>
    </w:p>
    <w:p>
      <w:pPr>
        <w:spacing w:before="60" w:after="60"/>
      </w:pPr>
    </w:p>
    <w:p>
      <w:pPr>
        <w:pStyle w:val="ListParagraph"/>
        <w:numPr>
          <w:ilvl w:val="0"/>
          <w:numId w:val="2"/>
        </w:numPr>
        <w:spacing w:before="40" w:after="40"/>
      </w:pPr>
      <w:r>
        <w:rPr>
          <w:rFonts w:ascii="Arial" w:cs="Arial" w:eastAsia="Arial" w:hAnsi="Arial"/>
          <w:color w:val="1A1A1A"/>
          <w:sz w:val="22"/>
          <w:szCs w:val="22"/>
        </w:rPr>
        <w:t xml:space="preserve">A 150"+ display driven from a single laptop operated by a Method or FIS team member</w:t>
      </w:r>
    </w:p>
    <w:p>
      <w:pPr>
        <w:pStyle w:val="ListParagraph"/>
        <w:numPr>
          <w:ilvl w:val="0"/>
          <w:numId w:val="2"/>
        </w:numPr>
        <w:spacing w:before="40" w:after="40"/>
      </w:pPr>
      <w:r>
        <w:rPr>
          <w:rFonts w:ascii="Arial" w:cs="Arial" w:eastAsia="Arial" w:hAnsi="Arial"/>
          <w:color w:val="1A1A1A"/>
          <w:sz w:val="22"/>
          <w:szCs w:val="22"/>
        </w:rPr>
        <w:t xml:space="preserve">Attendee input arriving via direct entry on the laptop or via mobile devices through the QR code</w:t>
      </w:r>
    </w:p>
    <w:p>
      <w:pPr>
        <w:pStyle w:val="ListParagraph"/>
        <w:numPr>
          <w:ilvl w:val="0"/>
          <w:numId w:val="2"/>
        </w:numPr>
        <w:spacing w:before="40" w:after="40"/>
      </w:pPr>
      <w:r>
        <w:rPr>
          <w:rFonts w:ascii="Arial" w:cs="Arial" w:eastAsia="Arial" w:hAnsi="Arial"/>
          <w:color w:val="1A1A1A"/>
          <w:sz w:val="22"/>
          <w:szCs w:val="22"/>
        </w:rPr>
        <w:t xml:space="preserve">A single-kiosk, operator-assisted data capture model rather than self-service touch interaction</w:t>
      </w:r>
    </w:p>
    <w:p>
      <w:pPr>
        <w:spacing w:before="60" w:after="60"/>
      </w:pPr>
    </w:p>
    <w:p>
      <w:pPr>
        <w:spacing w:before="60" w:after="80"/>
      </w:pPr>
      <w:r>
        <w:rPr>
          <w:rFonts w:ascii="Arial" w:cs="Arial" w:eastAsia="Arial" w:hAnsi="Arial"/>
          <w:color w:val="1A1A1A"/>
          <w:sz w:val="22"/>
          <w:szCs w:val="22"/>
        </w:rPr>
        <w:t xml:space="preserve">Several PRD requirements were written for a touchscreen self-service model. Where those assumptions materially change the risk profile under this deployment configuration, it is noted in the relevant risk entry.</w:t>
      </w:r>
    </w:p>
    <w:p>
      <w:pPr>
        <w:spacing w:before="60" w:after="80"/>
      </w:pPr>
      <w:r>
        <w:rPr>
          <w:rFonts w:ascii="Arial" w:cs="Arial" w:eastAsia="Arial" w:hAnsi="Arial"/>
          <w:color w:val="1A1A1A"/>
          <w:sz w:val="22"/>
          <w:szCs w:val="22"/>
        </w:rPr>
        <w:t xml:space="preserve">Risks are grouped into three probability tiers. Each entry includes a description, probability and impact assessment, and specific mitigations split between code changes and user/process interventions.</w:t>
      </w:r>
    </w:p>
    <w:p>
      <w:pPr>
        <w:pBdr>
          <w:bottom w:val="single" w:color="C2E0CF" w:sz="4"/>
        </w:pBdr>
        <w:spacing w:before="160" w:after="160"/>
      </w:pPr>
    </w:p>
    <w:p>
      <w:pPr>
        <w:pStyle w:val="Heading1"/>
        <w:spacing w:before="360" w:after="120"/>
      </w:pPr>
      <w:r>
        <w:rPr>
          <w:rFonts w:ascii="Arial" w:cs="Arial" w:eastAsia="Arial" w:hAnsi="Arial"/>
          <w:b/>
          <w:bCs/>
          <w:color w:val="1A6B4A"/>
          <w:sz w:val="36"/>
          <w:szCs w:val="36"/>
        </w:rPr>
        <w:t xml:space="preserve">Risk Summary</w:t>
      </w:r>
    </w:p>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rPr>
          <w:tblHeader/>
        </w:trPr>
        <w:tc>
          <w:tcPr>
            <w:tcW w:type="dxa" w:w="3200"/>
            <w:tcBorders>
              <w:top w:val="single" w:color="1A6B4A" w:sz="2"/>
              <w:left w:val="single" w:color="1A6B4A" w:sz="2"/>
              <w:bottom w:val="single" w:color="1A6B4A" w:sz="2"/>
              <w:right w:val="single" w:color="1A6B4A" w:sz="2"/>
            </w:tcBorders>
            <w:shd w:fill="1A6B4A" w:val="clear"/>
            <w:tcMar>
              <w:top w:type="dxa" w:w="80"/>
              <w:left w:type="dxa" w:w="100"/>
              <w:bottom w:type="dxa" w:w="80"/>
              <w:right w:type="dxa" w:w="100"/>
            </w:tcMar>
            <w:vAlign w:val="center"/>
          </w:tcPr>
          <w:p>
            <w:r>
              <w:rPr>
                <w:rFonts w:ascii="Arial" w:cs="Arial" w:eastAsia="Arial" w:hAnsi="Arial"/>
                <w:b/>
                <w:bCs/>
                <w:color w:val="FFFFFF"/>
                <w:sz w:val="20"/>
                <w:szCs w:val="20"/>
              </w:rPr>
              <w:t xml:space="preserve">Risk</w:t>
            </w:r>
          </w:p>
        </w:tc>
        <w:tc>
          <w:tcPr>
            <w:tcW w:type="dxa" w:w="1400"/>
            <w:tcBorders>
              <w:top w:val="single" w:color="1A6B4A" w:sz="2"/>
              <w:left w:val="single" w:color="1A6B4A" w:sz="2"/>
              <w:bottom w:val="single" w:color="1A6B4A" w:sz="2"/>
              <w:right w:val="single" w:color="1A6B4A" w:sz="2"/>
            </w:tcBorders>
            <w:shd w:fill="1A6B4A" w:val="clear"/>
            <w:tcMar>
              <w:top w:type="dxa" w:w="80"/>
              <w:left w:type="dxa" w:w="100"/>
              <w:bottom w:type="dxa" w:w="80"/>
              <w:right w:type="dxa" w:w="100"/>
            </w:tcMar>
            <w:vAlign w:val="center"/>
          </w:tcPr>
          <w:p>
            <w:r>
              <w:rPr>
                <w:rFonts w:ascii="Arial" w:cs="Arial" w:eastAsia="Arial" w:hAnsi="Arial"/>
                <w:b/>
                <w:bCs/>
                <w:color w:val="FFFFFF"/>
                <w:sz w:val="20"/>
                <w:szCs w:val="20"/>
              </w:rPr>
              <w:t xml:space="preserve">Probability</w:t>
            </w:r>
          </w:p>
        </w:tc>
        <w:tc>
          <w:tcPr>
            <w:tcW w:type="dxa" w:w="1400"/>
            <w:tcBorders>
              <w:top w:val="single" w:color="1A6B4A" w:sz="2"/>
              <w:left w:val="single" w:color="1A6B4A" w:sz="2"/>
              <w:bottom w:val="single" w:color="1A6B4A" w:sz="2"/>
              <w:right w:val="single" w:color="1A6B4A" w:sz="2"/>
            </w:tcBorders>
            <w:shd w:fill="1A6B4A" w:val="clear"/>
            <w:tcMar>
              <w:top w:type="dxa" w:w="80"/>
              <w:left w:type="dxa" w:w="100"/>
              <w:bottom w:type="dxa" w:w="80"/>
              <w:right w:type="dxa" w:w="100"/>
            </w:tcMar>
            <w:vAlign w:val="center"/>
          </w:tcPr>
          <w:p>
            <w:r>
              <w:rPr>
                <w:rFonts w:ascii="Arial" w:cs="Arial" w:eastAsia="Arial" w:hAnsi="Arial"/>
                <w:b/>
                <w:bCs/>
                <w:color w:val="FFFFFF"/>
                <w:sz w:val="20"/>
                <w:szCs w:val="20"/>
              </w:rPr>
              <w:t xml:space="preserve">Impact</w:t>
            </w:r>
          </w:p>
        </w:tc>
        <w:tc>
          <w:tcPr>
            <w:tcW w:type="dxa" w:w="3360"/>
            <w:tcBorders>
              <w:top w:val="single" w:color="1A6B4A" w:sz="2"/>
              <w:left w:val="single" w:color="1A6B4A" w:sz="2"/>
              <w:bottom w:val="single" w:color="1A6B4A" w:sz="2"/>
              <w:right w:val="single" w:color="1A6B4A" w:sz="2"/>
            </w:tcBorders>
            <w:shd w:fill="1A6B4A" w:val="clear"/>
            <w:tcMar>
              <w:top w:type="dxa" w:w="80"/>
              <w:left w:type="dxa" w:w="100"/>
              <w:bottom w:type="dxa" w:w="80"/>
              <w:right w:type="dxa" w:w="100"/>
            </w:tcMar>
            <w:vAlign w:val="center"/>
          </w:tcPr>
          <w:p>
            <w:r>
              <w:rPr>
                <w:rFonts w:ascii="Arial" w:cs="Arial" w:eastAsia="Arial" w:hAnsi="Arial"/>
                <w:b/>
                <w:bCs/>
                <w:color w:val="FFFFFF"/>
                <w:sz w:val="20"/>
                <w:szCs w:val="20"/>
              </w:rPr>
              <w:t xml:space="preserve">Primary Mitigation</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Laptop bottleneck as sole kiosk</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Near-certain</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3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Dedicated operator + push mobile hard</w:t>
            </w:r>
          </w:p>
        </w:tc>
      </w:tr>
      <w:tr>
        <w:tc>
          <w:tcPr>
            <w:tcW w:type="dxa" w:w="3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Low QR code adoption</w:t>
            </w:r>
          </w:p>
        </w:tc>
        <w:tc>
          <w:tcPr>
            <w:tcW w:type="dxa" w:w="14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14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3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Table cards, verbal prompts, short URL</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Operator can't see 150" display</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Certain</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Medium</w:t>
            </w:r>
          </w:p>
        </w:tc>
        <w:tc>
          <w:tcPr>
            <w:tcW w:type="dxa" w:w="3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Two-person team; operator on laptop only</w:t>
            </w:r>
          </w:p>
        </w:tc>
      </w:tr>
      <w:tr>
        <w:tc>
          <w:tcPr>
            <w:tcW w:type="dxa" w:w="3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Seed data misconfiguration</w:t>
            </w:r>
          </w:p>
        </w:tc>
        <w:tc>
          <w:tcPr>
            <w:tcW w:type="dxa" w:w="14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Medium-High</w:t>
            </w:r>
          </w:p>
        </w:tc>
        <w:tc>
          <w:tcPr>
            <w:tcW w:type="dxa" w:w="14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3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Day-before dry run with real config</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PIN loss / forgotten</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Medium-High</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3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Resolve Open Q#3; shared team record</w:t>
            </w:r>
          </w:p>
        </w:tc>
      </w:tr>
      <w:tr>
        <w:tc>
          <w:tcPr>
            <w:tcW w:type="dxa" w:w="3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Thin or lopsided synthesis signal</w:t>
            </w:r>
          </w:p>
        </w:tc>
        <w:tc>
          <w:tcPr>
            <w:tcW w:type="dxa" w:w="14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Medium</w:t>
            </w:r>
          </w:p>
        </w:tc>
        <w:tc>
          <w:tcPr>
            <w:tcW w:type="dxa" w:w="14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3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Per-section targets; active facilitation</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Conflict detection threshold too high</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Medium</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Medium</w:t>
            </w:r>
          </w:p>
        </w:tc>
        <w:tc>
          <w:tcPr>
            <w:tcW w:type="dxa" w:w="3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Lower MIN_EACH to 2 for low-volume events</w:t>
            </w:r>
          </w:p>
        </w:tc>
      </w:tr>
      <w:tr>
        <w:tc>
          <w:tcPr>
            <w:tcW w:type="dxa" w:w="3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Follow-up questions in operator flow</w:t>
            </w:r>
          </w:p>
        </w:tc>
        <w:tc>
          <w:tcPr>
            <w:tcW w:type="dxa" w:w="14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Medium</w:t>
            </w:r>
          </w:p>
        </w:tc>
        <w:tc>
          <w:tcPr>
            <w:tcW w:type="dxa" w:w="14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Medium</w:t>
            </w:r>
          </w:p>
        </w:tc>
        <w:tc>
          <w:tcPr>
            <w:tcW w:type="dxa" w:w="3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Allow facilitator to disable CAP-09</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Mobile skews away from screen feedback</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Medium</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Medium</w:t>
            </w:r>
          </w:p>
        </w:tc>
        <w:tc>
          <w:tcPr>
            <w:tcW w:type="dxa" w:w="3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Verbal framing of mobile vs. wall roles</w:t>
            </w:r>
          </w:p>
        </w:tc>
      </w:tr>
      <w:tr>
        <w:tc>
          <w:tcPr>
            <w:tcW w:type="dxa" w:w="3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Day 2 reveal setup scramble</w:t>
            </w:r>
          </w:p>
        </w:tc>
        <w:tc>
          <w:tcPr>
            <w:tcW w:type="dxa" w:w="14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Medium</w:t>
            </w:r>
          </w:p>
        </w:tc>
        <w:tc>
          <w:tcPr>
            <w:tcW w:type="dxa" w:w="14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Medium</w:t>
            </w:r>
          </w:p>
        </w:tc>
        <w:tc>
          <w:tcPr>
            <w:tcW w:type="dxa" w:w="3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Resolve Open Q#6; pre-write narrative</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Quote ticker surfaces bad quotes</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Low-Medium</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3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Add moderation queue for 150" context</w:t>
            </w:r>
          </w:p>
        </w:tc>
      </w:tr>
      <w:tr>
        <w:tc>
          <w:tcPr>
            <w:tcW w:type="dxa" w:w="3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Synthesis API unavailable overnight</w:t>
            </w:r>
          </w:p>
        </w:tc>
        <w:tc>
          <w:tcPr>
            <w:tcW w:type="dxa" w:w="14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Low</w:t>
            </w:r>
          </w:p>
        </w:tc>
        <w:tc>
          <w:tcPr>
            <w:tcW w:type="dxa" w:w="14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3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Write manual synthesis protocol now</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Data store corruption on restart</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Low</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3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Define explicit corruption recovery path</w:t>
            </w:r>
          </w:p>
        </w:tc>
      </w:tr>
      <w:tr>
        <w:tc>
          <w:tcPr>
            <w:tcW w:type="dxa" w:w="3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Role segmentation misleads synthesis</w:t>
            </w:r>
          </w:p>
        </w:tc>
        <w:tc>
          <w:tcPr>
            <w:tcW w:type="dxa" w:w="14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Low-Medium</w:t>
            </w:r>
          </w:p>
        </w:tc>
        <w:tc>
          <w:tcPr>
            <w:tcW w:type="dxa" w:w="14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Medium</w:t>
            </w:r>
          </w:p>
        </w:tc>
        <w:tc>
          <w:tcPr>
            <w:tcW w:type="dxa" w:w="3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vAlign w:val="top"/>
          </w:tcPr>
          <w:p>
            <w:r>
              <w:rPr>
                <w:rFonts w:ascii="Arial" w:cs="Arial" w:eastAsia="Arial" w:hAnsi="Arial"/>
                <w:color w:val="1A1A1A"/>
                <w:sz w:val="18"/>
                <w:szCs w:val="18"/>
              </w:rPr>
              <w:t xml:space="preserve">Minimum sample size before surfacing role patterns</w:t>
            </w:r>
          </w:p>
        </w:tc>
      </w:tr>
    </w:tbl>
    <w:p>
      <w:pPr>
        <w:spacing w:before="100" w:after="100"/>
      </w:pPr>
    </w:p>
    <w:p>
      <w:pPr>
        <w:pBdr>
          <w:bottom w:val="single" w:color="C2E0CF" w:sz="4"/>
        </w:pBdr>
        <w:spacing w:before="160" w:after="160"/>
      </w:pPr>
    </w:p>
    <w:p>
      <w:pPr>
        <w:pStyle w:val="Heading1"/>
        <w:spacing w:before="360" w:after="120"/>
      </w:pPr>
      <w:r>
        <w:rPr>
          <w:rFonts w:ascii="Arial" w:cs="Arial" w:eastAsia="Arial" w:hAnsi="Arial"/>
          <w:b/>
          <w:bCs/>
          <w:color w:val="1A6B4A"/>
          <w:sz w:val="36"/>
          <w:szCs w:val="36"/>
        </w:rPr>
        <w:t xml:space="preserve">High Probability Risks</w:t>
      </w:r>
    </w:p>
    <w:p>
      <w:pPr>
        <w:spacing w:before="40" w:after="60"/>
      </w:pPr>
      <w:r>
        <w:rPr>
          <w:rFonts w:ascii="Arial" w:cs="Arial" w:eastAsia="Arial" w:hAnsi="Arial"/>
          <w:i/>
          <w:iCs/>
          <w:color w:val="555555"/>
          <w:sz w:val="22"/>
          <w:szCs w:val="22"/>
        </w:rPr>
        <w:t xml:space="preserve">These risks are near-certain or highly likely given the specific deployment configuration. They should be addressed before Event 1.</w:t>
      </w:r>
    </w:p>
    <w:p>
      <w:pPr>
        <w:spacing w:before="80" w:after="80"/>
      </w:pPr>
    </w:p>
    <w:p>
      <w:pPr>
        <w:pStyle w:val="Heading2"/>
        <w:spacing w:before="280" w:after="80"/>
      </w:pPr>
      <w:r>
        <w:rPr>
          <w:rFonts w:ascii="Arial" w:cs="Arial" w:eastAsia="Arial" w:hAnsi="Arial"/>
          <w:b/>
          <w:bCs/>
          <w:color w:val="1A1A1A"/>
          <w:sz w:val="26"/>
          <w:szCs w:val="26"/>
        </w:rPr>
        <w:t xml:space="preserve">1. Laptop as the Sole Kiosk Input Creates a Bottleneck</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2"/>
              <w:left w:val="single" w:color="C0392B" w:sz="2"/>
              <w:bottom w:val="single" w:color="C0392B" w:sz="2"/>
              <w:right w:val="single" w:color="C0392B" w:sz="2"/>
            </w:tcBorders>
            <w:shd w:fill="FDECEA" w:val="clear"/>
            <w:tcMar>
              <w:top w:type="dxa" w:w="80"/>
              <w:left w:type="dxa" w:w="120"/>
              <w:bottom w:type="dxa" w:w="80"/>
              <w:right w:type="dxa" w:w="120"/>
            </w:tcMar>
          </w:tcPr>
          <w:p>
            <w:r>
              <w:rPr>
                <w:rFonts w:ascii="Arial" w:cs="Arial" w:eastAsia="Arial" w:hAnsi="Arial"/>
                <w:b/>
                <w:bCs/>
                <w:color w:val="1A1A1A"/>
                <w:sz w:val="20"/>
                <w:szCs w:val="20"/>
              </w:rPr>
              <w:t xml:space="preserve">Probability: </w:t>
            </w:r>
            <w:r>
              <w:rPr>
                <w:rFonts w:ascii="Arial" w:cs="Arial" w:eastAsia="Arial" w:hAnsi="Arial"/>
                <w:color w:val="1A1A1A"/>
                <w:sz w:val="20"/>
                <w:szCs w:val="20"/>
              </w:rPr>
              <w:t xml:space="preserve">Near-certain</w:t>
            </w:r>
          </w:p>
        </w:tc>
        <w:tc>
          <w:tcPr>
            <w:tcW w:type="dxa" w:w="4680"/>
            <w:tcBorders>
              <w:top w:val="single" w:color="C0392B" w:sz="2"/>
              <w:left w:val="single" w:color="C0392B" w:sz="2"/>
              <w:bottom w:val="single" w:color="C0392B" w:sz="2"/>
              <w:right w:val="single" w:color="C0392B" w:sz="2"/>
            </w:tcBorders>
            <w:shd w:fill="FDECEA" w:val="clear"/>
            <w:tcMar>
              <w:top w:type="dxa" w:w="80"/>
              <w:left w:type="dxa" w:w="120"/>
              <w:bottom w:type="dxa" w:w="80"/>
              <w:right w:type="dxa" w:w="120"/>
            </w:tcMar>
          </w:tcPr>
          <w:p>
            <w:r>
              <w:rPr>
                <w:rFonts w:ascii="Arial" w:cs="Arial" w:eastAsia="Arial" w:hAnsi="Arial"/>
                <w:b/>
                <w:bCs/>
                <w:color w:val="1A1A1A"/>
                <w:sz w:val="20"/>
                <w:szCs w:val="20"/>
              </w:rPr>
              <w:t xml:space="preserve">Impact: </w:t>
            </w:r>
            <w:r>
              <w:rPr>
                <w:rFonts w:ascii="Arial" w:cs="Arial" w:eastAsia="Arial" w:hAnsi="Arial"/>
                <w:color w:val="1A1A1A"/>
                <w:sz w:val="20"/>
                <w:szCs w:val="20"/>
              </w:rPr>
              <w:t xml:space="preserve">High</w:t>
            </w:r>
          </w:p>
        </w:tc>
      </w:tr>
    </w:tbl>
    <w:p>
      <w:pPr>
        <w:spacing w:before="80" w:after="80"/>
      </w:pPr>
    </w:p>
    <w:p>
      <w:pPr>
        <w:spacing w:before="60" w:after="80"/>
      </w:pPr>
      <w:r>
        <w:rPr>
          <w:rFonts w:ascii="Arial" w:cs="Arial" w:eastAsia="Arial" w:hAnsi="Arial"/>
          <w:color w:val="1A1A1A"/>
          <w:sz w:val="22"/>
          <w:szCs w:val="22"/>
        </w:rPr>
        <w:t xml:space="preserve">The PRD assumes a large touchscreen kiosk where attendees interact directly. A laptop intermediary means every non-mobile submission requires someone to physically operate the laptop — either the attendee (awkward at a conference table) or a Method/FIS staffer, who becomes a bottleneck and a transcription layer that introduces errors and slows the capture rate.</w:t>
      </w:r>
    </w:p>
    <w:p>
      <w:pPr>
        <w:spacing w:before="60" w:after="60"/>
      </w:pPr>
    </w:p>
    <w:p>
      <w:pPr>
        <w:spacing w:before="60" w:after="80"/>
      </w:pPr>
      <w:r>
        <w:rPr>
          <w:rFonts w:ascii="Arial" w:cs="Arial" w:eastAsia="Arial" w:hAnsi="Arial"/>
          <w:color w:val="555555"/>
          <w:sz w:val="22"/>
          <w:szCs w:val="22"/>
        </w:rPr>
        <w:t xml:space="preserve">This is not just a UX friction issue. It fundamentally changes the data fidelity model. Feature requests and screen feedback entered by a transcribing operator introduce a paraphrase layer between what the attendee said and what appears in synthesis. Several PRD requirements — CAP-09 follow-up questions, the idle ticker timer, 44px touch target sizing — were designed for self-service and will require re-evaluation.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2"/>
              <w:left w:val="single" w:color="C0392B" w:sz="2"/>
              <w:bottom w:val="single" w:color="C0392B" w:sz="2"/>
              <w:right w:val="single" w:color="C0392B" w:sz="2"/>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Code Mitigation</w:t>
            </w:r>
          </w:p>
        </w:tc>
        <w:tc>
          <w:tcPr>
            <w:tcW w:type="dxa" w:w="4680"/>
            <w:tcBorders>
              <w:top w:val="single" w:color="C0392B" w:sz="2"/>
              <w:left w:val="single" w:color="C0392B" w:sz="2"/>
              <w:bottom w:val="single" w:color="C0392B" w:sz="2"/>
              <w:right w:val="single" w:color="C0392B" w:sz="2"/>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User / Process Mitigation</w:t>
            </w:r>
          </w:p>
        </w:tc>
      </w:tr>
      <w:tr>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Add a 'dictation mode' UI toggle that enlarges input fields and minimises animations, reducing cognitive overhead for rapid sequential entry.</w:t>
            </w:r>
          </w:p>
        </w:tc>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Designate one person as the 'wall operator' whose only job during sessions is entering feedback verbatim as attendees dictate. Brief them that they are a data entry role, not a facilitator.</w:t>
            </w:r>
          </w:p>
        </w:tc>
      </w:tr>
      <w:tr>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Consider a facilitator preference to disable CAP-09 follow-up questions when operating in operator-assisted mode — the follow-up is designed for self-service.</w:t>
            </w:r>
          </w:p>
        </w:tc>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Heavily push mobile QR adoption so the laptop becomes the exception, not the primary input method.</w:t>
            </w:r>
          </w:p>
        </w:tc>
      </w:tr>
    </w:tbl>
    <w:p>
      <w:pPr>
        <w:spacing w:before="120" w:after="80"/>
      </w:pPr>
    </w:p>
    <w:p>
      <w:pPr>
        <w:pStyle w:val="Heading2"/>
        <w:spacing w:before="280" w:after="80"/>
      </w:pPr>
      <w:r>
        <w:rPr>
          <w:rFonts w:ascii="Arial" w:cs="Arial" w:eastAsia="Arial" w:hAnsi="Arial"/>
          <w:b/>
          <w:bCs/>
          <w:color w:val="1A1A1A"/>
          <w:sz w:val="26"/>
          <w:szCs w:val="26"/>
        </w:rPr>
        <w:t xml:space="preserve">2. QR Code Adoption Will Be Lower Than Expected</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2"/>
              <w:left w:val="single" w:color="C0392B" w:sz="2"/>
              <w:bottom w:val="single" w:color="C0392B" w:sz="2"/>
              <w:right w:val="single" w:color="C0392B" w:sz="2"/>
            </w:tcBorders>
            <w:shd w:fill="FDECEA" w:val="clear"/>
            <w:tcMar>
              <w:top w:type="dxa" w:w="80"/>
              <w:left w:type="dxa" w:w="120"/>
              <w:bottom w:type="dxa" w:w="80"/>
              <w:right w:type="dxa" w:w="120"/>
            </w:tcMar>
          </w:tcPr>
          <w:p>
            <w:r>
              <w:rPr>
                <w:rFonts w:ascii="Arial" w:cs="Arial" w:eastAsia="Arial" w:hAnsi="Arial"/>
                <w:b/>
                <w:bCs/>
                <w:color w:val="1A1A1A"/>
                <w:sz w:val="20"/>
                <w:szCs w:val="20"/>
              </w:rPr>
              <w:t xml:space="preserve">Probability: </w:t>
            </w:r>
            <w:r>
              <w:rPr>
                <w:rFonts w:ascii="Arial" w:cs="Arial" w:eastAsia="Arial" w:hAnsi="Arial"/>
                <w:color w:val="1A1A1A"/>
                <w:sz w:val="20"/>
                <w:szCs w:val="20"/>
              </w:rPr>
              <w:t xml:space="preserve">High</w:t>
            </w:r>
          </w:p>
        </w:tc>
        <w:tc>
          <w:tcPr>
            <w:tcW w:type="dxa" w:w="4680"/>
            <w:tcBorders>
              <w:top w:val="single" w:color="C0392B" w:sz="2"/>
              <w:left w:val="single" w:color="C0392B" w:sz="2"/>
              <w:bottom w:val="single" w:color="C0392B" w:sz="2"/>
              <w:right w:val="single" w:color="C0392B" w:sz="2"/>
            </w:tcBorders>
            <w:shd w:fill="FDECEA" w:val="clear"/>
            <w:tcMar>
              <w:top w:type="dxa" w:w="80"/>
              <w:left w:type="dxa" w:w="120"/>
              <w:bottom w:type="dxa" w:w="80"/>
              <w:right w:type="dxa" w:w="120"/>
            </w:tcMar>
          </w:tcPr>
          <w:p>
            <w:r>
              <w:rPr>
                <w:rFonts w:ascii="Arial" w:cs="Arial" w:eastAsia="Arial" w:hAnsi="Arial"/>
                <w:b/>
                <w:bCs/>
                <w:color w:val="1A1A1A"/>
                <w:sz w:val="20"/>
                <w:szCs w:val="20"/>
              </w:rPr>
              <w:t xml:space="preserve">Impact: </w:t>
            </w:r>
            <w:r>
              <w:rPr>
                <w:rFonts w:ascii="Arial" w:cs="Arial" w:eastAsia="Arial" w:hAnsi="Arial"/>
                <w:color w:val="1A1A1A"/>
                <w:sz w:val="20"/>
                <w:szCs w:val="20"/>
              </w:rPr>
              <w:t xml:space="preserve">High</w:t>
            </w:r>
          </w:p>
        </w:tc>
      </w:tr>
    </w:tbl>
    <w:p>
      <w:pPr>
        <w:spacing w:before="80" w:after="80"/>
      </w:pPr>
    </w:p>
    <w:p>
      <w:pPr>
        <w:spacing w:before="60" w:after="80"/>
      </w:pPr>
      <w:r>
        <w:rPr>
          <w:rFonts w:ascii="Arial" w:cs="Arial" w:eastAsia="Arial" w:hAnsi="Arial"/>
          <w:color w:val="1A1A1A"/>
          <w:sz w:val="22"/>
          <w:szCs w:val="22"/>
        </w:rPr>
        <w:t xml:space="preserve">The PRD targets ≥60 responses/day with mobile as a primary channel. In practice, QR code adoption at B2B conferences requires active encouragement, good room lighting for scanning, and attendees who are not mid-session. Many will look at the QR code and not bother, particularly senior attendees.</w:t>
      </w:r>
    </w:p>
    <w:p>
      <w:pPr>
        <w:spacing w:before="60" w:after="60"/>
      </w:pPr>
    </w:p>
    <w:p>
      <w:pPr>
        <w:spacing w:before="60" w:after="80"/>
      </w:pPr>
      <w:r>
        <w:rPr>
          <w:rFonts w:ascii="Arial" w:cs="Arial" w:eastAsia="Arial" w:hAnsi="Arial"/>
          <w:color w:val="555555"/>
          <w:sz w:val="22"/>
          <w:szCs w:val="22"/>
        </w:rPr>
        <w:t xml:space="preserve">Open Question #8 (static vs. rotating QR) remains unresolved. The QR code is currently statically generated per event slug — if the URL is a full UUID-based path, it will be unscannable from a distance and untypeable as a fallback.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2"/>
              <w:left w:val="single" w:color="C0392B" w:sz="2"/>
              <w:bottom w:val="single" w:color="C0392B" w:sz="2"/>
              <w:right w:val="single" w:color="C0392B" w:sz="2"/>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Code Mitigation</w:t>
            </w:r>
          </w:p>
        </w:tc>
        <w:tc>
          <w:tcPr>
            <w:tcW w:type="dxa" w:w="4680"/>
            <w:tcBorders>
              <w:top w:val="single" w:color="C0392B" w:sz="2"/>
              <w:left w:val="single" w:color="C0392B" w:sz="2"/>
              <w:bottom w:val="single" w:color="C0392B" w:sz="2"/>
              <w:right w:val="single" w:color="C0392B" w:sz="2"/>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User / Process Mitigation</w:t>
            </w:r>
          </w:p>
        </w:tc>
      </w:tr>
      <w:tr>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Ensure the mobile URL is also human-typeable as a short slug (e.g., emerald.fis.com/nyc26) — resilient when QR scanning fails.</w:t>
            </w:r>
          </w:p>
        </w:tc>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Print the QR code on table cards, tent cards, and the printed agenda — not just on the wall display.</w:t>
            </w:r>
          </w:p>
        </w:tc>
      </w:tr>
      <w:tr>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Resolve Open Question #8 before Event 1.</w:t>
            </w:r>
          </w:p>
        </w:tc>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Have the facilitator verbally prompt mobile participation at each session break.</w:t>
            </w:r>
          </w:p>
        </w:tc>
      </w:tr>
      <w:tr>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
            </w:r>
          </w:p>
        </w:tc>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Consider a shortened URL displayed beneath the QR as a visible fallback.</w:t>
            </w:r>
          </w:p>
        </w:tc>
      </w:tr>
    </w:tbl>
    <w:p>
      <w:pPr>
        <w:spacing w:before="120" w:after="80"/>
      </w:pPr>
    </w:p>
    <w:p>
      <w:pPr>
        <w:pStyle w:val="Heading2"/>
        <w:spacing w:before="280" w:after="80"/>
      </w:pPr>
      <w:r>
        <w:rPr>
          <w:rFonts w:ascii="Arial" w:cs="Arial" w:eastAsia="Arial" w:hAnsi="Arial"/>
          <w:b/>
          <w:bCs/>
          <w:color w:val="1A1A1A"/>
          <w:sz w:val="26"/>
          <w:szCs w:val="26"/>
        </w:rPr>
        <w:t xml:space="preserve">3. The 150" Display Is Unreadable from the Operator Position</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2"/>
              <w:left w:val="single" w:color="C0392B" w:sz="2"/>
              <w:bottom w:val="single" w:color="C0392B" w:sz="2"/>
              <w:right w:val="single" w:color="C0392B" w:sz="2"/>
            </w:tcBorders>
            <w:shd w:fill="FDECEA" w:val="clear"/>
            <w:tcMar>
              <w:top w:type="dxa" w:w="80"/>
              <w:left w:type="dxa" w:w="120"/>
              <w:bottom w:type="dxa" w:w="80"/>
              <w:right w:type="dxa" w:w="120"/>
            </w:tcMar>
          </w:tcPr>
          <w:p>
            <w:r>
              <w:rPr>
                <w:rFonts w:ascii="Arial" w:cs="Arial" w:eastAsia="Arial" w:hAnsi="Arial"/>
                <w:b/>
                <w:bCs/>
                <w:color w:val="1A1A1A"/>
                <w:sz w:val="20"/>
                <w:szCs w:val="20"/>
              </w:rPr>
              <w:t xml:space="preserve">Probability: </w:t>
            </w:r>
            <w:r>
              <w:rPr>
                <w:rFonts w:ascii="Arial" w:cs="Arial" w:eastAsia="Arial" w:hAnsi="Arial"/>
                <w:color w:val="1A1A1A"/>
                <w:sz w:val="20"/>
                <w:szCs w:val="20"/>
              </w:rPr>
              <w:t xml:space="preserve">Certain</w:t>
            </w:r>
          </w:p>
        </w:tc>
        <w:tc>
          <w:tcPr>
            <w:tcW w:type="dxa" w:w="4680"/>
            <w:tcBorders>
              <w:top w:val="single" w:color="C0392B" w:sz="2"/>
              <w:left w:val="single" w:color="C0392B" w:sz="2"/>
              <w:bottom w:val="single" w:color="C0392B" w:sz="2"/>
              <w:right w:val="single" w:color="C0392B" w:sz="2"/>
            </w:tcBorders>
            <w:shd w:fill="FDECEA" w:val="clear"/>
            <w:tcMar>
              <w:top w:type="dxa" w:w="80"/>
              <w:left w:type="dxa" w:w="120"/>
              <w:bottom w:type="dxa" w:w="80"/>
              <w:right w:type="dxa" w:w="120"/>
            </w:tcMar>
          </w:tcPr>
          <w:p>
            <w:r>
              <w:rPr>
                <w:rFonts w:ascii="Arial" w:cs="Arial" w:eastAsia="Arial" w:hAnsi="Arial"/>
                <w:b/>
                <w:bCs/>
                <w:color w:val="1A1A1A"/>
                <w:sz w:val="20"/>
                <w:szCs w:val="20"/>
              </w:rPr>
              <w:t xml:space="preserve">Impact: </w:t>
            </w:r>
            <w:r>
              <w:rPr>
                <w:rFonts w:ascii="Arial" w:cs="Arial" w:eastAsia="Arial" w:hAnsi="Arial"/>
                <w:color w:val="1A1A1A"/>
                <w:sz w:val="20"/>
                <w:szCs w:val="20"/>
              </w:rPr>
              <w:t xml:space="preserve">Medium</w:t>
            </w:r>
          </w:p>
        </w:tc>
      </w:tr>
    </w:tbl>
    <w:p>
      <w:pPr>
        <w:spacing w:before="80" w:after="80"/>
      </w:pPr>
    </w:p>
    <w:p>
      <w:pPr>
        <w:spacing w:before="60" w:after="80"/>
      </w:pPr>
      <w:r>
        <w:rPr>
          <w:rFonts w:ascii="Arial" w:cs="Arial" w:eastAsia="Arial" w:hAnsi="Arial"/>
          <w:color w:val="1A1A1A"/>
          <w:sz w:val="22"/>
          <w:szCs w:val="22"/>
        </w:rPr>
        <w:t xml:space="preserve">The display is optimised for 'legibility from 3–5 metres' (NFR). The operator at the laptop is likely 1–2 metres from the laptop screen and potentially 5–10 metres from the 150" display. In practice, the operator works from the laptop, not the big screen — meaning they cannot simultaneously monitor what the room sees and what they are entering.</w:t>
      </w:r>
    </w:p>
    <w:p>
      <w:pPr>
        <w:spacing w:before="60" w:after="60"/>
      </w:pPr>
    </w:p>
    <w:p>
      <w:pPr>
        <w:spacing w:before="60" w:after="80"/>
      </w:pPr>
      <w:r>
        <w:rPr>
          <w:rFonts w:ascii="Arial" w:cs="Arial" w:eastAsia="Arial" w:hAnsi="Arial"/>
          <w:color w:val="555555"/>
          <w:sz w:val="22"/>
          <w:szCs w:val="22"/>
        </w:rPr>
        <w:t xml:space="preserve">The idle-state quote ticker activates after 45 seconds. If the operator steps away briefly, the room will see this. The facilitator badge counts and heatmap, which are key for directing attendees to under-sampled screens, will only be visible on the laptop — not to anyone watching the large display.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2"/>
              <w:left w:val="single" w:color="C0392B" w:sz="2"/>
              <w:bottom w:val="single" w:color="C0392B" w:sz="2"/>
              <w:right w:val="single" w:color="C0392B" w:sz="2"/>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Code Mitigation</w:t>
            </w:r>
          </w:p>
        </w:tc>
        <w:tc>
          <w:tcPr>
            <w:tcW w:type="dxa" w:w="4680"/>
            <w:tcBorders>
              <w:top w:val="single" w:color="C0392B" w:sz="2"/>
              <w:left w:val="single" w:color="C0392B" w:sz="2"/>
              <w:bottom w:val="single" w:color="C0392B" w:sz="2"/>
              <w:right w:val="single" w:color="C0392B" w:sz="2"/>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User / Process Mitigation</w:t>
            </w:r>
          </w:p>
        </w:tc>
      </w:tr>
      <w:tr>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Confirm that the idle timer (45 seconds) is appropriate for this room format — consider extending it to 90–120 seconds to allow for natural conversation pauses between submissions.</w:t>
            </w:r>
          </w:p>
        </w:tc>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Treat the 150" display as ambient/audience-facing only. The operator works entirely from the laptop.</w:t>
            </w:r>
          </w:p>
        </w:tc>
      </w:tr>
      <w:tr>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
            </w:r>
          </w:p>
        </w:tc>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Designate a second person to monitor the big screen for stalls, frozen states, or idle ticker content that needs attention.</w:t>
            </w:r>
          </w:p>
        </w:tc>
      </w:tr>
    </w:tbl>
    <w:p>
      <w:pPr>
        <w:spacing w:before="120" w:after="80"/>
      </w:pPr>
    </w:p>
    <w:p>
      <w:pPr>
        <w:pStyle w:val="Heading2"/>
        <w:spacing w:before="280" w:after="80"/>
      </w:pPr>
      <w:r>
        <w:rPr>
          <w:rFonts w:ascii="Arial" w:cs="Arial" w:eastAsia="Arial" w:hAnsi="Arial"/>
          <w:b/>
          <w:bCs/>
          <w:color w:val="1A1A1A"/>
          <w:sz w:val="26"/>
          <w:szCs w:val="26"/>
        </w:rPr>
        <w:t xml:space="preserve">4. Seed Data Misconfiguration Discovered on Event Day</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2"/>
              <w:left w:val="single" w:color="C0392B" w:sz="2"/>
              <w:bottom w:val="single" w:color="C0392B" w:sz="2"/>
              <w:right w:val="single" w:color="C0392B" w:sz="2"/>
            </w:tcBorders>
            <w:shd w:fill="FDECEA" w:val="clear"/>
            <w:tcMar>
              <w:top w:type="dxa" w:w="80"/>
              <w:left w:type="dxa" w:w="120"/>
              <w:bottom w:type="dxa" w:w="80"/>
              <w:right w:type="dxa" w:w="120"/>
            </w:tcMar>
          </w:tcPr>
          <w:p>
            <w:r>
              <w:rPr>
                <w:rFonts w:ascii="Arial" w:cs="Arial" w:eastAsia="Arial" w:hAnsi="Arial"/>
                <w:b/>
                <w:bCs/>
                <w:color w:val="1A1A1A"/>
                <w:sz w:val="20"/>
                <w:szCs w:val="20"/>
              </w:rPr>
              <w:t xml:space="preserve">Probability: </w:t>
            </w:r>
            <w:r>
              <w:rPr>
                <w:rFonts w:ascii="Arial" w:cs="Arial" w:eastAsia="Arial" w:hAnsi="Arial"/>
                <w:color w:val="1A1A1A"/>
                <w:sz w:val="20"/>
                <w:szCs w:val="20"/>
              </w:rPr>
              <w:t xml:space="preserve">Medium-High</w:t>
            </w:r>
          </w:p>
        </w:tc>
        <w:tc>
          <w:tcPr>
            <w:tcW w:type="dxa" w:w="4680"/>
            <w:tcBorders>
              <w:top w:val="single" w:color="C0392B" w:sz="2"/>
              <w:left w:val="single" w:color="C0392B" w:sz="2"/>
              <w:bottom w:val="single" w:color="C0392B" w:sz="2"/>
              <w:right w:val="single" w:color="C0392B" w:sz="2"/>
            </w:tcBorders>
            <w:shd w:fill="FDECEA" w:val="clear"/>
            <w:tcMar>
              <w:top w:type="dxa" w:w="80"/>
              <w:left w:type="dxa" w:w="120"/>
              <w:bottom w:type="dxa" w:w="80"/>
              <w:right w:type="dxa" w:w="120"/>
            </w:tcMar>
          </w:tcPr>
          <w:p>
            <w:r>
              <w:rPr>
                <w:rFonts w:ascii="Arial" w:cs="Arial" w:eastAsia="Arial" w:hAnsi="Arial"/>
                <w:b/>
                <w:bCs/>
                <w:color w:val="1A1A1A"/>
                <w:sz w:val="20"/>
                <w:szCs w:val="20"/>
              </w:rPr>
              <w:t xml:space="preserve">Impact: </w:t>
            </w:r>
            <w:r>
              <w:rPr>
                <w:rFonts w:ascii="Arial" w:cs="Arial" w:eastAsia="Arial" w:hAnsi="Arial"/>
                <w:color w:val="1A1A1A"/>
                <w:sz w:val="20"/>
                <w:szCs w:val="20"/>
              </w:rPr>
              <w:t xml:space="preserve">High</w:t>
            </w:r>
          </w:p>
        </w:tc>
      </w:tr>
    </w:tbl>
    <w:p>
      <w:pPr>
        <w:spacing w:before="80" w:after="80"/>
      </w:pPr>
    </w:p>
    <w:p>
      <w:pPr>
        <w:spacing w:before="60" w:after="80"/>
      </w:pPr>
      <w:r>
        <w:rPr>
          <w:rFonts w:ascii="Arial" w:cs="Arial" w:eastAsia="Arial" w:hAnsi="Arial"/>
          <w:color w:val="1A1A1A"/>
          <w:sz w:val="22"/>
          <w:szCs w:val="22"/>
        </w:rPr>
        <w:t xml:space="preserve">SD-02 validates the seed config at load time, but if the System Administrator role is filled by someone who is also running the event, they may not have done a full rehearsal with the real configuration. Asset paths, screen counts, and app section names are all failure points that will surface as errors at startup — in front of the room.</w:t>
      </w:r>
    </w:p>
    <w:p>
      <w:pPr>
        <w:spacing w:before="60" w:after="60"/>
      </w:pPr>
    </w:p>
    <w:p>
      <w:pPr>
        <w:spacing w:before="60" w:after="80"/>
      </w:pPr>
      <w:r>
        <w:rPr>
          <w:rFonts w:ascii="Arial" w:cs="Arial" w:eastAsia="Arial" w:hAnsi="Arial"/>
          <w:color w:val="555555"/>
          <w:sz w:val="22"/>
          <w:szCs w:val="22"/>
        </w:rPr>
        <w:t xml:space="preserve">The SD-06 example config is not a substitute for the real config. A rehearsal run with example data is not equivalent to testing the exact seed file that will be used on the day.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2"/>
              <w:left w:val="single" w:color="C0392B" w:sz="2"/>
              <w:bottom w:val="single" w:color="C0392B" w:sz="2"/>
              <w:right w:val="single" w:color="C0392B" w:sz="2"/>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Code Mitigation</w:t>
            </w:r>
          </w:p>
        </w:tc>
        <w:tc>
          <w:tcPr>
            <w:tcW w:type="dxa" w:w="4680"/>
            <w:tcBorders>
              <w:top w:val="single" w:color="C0392B" w:sz="2"/>
              <w:left w:val="single" w:color="C0392B" w:sz="2"/>
              <w:bottom w:val="single" w:color="C0392B" w:sz="2"/>
              <w:right w:val="single" w:color="C0392B" w:sz="2"/>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User / Process Mitigation</w:t>
            </w:r>
          </w:p>
        </w:tc>
      </w:tr>
      <w:tr>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Add a 'preflight checklist' view in the admin panel showing green/amber/red status for each seed data category (app sections, screens, assets, AI concept cards, PIN) — making the go/no-go decision explicit before the event opens.</w:t>
            </w:r>
          </w:p>
        </w:tc>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Mandatory dry-run the day before using the exact config file that will be used at the event — not the SD-06 example.</w:t>
            </w:r>
          </w:p>
        </w:tc>
      </w:tr>
      <w:tr>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SD-04 already surfaces missing-asset warnings at load time. Ensure error messages specify the exact missing path.</w:t>
            </w:r>
          </w:p>
        </w:tc>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The System Administrator must not be the same person facilitating the session on Day 1 if avoidable.</w:t>
            </w:r>
          </w:p>
        </w:tc>
      </w:tr>
    </w:tbl>
    <w:p>
      <w:pPr>
        <w:spacing w:before="120" w:after="80"/>
      </w:pPr>
    </w:p>
    <w:p>
      <w:pPr>
        <w:pStyle w:val="Heading2"/>
        <w:spacing w:before="280" w:after="80"/>
      </w:pPr>
      <w:r>
        <w:rPr>
          <w:rFonts w:ascii="Arial" w:cs="Arial" w:eastAsia="Arial" w:hAnsi="Arial"/>
          <w:b/>
          <w:bCs/>
          <w:color w:val="1A1A1A"/>
          <w:sz w:val="26"/>
          <w:szCs w:val="26"/>
        </w:rPr>
        <w:t xml:space="preserve">5. The PIN Will Be Forgotten, Shared Incorrectly, or Lost</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2"/>
              <w:left w:val="single" w:color="C0392B" w:sz="2"/>
              <w:bottom w:val="single" w:color="C0392B" w:sz="2"/>
              <w:right w:val="single" w:color="C0392B" w:sz="2"/>
            </w:tcBorders>
            <w:shd w:fill="FDECEA" w:val="clear"/>
            <w:tcMar>
              <w:top w:type="dxa" w:w="80"/>
              <w:left w:type="dxa" w:w="120"/>
              <w:bottom w:type="dxa" w:w="80"/>
              <w:right w:type="dxa" w:w="120"/>
            </w:tcMar>
          </w:tcPr>
          <w:p>
            <w:r>
              <w:rPr>
                <w:rFonts w:ascii="Arial" w:cs="Arial" w:eastAsia="Arial" w:hAnsi="Arial"/>
                <w:b/>
                <w:bCs/>
                <w:color w:val="1A1A1A"/>
                <w:sz w:val="20"/>
                <w:szCs w:val="20"/>
              </w:rPr>
              <w:t xml:space="preserve">Probability: </w:t>
            </w:r>
            <w:r>
              <w:rPr>
                <w:rFonts w:ascii="Arial" w:cs="Arial" w:eastAsia="Arial" w:hAnsi="Arial"/>
                <w:color w:val="1A1A1A"/>
                <w:sz w:val="20"/>
                <w:szCs w:val="20"/>
              </w:rPr>
              <w:t xml:space="preserve">Medium-High</w:t>
            </w:r>
          </w:p>
        </w:tc>
        <w:tc>
          <w:tcPr>
            <w:tcW w:type="dxa" w:w="4680"/>
            <w:tcBorders>
              <w:top w:val="single" w:color="C0392B" w:sz="2"/>
              <w:left w:val="single" w:color="C0392B" w:sz="2"/>
              <w:bottom w:val="single" w:color="C0392B" w:sz="2"/>
              <w:right w:val="single" w:color="C0392B" w:sz="2"/>
            </w:tcBorders>
            <w:shd w:fill="FDECEA" w:val="clear"/>
            <w:tcMar>
              <w:top w:type="dxa" w:w="80"/>
              <w:left w:type="dxa" w:w="120"/>
              <w:bottom w:type="dxa" w:w="80"/>
              <w:right w:type="dxa" w:w="120"/>
            </w:tcMar>
          </w:tcPr>
          <w:p>
            <w:r>
              <w:rPr>
                <w:rFonts w:ascii="Arial" w:cs="Arial" w:eastAsia="Arial" w:hAnsi="Arial"/>
                <w:b/>
                <w:bCs/>
                <w:color w:val="1A1A1A"/>
                <w:sz w:val="20"/>
                <w:szCs w:val="20"/>
              </w:rPr>
              <w:t xml:space="preserve">Impact: </w:t>
            </w:r>
            <w:r>
              <w:rPr>
                <w:rFonts w:ascii="Arial" w:cs="Arial" w:eastAsia="Arial" w:hAnsi="Arial"/>
                <w:color w:val="1A1A1A"/>
                <w:sz w:val="20"/>
                <w:szCs w:val="20"/>
              </w:rPr>
              <w:t xml:space="preserve">High</w:t>
            </w:r>
          </w:p>
        </w:tc>
      </w:tr>
    </w:tbl>
    <w:p>
      <w:pPr>
        <w:spacing w:before="80" w:after="80"/>
      </w:pPr>
    </w:p>
    <w:p>
      <w:pPr>
        <w:spacing w:before="60" w:after="80"/>
      </w:pPr>
      <w:r>
        <w:rPr>
          <w:rFonts w:ascii="Arial" w:cs="Arial" w:eastAsia="Arial" w:hAnsi="Arial"/>
          <w:color w:val="1A1A1A"/>
          <w:sz w:val="22"/>
          <w:szCs w:val="22"/>
        </w:rPr>
        <w:t xml:space="preserve">The PIN gates synthesis, facilitator macros, data export, and the Day 2 reveal. It is set pre-event in the seed config (SD-07) and is the single point of access control for all facilitator-facing capabilities. In a conference environment with team handoffs and time pressure, PIN management is fragile. Open Question #3 (PIN management and rotation process) remains explicitly unresolved.</w:t>
      </w:r>
    </w:p>
    <w:p>
      <w:pPr>
        <w:spacing w:before="60" w:after="60"/>
      </w:pPr>
    </w:p>
    <w:p>
      <w:pPr>
        <w:spacing w:before="60" w:after="80"/>
      </w:pPr>
      <w:r>
        <w:rPr>
          <w:rFonts w:ascii="Arial" w:cs="Arial" w:eastAsia="Arial" w:hAnsi="Arial"/>
          <w:color w:val="555555"/>
          <w:sz w:val="22"/>
          <w:szCs w:val="22"/>
        </w:rPr>
        <w:t xml:space="preserve">SD-07 correctly requires that the PIN never appear in plaintext in logs or error messages. However, the recovery path if a PIN is forgotten is not documented — the System Administrator must know to retrieve it from the config file directly.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2"/>
              <w:left w:val="single" w:color="C0392B" w:sz="2"/>
              <w:bottom w:val="single" w:color="C0392B" w:sz="2"/>
              <w:right w:val="single" w:color="C0392B" w:sz="2"/>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Code Mitigation</w:t>
            </w:r>
          </w:p>
        </w:tc>
        <w:tc>
          <w:tcPr>
            <w:tcW w:type="dxa" w:w="4680"/>
            <w:tcBorders>
              <w:top w:val="single" w:color="C0392B" w:sz="2"/>
              <w:left w:val="single" w:color="C0392B" w:sz="2"/>
              <w:bottom w:val="single" w:color="C0392B" w:sz="2"/>
              <w:right w:val="single" w:color="C0392B" w:sz="2"/>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User / Process Mitigation</w:t>
            </w:r>
          </w:p>
        </w:tc>
      </w:tr>
      <w:tr>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Add a PIN hint field (not the PIN itself) configurable in the seed file, displayed in the admin view — e.g., 'Ask Sarah' or 'See the run-of-show doc.' A hint is appropriate; the PIN plaintext is not.</w:t>
            </w:r>
          </w:p>
        </w:tc>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Resolve Open Question #3 before Event 1.</w:t>
            </w:r>
          </w:p>
        </w:tc>
      </w:tr>
      <w:tr>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The PIN must never appear in logs (SD-07 already requires this).</w:t>
            </w:r>
          </w:p>
        </w:tc>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Document the PIN in a shared team channel or the run-of-show document — not only one person's memory.</w:t>
            </w:r>
          </w:p>
        </w:tc>
      </w:tr>
      <w:tr>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
            </w:r>
          </w:p>
        </w:tc>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Have a documented 'break glass' process: the System Administrator retrieves the PIN from the seed config file directly if it is forgotten.</w:t>
            </w:r>
          </w:p>
        </w:tc>
      </w:tr>
    </w:tbl>
    <w:p>
      <w:pPr>
        <w:pBdr>
          <w:bottom w:val="single" w:color="C2E0CF" w:sz="4"/>
        </w:pBdr>
        <w:spacing w:before="160" w:after="160"/>
      </w:pPr>
    </w:p>
    <w:p>
      <w:pPr>
        <w:pStyle w:val="Heading1"/>
        <w:spacing w:before="360" w:after="120"/>
      </w:pPr>
      <w:r>
        <w:rPr>
          <w:rFonts w:ascii="Arial" w:cs="Arial" w:eastAsia="Arial" w:hAnsi="Arial"/>
          <w:b/>
          <w:bCs/>
          <w:color w:val="1A6B4A"/>
          <w:sz w:val="36"/>
          <w:szCs w:val="36"/>
        </w:rPr>
        <w:t xml:space="preserve">Medium Probability Risks</w:t>
      </w:r>
    </w:p>
    <w:p>
      <w:pPr>
        <w:spacing w:before="40" w:after="60"/>
      </w:pPr>
      <w:r>
        <w:rPr>
          <w:rFonts w:ascii="Arial" w:cs="Arial" w:eastAsia="Arial" w:hAnsi="Arial"/>
          <w:i/>
          <w:iCs/>
          <w:color w:val="555555"/>
          <w:sz w:val="22"/>
          <w:szCs w:val="22"/>
        </w:rPr>
        <w:t xml:space="preserve">These risks are plausible under realistic event conditions. They warrant planning and mitigation steps before Event 1, but are less certain than the risks above.</w:t>
      </w:r>
    </w:p>
    <w:p>
      <w:pPr>
        <w:spacing w:before="80" w:after="80"/>
      </w:pPr>
    </w:p>
    <w:p>
      <w:pPr>
        <w:pStyle w:val="Heading2"/>
        <w:spacing w:before="280" w:after="80"/>
      </w:pPr>
      <w:r>
        <w:rPr>
          <w:rFonts w:ascii="Arial" w:cs="Arial" w:eastAsia="Arial" w:hAnsi="Arial"/>
          <w:b/>
          <w:bCs/>
          <w:color w:val="1A1A1A"/>
          <w:sz w:val="26"/>
          <w:szCs w:val="26"/>
        </w:rPr>
        <w:t xml:space="preserve">6. Synthesis Fires with Insufficient or Lopsided Signal</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A017" w:sz="2"/>
              <w:left w:val="single" w:color="D4A017" w:sz="2"/>
              <w:bottom w:val="single" w:color="D4A017" w:sz="2"/>
              <w:right w:val="single" w:color="D4A017" w:sz="2"/>
            </w:tcBorders>
            <w:shd w:fill="FFFBE6" w:val="clear"/>
            <w:tcMar>
              <w:top w:type="dxa" w:w="80"/>
              <w:left w:type="dxa" w:w="120"/>
              <w:bottom w:type="dxa" w:w="80"/>
              <w:right w:type="dxa" w:w="120"/>
            </w:tcMar>
          </w:tcPr>
          <w:p>
            <w:r>
              <w:rPr>
                <w:rFonts w:ascii="Arial" w:cs="Arial" w:eastAsia="Arial" w:hAnsi="Arial"/>
                <w:b/>
                <w:bCs/>
                <w:color w:val="1A1A1A"/>
                <w:sz w:val="20"/>
                <w:szCs w:val="20"/>
              </w:rPr>
              <w:t xml:space="preserve">Probability: </w:t>
            </w:r>
            <w:r>
              <w:rPr>
                <w:rFonts w:ascii="Arial" w:cs="Arial" w:eastAsia="Arial" w:hAnsi="Arial"/>
                <w:color w:val="1A1A1A"/>
                <w:sz w:val="20"/>
                <w:szCs w:val="20"/>
              </w:rPr>
              <w:t xml:space="preserve">Medium</w:t>
            </w:r>
          </w:p>
        </w:tc>
        <w:tc>
          <w:tcPr>
            <w:tcW w:type="dxa" w:w="4680"/>
            <w:tcBorders>
              <w:top w:val="single" w:color="D4A017" w:sz="2"/>
              <w:left w:val="single" w:color="D4A017" w:sz="2"/>
              <w:bottom w:val="single" w:color="D4A017" w:sz="2"/>
              <w:right w:val="single" w:color="D4A017" w:sz="2"/>
            </w:tcBorders>
            <w:shd w:fill="FFFBE6" w:val="clear"/>
            <w:tcMar>
              <w:top w:type="dxa" w:w="80"/>
              <w:left w:type="dxa" w:w="120"/>
              <w:bottom w:type="dxa" w:w="80"/>
              <w:right w:type="dxa" w:w="120"/>
            </w:tcMar>
          </w:tcPr>
          <w:p>
            <w:r>
              <w:rPr>
                <w:rFonts w:ascii="Arial" w:cs="Arial" w:eastAsia="Arial" w:hAnsi="Arial"/>
                <w:b/>
                <w:bCs/>
                <w:color w:val="1A1A1A"/>
                <w:sz w:val="20"/>
                <w:szCs w:val="20"/>
              </w:rPr>
              <w:t xml:space="preserve">Impact: </w:t>
            </w:r>
            <w:r>
              <w:rPr>
                <w:rFonts w:ascii="Arial" w:cs="Arial" w:eastAsia="Arial" w:hAnsi="Arial"/>
                <w:color w:val="1A1A1A"/>
                <w:sz w:val="20"/>
                <w:szCs w:val="20"/>
              </w:rPr>
              <w:t xml:space="preserve">High</w:t>
            </w:r>
          </w:p>
        </w:tc>
      </w:tr>
    </w:tbl>
    <w:p>
      <w:pPr>
        <w:spacing w:before="80" w:after="80"/>
      </w:pPr>
    </w:p>
    <w:p>
      <w:pPr>
        <w:spacing w:before="60" w:after="80"/>
      </w:pPr>
      <w:r>
        <w:rPr>
          <w:rFonts w:ascii="Arial" w:cs="Arial" w:eastAsia="Arial" w:hAnsi="Arial"/>
          <w:color w:val="1A1A1A"/>
          <w:sz w:val="22"/>
          <w:szCs w:val="22"/>
        </w:rPr>
        <w:t xml:space="preserve">The readiness gate (CAP-05) warns below 30 signals but does not block synthesis. Given laptop-mediated input and uncertain QR adoption, it is plausible the team reaches end of Day 1 with 20–25 submissions clustered in one or two app sections. The resulting synthesis output will feel thin and may bias the overnight sprint toward whatever was loudest, not whatever matters most.</w:t>
      </w:r>
    </w:p>
    <w:p>
      <w:pPr>
        <w:spacing w:before="60" w:after="60"/>
      </w:pPr>
    </w:p>
    <w:p>
      <w:pPr>
        <w:spacing w:before="60" w:after="80"/>
      </w:pPr>
      <w:r>
        <w:rPr>
          <w:rFonts w:ascii="Arial" w:cs="Arial" w:eastAsia="Arial" w:hAnsi="Arial"/>
          <w:color w:val="555555"/>
          <w:sz w:val="22"/>
          <w:szCs w:val="22"/>
        </w:rPr>
        <w:t xml:space="preserve">The synthesis model will generate confident-sounding output regardless of signal volume. A sparse or unbalanced dataset will produce a plausible-looking brief that does not actually represent the room — a worse outcome than no synthesis at all, because it may misdirect the overnight sprint.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A017" w:sz="2"/>
              <w:left w:val="single" w:color="D4A017" w:sz="2"/>
              <w:bottom w:val="single" w:color="D4A017" w:sz="2"/>
              <w:right w:val="single" w:color="D4A017" w:sz="2"/>
            </w:tcBorders>
            <w:shd w:fill="D4A017" w:val="clear"/>
            <w:tcMar>
              <w:top w:type="dxa" w:w="80"/>
              <w:left w:type="dxa" w:w="120"/>
              <w:bottom w:type="dxa" w:w="80"/>
              <w:right w:type="dxa" w:w="120"/>
            </w:tcMar>
          </w:tcPr>
          <w:p>
            <w:r>
              <w:rPr>
                <w:rFonts w:ascii="Arial" w:cs="Arial" w:eastAsia="Arial" w:hAnsi="Arial"/>
                <w:b/>
                <w:bCs/>
                <w:color w:val="FFFFFF"/>
                <w:sz w:val="20"/>
                <w:szCs w:val="20"/>
              </w:rPr>
              <w:t xml:space="preserve">Code Mitigation</w:t>
            </w:r>
          </w:p>
        </w:tc>
        <w:tc>
          <w:tcPr>
            <w:tcW w:type="dxa" w:w="4680"/>
            <w:tcBorders>
              <w:top w:val="single" w:color="D4A017" w:sz="2"/>
              <w:left w:val="single" w:color="D4A017" w:sz="2"/>
              <w:bottom w:val="single" w:color="D4A017" w:sz="2"/>
              <w:right w:val="single" w:color="D4A017" w:sz="2"/>
            </w:tcBorders>
            <w:shd w:fill="D4A017" w:val="clear"/>
            <w:tcMar>
              <w:top w:type="dxa" w:w="80"/>
              <w:left w:type="dxa" w:w="120"/>
              <w:bottom w:type="dxa" w:w="80"/>
              <w:right w:type="dxa" w:w="120"/>
            </w:tcMar>
          </w:tcPr>
          <w:p>
            <w:r>
              <w:rPr>
                <w:rFonts w:ascii="Arial" w:cs="Arial" w:eastAsia="Arial" w:hAnsi="Arial"/>
                <w:b/>
                <w:bCs/>
                <w:color w:val="FFFFFF"/>
                <w:sz w:val="20"/>
                <w:szCs w:val="20"/>
              </w:rPr>
              <w:t xml:space="preserve">User / Process Mitigation</w:t>
            </w:r>
          </w:p>
        </w:tc>
      </w:tr>
      <w:tr>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Surface per-section signal counts prominently in the synthesis panel, not just the total count.</w:t>
            </w:r>
          </w:p>
        </w:tc>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Assign facilitators to actively direct attendees to under-sampled screens using the tally badge counts visible on the laptop.</w:t>
            </w:r>
          </w:p>
        </w:tc>
      </w:tr>
      <w:tr>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Consider adding a 'weakest section' callout to the readiness gate: e.g., 'Analytics has only 2 items — consider directing attendees there before triggering synthesis.'</w:t>
            </w:r>
          </w:p>
        </w:tc>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Set an internal target of 10 items per app section before synthesis — not just 30 total signals.</w:t>
            </w:r>
          </w:p>
        </w:tc>
      </w:tr>
    </w:tbl>
    <w:p>
      <w:pPr>
        <w:spacing w:before="120" w:after="80"/>
      </w:pPr>
    </w:p>
    <w:p>
      <w:pPr>
        <w:pStyle w:val="Heading2"/>
        <w:spacing w:before="280" w:after="80"/>
      </w:pPr>
      <w:r>
        <w:rPr>
          <w:rFonts w:ascii="Arial" w:cs="Arial" w:eastAsia="Arial" w:hAnsi="Arial"/>
          <w:b/>
          <w:bCs/>
          <w:color w:val="1A1A1A"/>
          <w:sz w:val="26"/>
          <w:szCs w:val="26"/>
        </w:rPr>
        <w:t xml:space="preserve">7. Competing Perspectives Detection Won't Trigger at Realistic Volumes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A017" w:sz="2"/>
              <w:left w:val="single" w:color="D4A017" w:sz="2"/>
              <w:bottom w:val="single" w:color="D4A017" w:sz="2"/>
              <w:right w:val="single" w:color="D4A017" w:sz="2"/>
            </w:tcBorders>
            <w:shd w:fill="FFFBE6" w:val="clear"/>
            <w:tcMar>
              <w:top w:type="dxa" w:w="80"/>
              <w:left w:type="dxa" w:w="120"/>
              <w:bottom w:type="dxa" w:w="80"/>
              <w:right w:type="dxa" w:w="120"/>
            </w:tcMar>
          </w:tcPr>
          <w:p>
            <w:r>
              <w:rPr>
                <w:rFonts w:ascii="Arial" w:cs="Arial" w:eastAsia="Arial" w:hAnsi="Arial"/>
                <w:b/>
                <w:bCs/>
                <w:color w:val="1A1A1A"/>
                <w:sz w:val="20"/>
                <w:szCs w:val="20"/>
              </w:rPr>
              <w:t xml:space="preserve">Probability: </w:t>
            </w:r>
            <w:r>
              <w:rPr>
                <w:rFonts w:ascii="Arial" w:cs="Arial" w:eastAsia="Arial" w:hAnsi="Arial"/>
                <w:color w:val="1A1A1A"/>
                <w:sz w:val="20"/>
                <w:szCs w:val="20"/>
              </w:rPr>
              <w:t xml:space="preserve">Medium</w:t>
            </w:r>
          </w:p>
        </w:tc>
        <w:tc>
          <w:tcPr>
            <w:tcW w:type="dxa" w:w="4680"/>
            <w:tcBorders>
              <w:top w:val="single" w:color="D4A017" w:sz="2"/>
              <w:left w:val="single" w:color="D4A017" w:sz="2"/>
              <w:bottom w:val="single" w:color="D4A017" w:sz="2"/>
              <w:right w:val="single" w:color="D4A017" w:sz="2"/>
            </w:tcBorders>
            <w:shd w:fill="FFFBE6" w:val="clear"/>
            <w:tcMar>
              <w:top w:type="dxa" w:w="80"/>
              <w:left w:type="dxa" w:w="120"/>
              <w:bottom w:type="dxa" w:w="80"/>
              <w:right w:type="dxa" w:w="120"/>
            </w:tcMar>
          </w:tcPr>
          <w:p>
            <w:r>
              <w:rPr>
                <w:rFonts w:ascii="Arial" w:cs="Arial" w:eastAsia="Arial" w:hAnsi="Arial"/>
                <w:b/>
                <w:bCs/>
                <w:color w:val="1A1A1A"/>
                <w:sz w:val="20"/>
                <w:szCs w:val="20"/>
              </w:rPr>
              <w:t xml:space="preserve">Impact: </w:t>
            </w:r>
            <w:r>
              <w:rPr>
                <w:rFonts w:ascii="Arial" w:cs="Arial" w:eastAsia="Arial" w:hAnsi="Arial"/>
                <w:color w:val="1A1A1A"/>
                <w:sz w:val="20"/>
                <w:szCs w:val="20"/>
              </w:rPr>
              <w:t xml:space="preserve">Medium</w:t>
            </w:r>
          </w:p>
        </w:tc>
      </w:tr>
    </w:tbl>
    <w:p>
      <w:pPr>
        <w:spacing w:before="80" w:after="80"/>
      </w:pPr>
    </w:p>
    <w:p>
      <w:pPr>
        <w:spacing w:before="60" w:after="80"/>
      </w:pPr>
      <w:r>
        <w:rPr>
          <w:rFonts w:ascii="Arial" w:cs="Arial" w:eastAsia="Arial" w:hAnsi="Arial"/>
          <w:color w:val="1A1A1A"/>
          <w:sz w:val="22"/>
          <w:szCs w:val="22"/>
        </w:rPr>
        <w:t xml:space="preserve">Conflict detection requires MIN_EACH = 3 positive AND 3 negative submissions on the same screen. With total expected volumes of 60 per day spread across potentially 20+ screens, many screens will have 2–4 total submissions. The 3+3 threshold means conflicts will rarely register in practice, even when genuine disagreement exists.</w:t>
      </w:r>
    </w:p>
    <w:p>
      <w:pPr>
        <w:spacing w:before="60" w:after="60"/>
      </w:pPr>
    </w:p>
    <w:p>
      <w:pPr>
        <w:spacing w:before="60" w:after="80"/>
      </w:pPr>
      <w:r>
        <w:rPr>
          <w:rFonts w:ascii="Arial" w:cs="Arial" w:eastAsia="Arial" w:hAnsi="Arial"/>
          <w:color w:val="555555"/>
          <w:sz w:val="22"/>
          <w:szCs w:val="22"/>
        </w:rPr>
        <w:t xml:space="preserve">MIN_EACH = 3 was calibrated for higher signal volumes than this deployment will likely see in Event 1. The conflict detector may silently produce no output, leaving the overnight team without the competing-perspectives context that was designed to improve synthesis quality.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A017" w:sz="2"/>
              <w:left w:val="single" w:color="D4A017" w:sz="2"/>
              <w:bottom w:val="single" w:color="D4A017" w:sz="2"/>
              <w:right w:val="single" w:color="D4A017" w:sz="2"/>
            </w:tcBorders>
            <w:shd w:fill="D4A017" w:val="clear"/>
            <w:tcMar>
              <w:top w:type="dxa" w:w="80"/>
              <w:left w:type="dxa" w:w="120"/>
              <w:bottom w:type="dxa" w:w="80"/>
              <w:right w:type="dxa" w:w="120"/>
            </w:tcMar>
          </w:tcPr>
          <w:p>
            <w:r>
              <w:rPr>
                <w:rFonts w:ascii="Arial" w:cs="Arial" w:eastAsia="Arial" w:hAnsi="Arial"/>
                <w:b/>
                <w:bCs/>
                <w:color w:val="FFFFFF"/>
                <w:sz w:val="20"/>
                <w:szCs w:val="20"/>
              </w:rPr>
              <w:t xml:space="preserve">Code Mitigation</w:t>
            </w:r>
          </w:p>
        </w:tc>
        <w:tc>
          <w:tcPr>
            <w:tcW w:type="dxa" w:w="4680"/>
            <w:tcBorders>
              <w:top w:val="single" w:color="D4A017" w:sz="2"/>
              <w:left w:val="single" w:color="D4A017" w:sz="2"/>
              <w:bottom w:val="single" w:color="D4A017" w:sz="2"/>
              <w:right w:val="single" w:color="D4A017" w:sz="2"/>
            </w:tcBorders>
            <w:shd w:fill="D4A017" w:val="clear"/>
            <w:tcMar>
              <w:top w:type="dxa" w:w="80"/>
              <w:left w:type="dxa" w:w="120"/>
              <w:bottom w:type="dxa" w:w="80"/>
              <w:right w:type="dxa" w:w="120"/>
            </w:tcMar>
          </w:tcPr>
          <w:p>
            <w:r>
              <w:rPr>
                <w:rFonts w:ascii="Arial" w:cs="Arial" w:eastAsia="Arial" w:hAnsi="Arial"/>
                <w:b/>
                <w:bCs/>
                <w:color w:val="FFFFFF"/>
                <w:sz w:val="20"/>
                <w:szCs w:val="20"/>
              </w:rPr>
              <w:t xml:space="preserve">User / Process Mitigation</w:t>
            </w:r>
          </w:p>
        </w:tc>
      </w:tr>
      <w:tr>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MIN_EACH and MIN_SPLIT_RATIO must be configurable via environment variable (already required by ALG-04). For a low-volume event, set MIN_EACH = 2 and MIN_SPLIT_RATIO = 0.35.</w:t>
            </w:r>
          </w:p>
        </w:tc>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Treat conflict detector output as a bonus, not a dependency. Do not plan the overnight sprint around it surfacing insights.</w:t>
            </w:r>
          </w:p>
        </w:tc>
      </w:tr>
      <w:tr>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Document this as an explicit event-configuration decision in the pre-event checklist.</w:t>
            </w:r>
          </w:p>
        </w:tc>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Facilitators should note verbal disagreements they observe during sessions and surface them manually in the synthesis narrative field.</w:t>
            </w:r>
          </w:p>
        </w:tc>
      </w:tr>
    </w:tbl>
    <w:p>
      <w:pPr>
        <w:spacing w:before="120" w:after="80"/>
      </w:pPr>
    </w:p>
    <w:p>
      <w:pPr>
        <w:pStyle w:val="Heading2"/>
        <w:spacing w:before="280" w:after="80"/>
      </w:pPr>
      <w:r>
        <w:rPr>
          <w:rFonts w:ascii="Arial" w:cs="Arial" w:eastAsia="Arial" w:hAnsi="Arial"/>
          <w:b/>
          <w:bCs/>
          <w:color w:val="1A1A1A"/>
          <w:sz w:val="26"/>
          <w:szCs w:val="26"/>
        </w:rPr>
        <w:t xml:space="preserve">8. Follow-Up Question API Latency Degrades the Operator Flow</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A017" w:sz="2"/>
              <w:left w:val="single" w:color="D4A017" w:sz="2"/>
              <w:bottom w:val="single" w:color="D4A017" w:sz="2"/>
              <w:right w:val="single" w:color="D4A017" w:sz="2"/>
            </w:tcBorders>
            <w:shd w:fill="FFFBE6" w:val="clear"/>
            <w:tcMar>
              <w:top w:type="dxa" w:w="80"/>
              <w:left w:type="dxa" w:w="120"/>
              <w:bottom w:type="dxa" w:w="80"/>
              <w:right w:type="dxa" w:w="120"/>
            </w:tcMar>
          </w:tcPr>
          <w:p>
            <w:r>
              <w:rPr>
                <w:rFonts w:ascii="Arial" w:cs="Arial" w:eastAsia="Arial" w:hAnsi="Arial"/>
                <w:b/>
                <w:bCs/>
                <w:color w:val="1A1A1A"/>
                <w:sz w:val="20"/>
                <w:szCs w:val="20"/>
              </w:rPr>
              <w:t xml:space="preserve">Probability: </w:t>
            </w:r>
            <w:r>
              <w:rPr>
                <w:rFonts w:ascii="Arial" w:cs="Arial" w:eastAsia="Arial" w:hAnsi="Arial"/>
                <w:color w:val="1A1A1A"/>
                <w:sz w:val="20"/>
                <w:szCs w:val="20"/>
              </w:rPr>
              <w:t xml:space="preserve">Medium</w:t>
            </w:r>
          </w:p>
        </w:tc>
        <w:tc>
          <w:tcPr>
            <w:tcW w:type="dxa" w:w="4680"/>
            <w:tcBorders>
              <w:top w:val="single" w:color="D4A017" w:sz="2"/>
              <w:left w:val="single" w:color="D4A017" w:sz="2"/>
              <w:bottom w:val="single" w:color="D4A017" w:sz="2"/>
              <w:right w:val="single" w:color="D4A017" w:sz="2"/>
            </w:tcBorders>
            <w:shd w:fill="FFFBE6" w:val="clear"/>
            <w:tcMar>
              <w:top w:type="dxa" w:w="80"/>
              <w:left w:type="dxa" w:w="120"/>
              <w:bottom w:type="dxa" w:w="80"/>
              <w:right w:type="dxa" w:w="120"/>
            </w:tcMar>
          </w:tcPr>
          <w:p>
            <w:r>
              <w:rPr>
                <w:rFonts w:ascii="Arial" w:cs="Arial" w:eastAsia="Arial" w:hAnsi="Arial"/>
                <w:b/>
                <w:bCs/>
                <w:color w:val="1A1A1A"/>
                <w:sz w:val="20"/>
                <w:szCs w:val="20"/>
              </w:rPr>
              <w:t xml:space="preserve">Impact: </w:t>
            </w:r>
            <w:r>
              <w:rPr>
                <w:rFonts w:ascii="Arial" w:cs="Arial" w:eastAsia="Arial" w:hAnsi="Arial"/>
                <w:color w:val="1A1A1A"/>
                <w:sz w:val="20"/>
                <w:szCs w:val="20"/>
              </w:rPr>
              <w:t xml:space="preserve">Medium</w:t>
            </w:r>
          </w:p>
        </w:tc>
      </w:tr>
    </w:tbl>
    <w:p>
      <w:pPr>
        <w:spacing w:before="80" w:after="80"/>
      </w:pPr>
    </w:p>
    <w:p>
      <w:pPr>
        <w:spacing w:before="60" w:after="80"/>
      </w:pPr>
      <w:r>
        <w:rPr>
          <w:rFonts w:ascii="Arial" w:cs="Arial" w:eastAsia="Arial" w:hAnsi="Arial"/>
          <w:color w:val="1A1A1A"/>
          <w:sz w:val="22"/>
          <w:szCs w:val="22"/>
        </w:rPr>
        <w:t xml:space="preserve">When an operator is transcribing feedback from a live attendee, the 1,500ms fallback window for CAP-09 follow-up questions adds friction that does not exist in a self-service touchscreen scenario. The operator will be in conversation with the attendee, waiting for the question to load, and then having to read it aloud — an awkward three-way interaction that can stall the queue.</w:t>
      </w:r>
    </w:p>
    <w:p>
      <w:pPr>
        <w:spacing w:before="60" w:after="60"/>
      </w:pPr>
    </w:p>
    <w:p>
      <w:pPr>
        <w:spacing w:before="60" w:after="80"/>
      </w:pPr>
      <w:r>
        <w:rPr>
          <w:rFonts w:ascii="Arial" w:cs="Arial" w:eastAsia="Arial" w:hAnsi="Arial"/>
          <w:color w:val="555555"/>
          <w:sz w:val="22"/>
          <w:szCs w:val="22"/>
        </w:rPr>
        <w:t xml:space="preserve">CAP-09 was designed for a self-service flow where the attendee reads and answers the follow-up themselves. In an operator-assisted flow, the follow-up becomes an interruption rather than a natural continuation. The 300ms confirmation-to-follow-up transition will feel abrupt during a live dictation session.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A017" w:sz="2"/>
              <w:left w:val="single" w:color="D4A017" w:sz="2"/>
              <w:bottom w:val="single" w:color="D4A017" w:sz="2"/>
              <w:right w:val="single" w:color="D4A017" w:sz="2"/>
            </w:tcBorders>
            <w:shd w:fill="D4A017" w:val="clear"/>
            <w:tcMar>
              <w:top w:type="dxa" w:w="80"/>
              <w:left w:type="dxa" w:w="120"/>
              <w:bottom w:type="dxa" w:w="80"/>
              <w:right w:type="dxa" w:w="120"/>
            </w:tcMar>
          </w:tcPr>
          <w:p>
            <w:r>
              <w:rPr>
                <w:rFonts w:ascii="Arial" w:cs="Arial" w:eastAsia="Arial" w:hAnsi="Arial"/>
                <w:b/>
                <w:bCs/>
                <w:color w:val="FFFFFF"/>
                <w:sz w:val="20"/>
                <w:szCs w:val="20"/>
              </w:rPr>
              <w:t xml:space="preserve">Code Mitigation</w:t>
            </w:r>
          </w:p>
        </w:tc>
        <w:tc>
          <w:tcPr>
            <w:tcW w:type="dxa" w:w="4680"/>
            <w:tcBorders>
              <w:top w:val="single" w:color="D4A017" w:sz="2"/>
              <w:left w:val="single" w:color="D4A017" w:sz="2"/>
              <w:bottom w:val="single" w:color="D4A017" w:sz="2"/>
              <w:right w:val="single" w:color="D4A017" w:sz="2"/>
            </w:tcBorders>
            <w:shd w:fill="D4A017" w:val="clear"/>
            <w:tcMar>
              <w:top w:type="dxa" w:w="80"/>
              <w:left w:type="dxa" w:w="120"/>
              <w:bottom w:type="dxa" w:w="80"/>
              <w:right w:type="dxa" w:w="120"/>
            </w:tcMar>
          </w:tcPr>
          <w:p>
            <w:r>
              <w:rPr>
                <w:rFonts w:ascii="Arial" w:cs="Arial" w:eastAsia="Arial" w:hAnsi="Arial"/>
                <w:b/>
                <w:bCs/>
                <w:color w:val="FFFFFF"/>
                <w:sz w:val="20"/>
                <w:szCs w:val="20"/>
              </w:rPr>
              <w:t xml:space="preserve">User / Process Mitigation</w:t>
            </w:r>
          </w:p>
        </w:tc>
      </w:tr>
      <w:tr>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Add a facilitator preference to disable CAP-09 follow-up questions when operating in operator-assisted mode.</w:t>
            </w:r>
          </w:p>
        </w:tc>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Brief the operator that Skip is always acceptable. The follow-up question is optional and skipping it is not a data quality failure.</w:t>
            </w:r>
          </w:p>
        </w:tc>
      </w:tr>
      <w:tr>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If CAP-09 remains active, extend the operator's Skip affordance — make Skip visually prominent and require only one tap, as already specified.</w:t>
            </w:r>
          </w:p>
        </w:tc>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If the conversation has moved on before the question loads, skip without hesitation.</w:t>
            </w:r>
          </w:p>
        </w:tc>
      </w:tr>
    </w:tbl>
    <w:p>
      <w:pPr>
        <w:spacing w:before="120" w:after="80"/>
      </w:pPr>
    </w:p>
    <w:p>
      <w:pPr>
        <w:pStyle w:val="Heading2"/>
        <w:spacing w:before="280" w:after="80"/>
      </w:pPr>
      <w:r>
        <w:rPr>
          <w:rFonts w:ascii="Arial" w:cs="Arial" w:eastAsia="Arial" w:hAnsi="Arial"/>
          <w:b/>
          <w:bCs/>
          <w:color w:val="1A1A1A"/>
          <w:sz w:val="26"/>
          <w:szCs w:val="26"/>
        </w:rPr>
        <w:t xml:space="preserve">9. Mobile Submissions Skew Synthesis Away from Screen Feedback</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A017" w:sz="2"/>
              <w:left w:val="single" w:color="D4A017" w:sz="2"/>
              <w:bottom w:val="single" w:color="D4A017" w:sz="2"/>
              <w:right w:val="single" w:color="D4A017" w:sz="2"/>
            </w:tcBorders>
            <w:shd w:fill="FFFBE6" w:val="clear"/>
            <w:tcMar>
              <w:top w:type="dxa" w:w="80"/>
              <w:left w:type="dxa" w:w="120"/>
              <w:bottom w:type="dxa" w:w="80"/>
              <w:right w:type="dxa" w:w="120"/>
            </w:tcMar>
          </w:tcPr>
          <w:p>
            <w:r>
              <w:rPr>
                <w:rFonts w:ascii="Arial" w:cs="Arial" w:eastAsia="Arial" w:hAnsi="Arial"/>
                <w:b/>
                <w:bCs/>
                <w:color w:val="1A1A1A"/>
                <w:sz w:val="20"/>
                <w:szCs w:val="20"/>
              </w:rPr>
              <w:t xml:space="preserve">Probability: </w:t>
            </w:r>
            <w:r>
              <w:rPr>
                <w:rFonts w:ascii="Arial" w:cs="Arial" w:eastAsia="Arial" w:hAnsi="Arial"/>
                <w:color w:val="1A1A1A"/>
                <w:sz w:val="20"/>
                <w:szCs w:val="20"/>
              </w:rPr>
              <w:t xml:space="preserve">Medium</w:t>
            </w:r>
          </w:p>
        </w:tc>
        <w:tc>
          <w:tcPr>
            <w:tcW w:type="dxa" w:w="4680"/>
            <w:tcBorders>
              <w:top w:val="single" w:color="D4A017" w:sz="2"/>
              <w:left w:val="single" w:color="D4A017" w:sz="2"/>
              <w:bottom w:val="single" w:color="D4A017" w:sz="2"/>
              <w:right w:val="single" w:color="D4A017" w:sz="2"/>
            </w:tcBorders>
            <w:shd w:fill="FFFBE6" w:val="clear"/>
            <w:tcMar>
              <w:top w:type="dxa" w:w="80"/>
              <w:left w:type="dxa" w:w="120"/>
              <w:bottom w:type="dxa" w:w="80"/>
              <w:right w:type="dxa" w:w="120"/>
            </w:tcMar>
          </w:tcPr>
          <w:p>
            <w:r>
              <w:rPr>
                <w:rFonts w:ascii="Arial" w:cs="Arial" w:eastAsia="Arial" w:hAnsi="Arial"/>
                <w:b/>
                <w:bCs/>
                <w:color w:val="1A1A1A"/>
                <w:sz w:val="20"/>
                <w:szCs w:val="20"/>
              </w:rPr>
              <w:t xml:space="preserve">Impact: </w:t>
            </w:r>
            <w:r>
              <w:rPr>
                <w:rFonts w:ascii="Arial" w:cs="Arial" w:eastAsia="Arial" w:hAnsi="Arial"/>
                <w:color w:val="1A1A1A"/>
                <w:sz w:val="20"/>
                <w:szCs w:val="20"/>
              </w:rPr>
              <w:t xml:space="preserve">Medium</w:t>
            </w:r>
          </w:p>
        </w:tc>
      </w:tr>
    </w:tbl>
    <w:p>
      <w:pPr>
        <w:spacing w:before="80" w:after="80"/>
      </w:pPr>
    </w:p>
    <w:p>
      <w:pPr>
        <w:spacing w:before="60" w:after="80"/>
      </w:pPr>
      <w:r>
        <w:rPr>
          <w:rFonts w:ascii="Arial" w:cs="Arial" w:eastAsia="Arial" w:hAnsi="Arial"/>
          <w:color w:val="1A1A1A"/>
          <w:sz w:val="22"/>
          <w:szCs w:val="22"/>
        </w:rPr>
        <w:t xml:space="preserve">CAP-12 intentionally limits mobile to Features and Kudos only — no screen feedback. If mobile becomes the primary channel (which the deployment model pushes toward), synthesis will be rich in feature requests and kudos but thin in screen-level pain points, confusing areas, and missing elements. The roadmap output will reflect what attendees want, not what they find broken.</w:t>
      </w:r>
    </w:p>
    <w:p>
      <w:pPr>
        <w:spacing w:before="60" w:after="60"/>
      </w:pPr>
    </w:p>
    <w:p>
      <w:pPr>
        <w:spacing w:before="60" w:after="80"/>
      </w:pPr>
      <w:r>
        <w:rPr>
          <w:rFonts w:ascii="Arial" w:cs="Arial" w:eastAsia="Arial" w:hAnsi="Arial"/>
          <w:color w:val="555555"/>
          <w:sz w:val="22"/>
          <w:szCs w:val="22"/>
        </w:rPr>
        <w:t xml:space="preserve">This is a structural constraint baked into the design, not a bug. But in a deployment where the laptop is the primary screen-feedback input and the operator is a bottleneck, screen feedback volume will be disproportionately low relative to mobile-driven feature votes and kudos.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A017" w:sz="2"/>
              <w:left w:val="single" w:color="D4A017" w:sz="2"/>
              <w:bottom w:val="single" w:color="D4A017" w:sz="2"/>
              <w:right w:val="single" w:color="D4A017" w:sz="2"/>
            </w:tcBorders>
            <w:shd w:fill="D4A017" w:val="clear"/>
            <w:tcMar>
              <w:top w:type="dxa" w:w="80"/>
              <w:left w:type="dxa" w:w="120"/>
              <w:bottom w:type="dxa" w:w="80"/>
              <w:right w:type="dxa" w:w="120"/>
            </w:tcMar>
          </w:tcPr>
          <w:p>
            <w:r>
              <w:rPr>
                <w:rFonts w:ascii="Arial" w:cs="Arial" w:eastAsia="Arial" w:hAnsi="Arial"/>
                <w:b/>
                <w:bCs/>
                <w:color w:val="FFFFFF"/>
                <w:sz w:val="20"/>
                <w:szCs w:val="20"/>
              </w:rPr>
              <w:t xml:space="preserve">Code Mitigation</w:t>
            </w:r>
          </w:p>
        </w:tc>
        <w:tc>
          <w:tcPr>
            <w:tcW w:type="dxa" w:w="4680"/>
            <w:tcBorders>
              <w:top w:val="single" w:color="D4A017" w:sz="2"/>
              <w:left w:val="single" w:color="D4A017" w:sz="2"/>
              <w:bottom w:val="single" w:color="D4A017" w:sz="2"/>
              <w:right w:val="single" w:color="D4A017" w:sz="2"/>
            </w:tcBorders>
            <w:shd w:fill="D4A017" w:val="clear"/>
            <w:tcMar>
              <w:top w:type="dxa" w:w="80"/>
              <w:left w:type="dxa" w:w="120"/>
              <w:bottom w:type="dxa" w:w="80"/>
              <w:right w:type="dxa" w:w="120"/>
            </w:tcMar>
          </w:tcPr>
          <w:p>
            <w:r>
              <w:rPr>
                <w:rFonts w:ascii="Arial" w:cs="Arial" w:eastAsia="Arial" w:hAnsi="Arial"/>
                <w:b/>
                <w:bCs/>
                <w:color w:val="FFFFFF"/>
                <w:sz w:val="20"/>
                <w:szCs w:val="20"/>
              </w:rPr>
              <w:t xml:space="preserve">User / Process Mitigation</w:t>
            </w:r>
          </w:p>
        </w:tc>
      </w:tr>
      <w:tr>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The synthesis prompt already flags mobile-origin records (Addendum Section 5.2). Consider adding a signal imbalance warning to the readiness gate if screen feedback accounts for less than 30% of total signals — prompting facilitators to drive more wall interactions.</w:t>
            </w:r>
          </w:p>
        </w:tc>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Explicitly brief attendees on the distinction: 'Vote and react on mobile. Deep-dive feedback at the wall.'</w:t>
            </w:r>
          </w:p>
        </w:tc>
      </w:tr>
      <w:tr>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
            </w:r>
          </w:p>
        </w:tc>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Frame mobile as a quick complement, not a substitute for the richer screen-level feedback flow.</w:t>
            </w:r>
          </w:p>
        </w:tc>
      </w:tr>
    </w:tbl>
    <w:p>
      <w:pPr>
        <w:spacing w:before="120" w:after="80"/>
      </w:pPr>
    </w:p>
    <w:p>
      <w:pPr>
        <w:pStyle w:val="Heading2"/>
        <w:spacing w:before="280" w:after="80"/>
      </w:pPr>
      <w:r>
        <w:rPr>
          <w:rFonts w:ascii="Arial" w:cs="Arial" w:eastAsia="Arial" w:hAnsi="Arial"/>
          <w:b/>
          <w:bCs/>
          <w:color w:val="1A1A1A"/>
          <w:sz w:val="26"/>
          <w:szCs w:val="26"/>
        </w:rPr>
        <w:t xml:space="preserve">10. Day 2 Reveal Setup Creates a Last-Minute Scramble</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A017" w:sz="2"/>
              <w:left w:val="single" w:color="D4A017" w:sz="2"/>
              <w:bottom w:val="single" w:color="D4A017" w:sz="2"/>
              <w:right w:val="single" w:color="D4A017" w:sz="2"/>
            </w:tcBorders>
            <w:shd w:fill="FFFBE6" w:val="clear"/>
            <w:tcMar>
              <w:top w:type="dxa" w:w="80"/>
              <w:left w:type="dxa" w:w="120"/>
              <w:bottom w:type="dxa" w:w="80"/>
              <w:right w:type="dxa" w:w="120"/>
            </w:tcMar>
          </w:tcPr>
          <w:p>
            <w:r>
              <w:rPr>
                <w:rFonts w:ascii="Arial" w:cs="Arial" w:eastAsia="Arial" w:hAnsi="Arial"/>
                <w:b/>
                <w:bCs/>
                <w:color w:val="1A1A1A"/>
                <w:sz w:val="20"/>
                <w:szCs w:val="20"/>
              </w:rPr>
              <w:t xml:space="preserve">Probability: </w:t>
            </w:r>
            <w:r>
              <w:rPr>
                <w:rFonts w:ascii="Arial" w:cs="Arial" w:eastAsia="Arial" w:hAnsi="Arial"/>
                <w:color w:val="1A1A1A"/>
                <w:sz w:val="20"/>
                <w:szCs w:val="20"/>
              </w:rPr>
              <w:t xml:space="preserve">Medium</w:t>
            </w:r>
          </w:p>
        </w:tc>
        <w:tc>
          <w:tcPr>
            <w:tcW w:type="dxa" w:w="4680"/>
            <w:tcBorders>
              <w:top w:val="single" w:color="D4A017" w:sz="2"/>
              <w:left w:val="single" w:color="D4A017" w:sz="2"/>
              <w:bottom w:val="single" w:color="D4A017" w:sz="2"/>
              <w:right w:val="single" w:color="D4A017" w:sz="2"/>
            </w:tcBorders>
            <w:shd w:fill="FFFBE6" w:val="clear"/>
            <w:tcMar>
              <w:top w:type="dxa" w:w="80"/>
              <w:left w:type="dxa" w:w="120"/>
              <w:bottom w:type="dxa" w:w="80"/>
              <w:right w:type="dxa" w:w="120"/>
            </w:tcMar>
          </w:tcPr>
          <w:p>
            <w:r>
              <w:rPr>
                <w:rFonts w:ascii="Arial" w:cs="Arial" w:eastAsia="Arial" w:hAnsi="Arial"/>
                <w:b/>
                <w:bCs/>
                <w:color w:val="1A1A1A"/>
                <w:sz w:val="20"/>
                <w:szCs w:val="20"/>
              </w:rPr>
              <w:t xml:space="preserve">Impact: </w:t>
            </w:r>
            <w:r>
              <w:rPr>
                <w:rFonts w:ascii="Arial" w:cs="Arial" w:eastAsia="Arial" w:hAnsi="Arial"/>
                <w:color w:val="1A1A1A"/>
                <w:sz w:val="20"/>
                <w:szCs w:val="20"/>
              </w:rPr>
              <w:t xml:space="preserve">Medium</w:t>
            </w:r>
          </w:p>
        </w:tc>
      </w:tr>
    </w:tbl>
    <w:p>
      <w:pPr>
        <w:spacing w:before="80" w:after="80"/>
      </w:pPr>
    </w:p>
    <w:p>
      <w:pPr>
        <w:spacing w:before="60" w:after="80"/>
      </w:pPr>
      <w:r>
        <w:rPr>
          <w:rFonts w:ascii="Arial" w:cs="Arial" w:eastAsia="Arial" w:hAnsi="Arial"/>
          <w:color w:val="1A1A1A"/>
          <w:sz w:val="22"/>
          <w:szCs w:val="22"/>
        </w:rPr>
        <w:t xml:space="preserve">Open Question #6 (same kiosk vs. separate screen) is unresolved. If the Day 2 reveal happens on the same laptop that was running Day 1 capture, the team needs to switch modes — potentially in front of the room. The facilitator-editable narrative field (CAP-10) also needs to be populated overnight, which means someone must have laptop access at the right time and know the PIN.</w:t>
      </w:r>
    </w:p>
    <w:p>
      <w:pPr>
        <w:spacing w:before="60" w:after="60"/>
      </w:pPr>
    </w:p>
    <w:p>
      <w:pPr>
        <w:spacing w:before="60" w:after="80"/>
      </w:pPr>
      <w:r>
        <w:rPr>
          <w:rFonts w:ascii="Arial" w:cs="Arial" w:eastAsia="Arial" w:hAnsi="Arial"/>
          <w:color w:val="555555"/>
          <w:sz w:val="22"/>
          <w:szCs w:val="22"/>
        </w:rPr>
        <w:t xml:space="preserve">The read-only display URL specified in CAP-10 (accessible without a PIN for secondary-screen use) is the cleanest solution for this deployment. If it is not implemented for Event 1, the team will be operating the synthesis panel live in front of attendees, with the PIN visible and facilitator-only controls exposed.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A017" w:sz="2"/>
              <w:left w:val="single" w:color="D4A017" w:sz="2"/>
              <w:bottom w:val="single" w:color="D4A017" w:sz="2"/>
              <w:right w:val="single" w:color="D4A017" w:sz="2"/>
            </w:tcBorders>
            <w:shd w:fill="D4A017" w:val="clear"/>
            <w:tcMar>
              <w:top w:type="dxa" w:w="80"/>
              <w:left w:type="dxa" w:w="120"/>
              <w:bottom w:type="dxa" w:w="80"/>
              <w:right w:type="dxa" w:w="120"/>
            </w:tcMar>
          </w:tcPr>
          <w:p>
            <w:r>
              <w:rPr>
                <w:rFonts w:ascii="Arial" w:cs="Arial" w:eastAsia="Arial" w:hAnsi="Arial"/>
                <w:b/>
                <w:bCs/>
                <w:color w:val="FFFFFF"/>
                <w:sz w:val="20"/>
                <w:szCs w:val="20"/>
              </w:rPr>
              <w:t xml:space="preserve">Code Mitigation</w:t>
            </w:r>
          </w:p>
        </w:tc>
        <w:tc>
          <w:tcPr>
            <w:tcW w:type="dxa" w:w="4680"/>
            <w:tcBorders>
              <w:top w:val="single" w:color="D4A017" w:sz="2"/>
              <w:left w:val="single" w:color="D4A017" w:sz="2"/>
              <w:bottom w:val="single" w:color="D4A017" w:sz="2"/>
              <w:right w:val="single" w:color="D4A017" w:sz="2"/>
            </w:tcBorders>
            <w:shd w:fill="D4A017" w:val="clear"/>
            <w:tcMar>
              <w:top w:type="dxa" w:w="80"/>
              <w:left w:type="dxa" w:w="120"/>
              <w:bottom w:type="dxa" w:w="80"/>
              <w:right w:type="dxa" w:w="120"/>
            </w:tcMar>
          </w:tcPr>
          <w:p>
            <w:r>
              <w:rPr>
                <w:rFonts w:ascii="Arial" w:cs="Arial" w:eastAsia="Arial" w:hAnsi="Arial"/>
                <w:b/>
                <w:bCs/>
                <w:color w:val="FFFFFF"/>
                <w:sz w:val="20"/>
                <w:szCs w:val="20"/>
              </w:rPr>
              <w:t xml:space="preserve">User / Process Mitigation</w:t>
            </w:r>
          </w:p>
        </w:tc>
      </w:tr>
      <w:tr>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Prioritise the CAP-10 read-only display URL for Event 1 — even if the 'same kiosk' path also works, the read-only URL provides the flexibility to run reveal on a separate screen without layout changes.</w:t>
            </w:r>
          </w:p>
        </w:tc>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Resolve Open Question #6 before Event 1.</w:t>
            </w:r>
          </w:p>
        </w:tc>
      </w:tr>
      <w:tr>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Ensure Day 2 reveal mode suppresses the drawer and top bar as specified (full-screen ceremonial layout).</w:t>
            </w:r>
          </w:p>
        </w:tc>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Designate Day 2 reveal preparation as an explicit overnight task with a named owner.</w:t>
            </w:r>
          </w:p>
        </w:tc>
      </w:tr>
      <w:tr>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
            </w:r>
          </w:p>
        </w:tc>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Pre-write the narrative field content before the morning session starts — not during the reveal.</w:t>
            </w:r>
          </w:p>
        </w:tc>
      </w:tr>
    </w:tbl>
    <w:p>
      <w:pPr>
        <w:pBdr>
          <w:bottom w:val="single" w:color="C2E0CF" w:sz="4"/>
        </w:pBdr>
        <w:spacing w:before="160" w:after="160"/>
      </w:pPr>
    </w:p>
    <w:p>
      <w:pPr>
        <w:pStyle w:val="Heading1"/>
        <w:spacing w:before="360" w:after="120"/>
      </w:pPr>
      <w:r>
        <w:rPr>
          <w:rFonts w:ascii="Arial" w:cs="Arial" w:eastAsia="Arial" w:hAnsi="Arial"/>
          <w:b/>
          <w:bCs/>
          <w:color w:val="1A6B4A"/>
          <w:sz w:val="36"/>
          <w:szCs w:val="36"/>
        </w:rPr>
        <w:t xml:space="preserve">Lower Probability Risks</w:t>
      </w:r>
    </w:p>
    <w:p>
      <w:pPr>
        <w:spacing w:before="40" w:after="60"/>
      </w:pPr>
      <w:r>
        <w:rPr>
          <w:rFonts w:ascii="Arial" w:cs="Arial" w:eastAsia="Arial" w:hAnsi="Arial"/>
          <w:i/>
          <w:iCs/>
          <w:color w:val="555555"/>
          <w:sz w:val="22"/>
          <w:szCs w:val="22"/>
        </w:rPr>
        <w:t xml:space="preserve">These risks are less likely to occur but carry high or critical impact if they do. Each warrants a documented contingency plan before Event 1, even if active mitigation is not required.</w:t>
      </w:r>
    </w:p>
    <w:p>
      <w:pPr>
        <w:spacing w:before="80" w:after="80"/>
      </w:pPr>
    </w:p>
    <w:p>
      <w:pPr>
        <w:pStyle w:val="Heading2"/>
        <w:spacing w:before="280" w:after="80"/>
      </w:pPr>
      <w:r>
        <w:rPr>
          <w:rFonts w:ascii="Arial" w:cs="Arial" w:eastAsia="Arial" w:hAnsi="Arial"/>
          <w:b/>
          <w:bCs/>
          <w:color w:val="1A1A1A"/>
          <w:sz w:val="26"/>
          <w:szCs w:val="26"/>
        </w:rPr>
        <w:t xml:space="preserve">11. The Quote Ticker Surfaces an Awkward or Damaging Quote</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A017" w:sz="2"/>
              <w:left w:val="single" w:color="D4A017" w:sz="2"/>
              <w:bottom w:val="single" w:color="D4A017" w:sz="2"/>
              <w:right w:val="single" w:color="D4A017" w:sz="2"/>
            </w:tcBorders>
            <w:shd w:fill="FFFBE6" w:val="clear"/>
            <w:tcMar>
              <w:top w:type="dxa" w:w="80"/>
              <w:left w:type="dxa" w:w="120"/>
              <w:bottom w:type="dxa" w:w="80"/>
              <w:right w:type="dxa" w:w="120"/>
            </w:tcMar>
          </w:tcPr>
          <w:p>
            <w:r>
              <w:rPr>
                <w:rFonts w:ascii="Arial" w:cs="Arial" w:eastAsia="Arial" w:hAnsi="Arial"/>
                <w:b/>
                <w:bCs/>
                <w:color w:val="1A1A1A"/>
                <w:sz w:val="20"/>
                <w:szCs w:val="20"/>
              </w:rPr>
              <w:t xml:space="preserve">Probability: </w:t>
            </w:r>
            <w:r>
              <w:rPr>
                <w:rFonts w:ascii="Arial" w:cs="Arial" w:eastAsia="Arial" w:hAnsi="Arial"/>
                <w:color w:val="1A1A1A"/>
                <w:sz w:val="20"/>
                <w:szCs w:val="20"/>
              </w:rPr>
              <w:t xml:space="preserve">Low-Medium</w:t>
            </w:r>
          </w:p>
        </w:tc>
        <w:tc>
          <w:tcPr>
            <w:tcW w:type="dxa" w:w="4680"/>
            <w:tcBorders>
              <w:top w:val="single" w:color="D4A017" w:sz="2"/>
              <w:left w:val="single" w:color="D4A017" w:sz="2"/>
              <w:bottom w:val="single" w:color="D4A017" w:sz="2"/>
              <w:right w:val="single" w:color="D4A017" w:sz="2"/>
            </w:tcBorders>
            <w:shd w:fill="FFFBE6" w:val="clear"/>
            <w:tcMar>
              <w:top w:type="dxa" w:w="80"/>
              <w:left w:type="dxa" w:w="120"/>
              <w:bottom w:type="dxa" w:w="80"/>
              <w:right w:type="dxa" w:w="120"/>
            </w:tcMar>
          </w:tcPr>
          <w:p>
            <w:r>
              <w:rPr>
                <w:rFonts w:ascii="Arial" w:cs="Arial" w:eastAsia="Arial" w:hAnsi="Arial"/>
                <w:b/>
                <w:bCs/>
                <w:color w:val="1A1A1A"/>
                <w:sz w:val="20"/>
                <w:szCs w:val="20"/>
              </w:rPr>
              <w:t xml:space="preserve">Impact: </w:t>
            </w:r>
            <w:r>
              <w:rPr>
                <w:rFonts w:ascii="Arial" w:cs="Arial" w:eastAsia="Arial" w:hAnsi="Arial"/>
                <w:color w:val="1A1A1A"/>
                <w:sz w:val="20"/>
                <w:szCs w:val="20"/>
              </w:rPr>
              <w:t xml:space="preserve">High</w:t>
            </w:r>
          </w:p>
        </w:tc>
      </w:tr>
    </w:tbl>
    <w:p>
      <w:pPr>
        <w:spacing w:before="80" w:after="80"/>
      </w:pPr>
    </w:p>
    <w:p>
      <w:pPr>
        <w:spacing w:before="60" w:after="80"/>
      </w:pPr>
      <w:r>
        <w:rPr>
          <w:rFonts w:ascii="Arial" w:cs="Arial" w:eastAsia="Arial" w:hAnsi="Arial"/>
          <w:color w:val="1A1A1A"/>
          <w:sz w:val="22"/>
          <w:szCs w:val="22"/>
        </w:rPr>
        <w:t xml:space="preserve">Consent-approved kudos feed the ticker automatically on submission (KD-06) with no facilitator review step. In a conference context, an attendee may submit something like 'This is interesting but our compliance team would never allow it' — consent-checked because they were enthusiastic — and that quote then rotates on a 150" screen in front of the entire room.</w:t>
      </w:r>
    </w:p>
    <w:p>
      <w:pPr>
        <w:spacing w:before="60" w:after="60"/>
      </w:pPr>
    </w:p>
    <w:p>
      <w:pPr>
        <w:spacing w:before="60" w:after="80"/>
      </w:pPr>
      <w:r>
        <w:rPr>
          <w:rFonts w:ascii="Arial" w:cs="Arial" w:eastAsia="Arial" w:hAnsi="Arial"/>
          <w:color w:val="555555"/>
          <w:sz w:val="22"/>
          <w:szCs w:val="22"/>
        </w:rPr>
        <w:t xml:space="preserve">This risk is amplified by the 150" display format. A mildly awkward quote that would be unnoticed on a small kiosk screen becomes highly visible content in a room full of clients. The PRD's current design relies entirely on attendee self-censorship, enforced only by verbal framing.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A017" w:sz="2"/>
              <w:left w:val="single" w:color="D4A017" w:sz="2"/>
              <w:bottom w:val="single" w:color="D4A017" w:sz="2"/>
              <w:right w:val="single" w:color="D4A017" w:sz="2"/>
            </w:tcBorders>
            <w:shd w:fill="D4A017" w:val="clear"/>
            <w:tcMar>
              <w:top w:type="dxa" w:w="80"/>
              <w:left w:type="dxa" w:w="120"/>
              <w:bottom w:type="dxa" w:w="80"/>
              <w:right w:type="dxa" w:w="120"/>
            </w:tcMar>
          </w:tcPr>
          <w:p>
            <w:r>
              <w:rPr>
                <w:rFonts w:ascii="Arial" w:cs="Arial" w:eastAsia="Arial" w:hAnsi="Arial"/>
                <w:b/>
                <w:bCs/>
                <w:color w:val="FFFFFF"/>
                <w:sz w:val="20"/>
                <w:szCs w:val="20"/>
              </w:rPr>
              <w:t xml:space="preserve">Code Mitigation</w:t>
            </w:r>
          </w:p>
        </w:tc>
        <w:tc>
          <w:tcPr>
            <w:tcW w:type="dxa" w:w="4680"/>
            <w:tcBorders>
              <w:top w:val="single" w:color="D4A017" w:sz="2"/>
              <w:left w:val="single" w:color="D4A017" w:sz="2"/>
              <w:bottom w:val="single" w:color="D4A017" w:sz="2"/>
              <w:right w:val="single" w:color="D4A017" w:sz="2"/>
            </w:tcBorders>
            <w:shd w:fill="D4A017" w:val="clear"/>
            <w:tcMar>
              <w:top w:type="dxa" w:w="80"/>
              <w:left w:type="dxa" w:w="120"/>
              <w:bottom w:type="dxa" w:w="80"/>
              <w:right w:type="dxa" w:w="120"/>
            </w:tcMar>
          </w:tcPr>
          <w:p>
            <w:r>
              <w:rPr>
                <w:rFonts w:ascii="Arial" w:cs="Arial" w:eastAsia="Arial" w:hAnsi="Arial"/>
                <w:b/>
                <w:bCs/>
                <w:color w:val="FFFFFF"/>
                <w:sz w:val="20"/>
                <w:szCs w:val="20"/>
              </w:rPr>
              <w:t xml:space="preserve">User / Process Mitigation</w:t>
            </w:r>
          </w:p>
        </w:tc>
      </w:tr>
      <w:tr>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Add an optional facilitator moderation queue: consent-approved quotes go to a 'pending' state and appear in the ticker only after a single-tap approval from the PIN-gated view.</w:t>
            </w:r>
          </w:p>
        </w:tc>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Verbally brief attendees that public-safe quotes appear on the big screen — this serves as a natural quality filter and prompts self-censorship.</w:t>
            </w:r>
          </w:p>
        </w:tc>
      </w:tr>
      <w:tr>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This is a significant UX addition but appropriate for a high-visibility 150" display in a B2B context.</w:t>
            </w:r>
          </w:p>
        </w:tc>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The designated screen monitor (see Risk 3) should watch for ticker content that should be suppressed and alert the operator immediately.</w:t>
            </w:r>
          </w:p>
        </w:tc>
      </w:tr>
    </w:tbl>
    <w:p>
      <w:pPr>
        <w:spacing w:before="120" w:after="80"/>
      </w:pPr>
    </w:p>
    <w:p>
      <w:pPr>
        <w:pStyle w:val="Heading2"/>
        <w:spacing w:before="280" w:after="80"/>
      </w:pPr>
      <w:r>
        <w:rPr>
          <w:rFonts w:ascii="Arial" w:cs="Arial" w:eastAsia="Arial" w:hAnsi="Arial"/>
          <w:b/>
          <w:bCs/>
          <w:color w:val="1A1A1A"/>
          <w:sz w:val="26"/>
          <w:szCs w:val="26"/>
        </w:rPr>
        <w:t xml:space="preserve">12. Synthesis API Unavailable Overnight</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2"/>
              <w:left w:val="single" w:color="C0392B" w:sz="2"/>
              <w:bottom w:val="single" w:color="C0392B" w:sz="2"/>
              <w:right w:val="single" w:color="C0392B" w:sz="2"/>
            </w:tcBorders>
            <w:shd w:fill="FDECEA" w:val="clear"/>
            <w:tcMar>
              <w:top w:type="dxa" w:w="80"/>
              <w:left w:type="dxa" w:w="120"/>
              <w:bottom w:type="dxa" w:w="80"/>
              <w:right w:type="dxa" w:w="120"/>
            </w:tcMar>
          </w:tcPr>
          <w:p>
            <w:r>
              <w:rPr>
                <w:rFonts w:ascii="Arial" w:cs="Arial" w:eastAsia="Arial" w:hAnsi="Arial"/>
                <w:b/>
                <w:bCs/>
                <w:color w:val="1A1A1A"/>
                <w:sz w:val="20"/>
                <w:szCs w:val="20"/>
              </w:rPr>
              <w:t xml:space="preserve">Probability: </w:t>
            </w:r>
            <w:r>
              <w:rPr>
                <w:rFonts w:ascii="Arial" w:cs="Arial" w:eastAsia="Arial" w:hAnsi="Arial"/>
                <w:color w:val="1A1A1A"/>
                <w:sz w:val="20"/>
                <w:szCs w:val="20"/>
              </w:rPr>
              <w:t xml:space="preserve">Low</w:t>
            </w:r>
          </w:p>
        </w:tc>
        <w:tc>
          <w:tcPr>
            <w:tcW w:type="dxa" w:w="4680"/>
            <w:tcBorders>
              <w:top w:val="single" w:color="C0392B" w:sz="2"/>
              <w:left w:val="single" w:color="C0392B" w:sz="2"/>
              <w:bottom w:val="single" w:color="C0392B" w:sz="2"/>
              <w:right w:val="single" w:color="C0392B" w:sz="2"/>
            </w:tcBorders>
            <w:shd w:fill="FDECEA" w:val="clear"/>
            <w:tcMar>
              <w:top w:type="dxa" w:w="80"/>
              <w:left w:type="dxa" w:w="120"/>
              <w:bottom w:type="dxa" w:w="80"/>
              <w:right w:type="dxa" w:w="120"/>
            </w:tcMar>
          </w:tcPr>
          <w:p>
            <w:r>
              <w:rPr>
                <w:rFonts w:ascii="Arial" w:cs="Arial" w:eastAsia="Arial" w:hAnsi="Arial"/>
                <w:b/>
                <w:bCs/>
                <w:color w:val="1A1A1A"/>
                <w:sz w:val="20"/>
                <w:szCs w:val="20"/>
              </w:rPr>
              <w:t xml:space="preserve">Impact: </w:t>
            </w:r>
            <w:r>
              <w:rPr>
                <w:rFonts w:ascii="Arial" w:cs="Arial" w:eastAsia="Arial" w:hAnsi="Arial"/>
                <w:color w:val="1A1A1A"/>
                <w:sz w:val="20"/>
                <w:szCs w:val="20"/>
              </w:rPr>
              <w:t xml:space="preserve">Critical</w:t>
            </w:r>
          </w:p>
        </w:tc>
      </w:tr>
    </w:tbl>
    <w:p>
      <w:pPr>
        <w:spacing w:before="80" w:after="80"/>
      </w:pPr>
    </w:p>
    <w:p>
      <w:pPr>
        <w:spacing w:before="60" w:after="80"/>
      </w:pPr>
      <w:r>
        <w:rPr>
          <w:rFonts w:ascii="Arial" w:cs="Arial" w:eastAsia="Arial" w:hAnsi="Arial"/>
          <w:color w:val="1A1A1A"/>
          <w:sz w:val="22"/>
          <w:szCs w:val="22"/>
        </w:rPr>
        <w:t xml:space="preserve">The overnight sprint is the core marketing moment of the entire event. If the Anthropic API is unavailable or rate-limited when synthesis is triggered, the team has raw data (via PS-05 auto-export) but no structured brief. The manual synthesis protocol referenced in the PRD risk table is currently undocumented — it does not exist as a usable resource.</w:t>
      </w:r>
    </w:p>
    <w:p>
      <w:pPr>
        <w:spacing w:before="60" w:after="60"/>
      </w:pPr>
    </w:p>
    <w:p>
      <w:pPr>
        <w:spacing w:before="60" w:after="80"/>
      </w:pPr>
      <w:r>
        <w:rPr>
          <w:rFonts w:ascii="Arial" w:cs="Arial" w:eastAsia="Arial" w:hAnsi="Arial"/>
          <w:color w:val="555555"/>
          <w:sz w:val="22"/>
          <w:szCs w:val="22"/>
        </w:rPr>
        <w:t xml:space="preserve">This is a low-probability event but a catastrophic one for the event narrative. A failed overnight sprint eliminates the Day 2 reveal moment entirely, which is the primary marketing payoff of the entire deployment.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2"/>
              <w:left w:val="single" w:color="C0392B" w:sz="2"/>
              <w:bottom w:val="single" w:color="C0392B" w:sz="2"/>
              <w:right w:val="single" w:color="C0392B" w:sz="2"/>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Code Mitigation</w:t>
            </w:r>
          </w:p>
        </w:tc>
        <w:tc>
          <w:tcPr>
            <w:tcW w:type="dxa" w:w="4680"/>
            <w:tcBorders>
              <w:top w:val="single" w:color="C0392B" w:sz="2"/>
              <w:left w:val="single" w:color="C0392B" w:sz="2"/>
              <w:bottom w:val="single" w:color="C0392B" w:sz="2"/>
              <w:right w:val="single" w:color="C0392B" w:sz="2"/>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User / Process Mitigation</w:t>
            </w:r>
          </w:p>
        </w:tc>
      </w:tr>
      <w:tr>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Add a 'generate offline brief' mode that produces a structured template pre-populated with signal counts, top feature requests ranked by composite score, and screen feedback tag tallies — no AI, just formatted data — so the team has something to work from if the API is unavailable.</w:t>
            </w:r>
          </w:p>
        </w:tc>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Write the manual synthesis protocol before Event 1. It should be a documented 30-minute structured process: facilitator reads top feature requests and screen feedback categories; team votes on P0 items verbally; someone writes the brief in a shared doc.</w:t>
            </w:r>
          </w:p>
        </w:tc>
      </w:tr>
      <w:tr>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Implement retry logic with exponential backoff before surfacing ERR-02 to the facilitator.</w:t>
            </w:r>
          </w:p>
        </w:tc>
        <w:tc>
          <w:tcPr>
            <w:tcW w:type="dxa" w:w="4680"/>
            <w:tcBorders>
              <w:top w:val="single" w:color="C0392B" w:sz="2"/>
              <w:left w:val="single" w:color="C0392B" w:sz="2"/>
              <w:bottom w:val="single" w:color="C0392B" w:sz="2"/>
              <w:right w:val="single" w:color="C0392B" w:sz="2"/>
            </w:tcBorders>
            <w:shd w:fill="FDECEA" w:val="clear"/>
            <w:tcMar>
              <w:top w:type="dxa" w:w="60"/>
              <w:left w:type="dxa" w:w="120"/>
              <w:bottom w:type="dxa" w:w="60"/>
              <w:right w:type="dxa" w:w="120"/>
            </w:tcMar>
          </w:tcPr>
          <w:p>
            <w:r>
              <w:rPr>
                <w:rFonts w:ascii="Arial" w:cs="Arial" w:eastAsia="Arial" w:hAnsi="Arial"/>
                <w:color w:val="1A1A1A"/>
                <w:sz w:val="20"/>
                <w:szCs w:val="20"/>
              </w:rPr>
              <w:t xml:space="preserve">Test API connectivity from the event venue network in advance — conference WiFi is notoriously unreliable for API calls.</w:t>
            </w:r>
          </w:p>
        </w:tc>
      </w:tr>
    </w:tbl>
    <w:p>
      <w:pPr>
        <w:spacing w:before="120" w:after="80"/>
      </w:pPr>
    </w:p>
    <w:p>
      <w:pPr>
        <w:pStyle w:val="Heading2"/>
        <w:spacing w:before="280" w:after="80"/>
      </w:pPr>
      <w:r>
        <w:rPr>
          <w:rFonts w:ascii="Arial" w:cs="Arial" w:eastAsia="Arial" w:hAnsi="Arial"/>
          <w:b/>
          <w:bCs/>
          <w:color w:val="1A1A1A"/>
          <w:sz w:val="26"/>
          <w:szCs w:val="26"/>
        </w:rPr>
        <w:t xml:space="preserve">13. Local Event Data Store Corruption on Restart</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A017" w:sz="2"/>
              <w:left w:val="single" w:color="D4A017" w:sz="2"/>
              <w:bottom w:val="single" w:color="D4A017" w:sz="2"/>
              <w:right w:val="single" w:color="D4A017" w:sz="2"/>
            </w:tcBorders>
            <w:shd w:fill="FFFBE6" w:val="clear"/>
            <w:tcMar>
              <w:top w:type="dxa" w:w="80"/>
              <w:left w:type="dxa" w:w="120"/>
              <w:bottom w:type="dxa" w:w="80"/>
              <w:right w:type="dxa" w:w="120"/>
            </w:tcMar>
          </w:tcPr>
          <w:p>
            <w:r>
              <w:rPr>
                <w:rFonts w:ascii="Arial" w:cs="Arial" w:eastAsia="Arial" w:hAnsi="Arial"/>
                <w:b/>
                <w:bCs/>
                <w:color w:val="1A1A1A"/>
                <w:sz w:val="20"/>
                <w:szCs w:val="20"/>
              </w:rPr>
              <w:t xml:space="preserve">Probability: </w:t>
            </w:r>
            <w:r>
              <w:rPr>
                <w:rFonts w:ascii="Arial" w:cs="Arial" w:eastAsia="Arial" w:hAnsi="Arial"/>
                <w:color w:val="1A1A1A"/>
                <w:sz w:val="20"/>
                <w:szCs w:val="20"/>
              </w:rPr>
              <w:t xml:space="preserve">Low</w:t>
            </w:r>
          </w:p>
        </w:tc>
        <w:tc>
          <w:tcPr>
            <w:tcW w:type="dxa" w:w="4680"/>
            <w:tcBorders>
              <w:top w:val="single" w:color="D4A017" w:sz="2"/>
              <w:left w:val="single" w:color="D4A017" w:sz="2"/>
              <w:bottom w:val="single" w:color="D4A017" w:sz="2"/>
              <w:right w:val="single" w:color="D4A017" w:sz="2"/>
            </w:tcBorders>
            <w:shd w:fill="FFFBE6" w:val="clear"/>
            <w:tcMar>
              <w:top w:type="dxa" w:w="80"/>
              <w:left w:type="dxa" w:w="120"/>
              <w:bottom w:type="dxa" w:w="80"/>
              <w:right w:type="dxa" w:w="120"/>
            </w:tcMar>
          </w:tcPr>
          <w:p>
            <w:r>
              <w:rPr>
                <w:rFonts w:ascii="Arial" w:cs="Arial" w:eastAsia="Arial" w:hAnsi="Arial"/>
                <w:b/>
                <w:bCs/>
                <w:color w:val="1A1A1A"/>
                <w:sz w:val="20"/>
                <w:szCs w:val="20"/>
              </w:rPr>
              <w:t xml:space="preserve">Impact: </w:t>
            </w:r>
            <w:r>
              <w:rPr>
                <w:rFonts w:ascii="Arial" w:cs="Arial" w:eastAsia="Arial" w:hAnsi="Arial"/>
                <w:color w:val="1A1A1A"/>
                <w:sz w:val="20"/>
                <w:szCs w:val="20"/>
              </w:rPr>
              <w:t xml:space="preserve">High</w:t>
            </w:r>
          </w:p>
        </w:tc>
      </w:tr>
    </w:tbl>
    <w:p>
      <w:pPr>
        <w:spacing w:before="80" w:after="80"/>
      </w:pPr>
    </w:p>
    <w:p>
      <w:pPr>
        <w:spacing w:before="60" w:after="80"/>
      </w:pPr>
      <w:r>
        <w:rPr>
          <w:rFonts w:ascii="Arial" w:cs="Arial" w:eastAsia="Arial" w:hAnsi="Arial"/>
          <w:color w:val="1A1A1A"/>
          <w:sz w:val="22"/>
          <w:szCs w:val="22"/>
        </w:rPr>
        <w:t xml:space="preserve">PS-03 validates the event store on startup, but the validation failure handling path is not specified in the PRD. If the store is corrupted — due to a disk issue or a crash during a write — the application's behavior is undefined. This could mean loss of all Day 1 submissions, which cannot be recovered.</w:t>
      </w:r>
    </w:p>
    <w:p>
      <w:pPr>
        <w:spacing w:before="60" w:after="60"/>
      </w:pPr>
    </w:p>
    <w:p>
      <w:pPr>
        <w:spacing w:before="60" w:after="80"/>
      </w:pPr>
      <w:r>
        <w:rPr>
          <w:rFonts w:ascii="Arial" w:cs="Arial" w:eastAsia="Arial" w:hAnsi="Arial"/>
          <w:color w:val="555555"/>
          <w:sz w:val="22"/>
          <w:szCs w:val="22"/>
        </w:rPr>
        <w:t xml:space="preserve">PS-02 requires a human-readable format (SQLite or JSON Lines), which is the right call. But human-readability is only useful if the recovery procedure is documented and the team knows how to use it.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A017" w:sz="2"/>
              <w:left w:val="single" w:color="D4A017" w:sz="2"/>
              <w:bottom w:val="single" w:color="D4A017" w:sz="2"/>
              <w:right w:val="single" w:color="D4A017" w:sz="2"/>
            </w:tcBorders>
            <w:shd w:fill="D4A017" w:val="clear"/>
            <w:tcMar>
              <w:top w:type="dxa" w:w="80"/>
              <w:left w:type="dxa" w:w="120"/>
              <w:bottom w:type="dxa" w:w="80"/>
              <w:right w:type="dxa" w:w="120"/>
            </w:tcMar>
          </w:tcPr>
          <w:p>
            <w:r>
              <w:rPr>
                <w:rFonts w:ascii="Arial" w:cs="Arial" w:eastAsia="Arial" w:hAnsi="Arial"/>
                <w:b/>
                <w:bCs/>
                <w:color w:val="FFFFFF"/>
                <w:sz w:val="20"/>
                <w:szCs w:val="20"/>
              </w:rPr>
              <w:t xml:space="preserve">Code Mitigation</w:t>
            </w:r>
          </w:p>
        </w:tc>
        <w:tc>
          <w:tcPr>
            <w:tcW w:type="dxa" w:w="4680"/>
            <w:tcBorders>
              <w:top w:val="single" w:color="D4A017" w:sz="2"/>
              <w:left w:val="single" w:color="D4A017" w:sz="2"/>
              <w:bottom w:val="single" w:color="D4A017" w:sz="2"/>
              <w:right w:val="single" w:color="D4A017" w:sz="2"/>
            </w:tcBorders>
            <w:shd w:fill="D4A017" w:val="clear"/>
            <w:tcMar>
              <w:top w:type="dxa" w:w="80"/>
              <w:left w:type="dxa" w:w="120"/>
              <w:bottom w:type="dxa" w:w="80"/>
              <w:right w:type="dxa" w:w="120"/>
            </w:tcMar>
          </w:tcPr>
          <w:p>
            <w:r>
              <w:rPr>
                <w:rFonts w:ascii="Arial" w:cs="Arial" w:eastAsia="Arial" w:hAnsi="Arial"/>
                <w:b/>
                <w:bCs/>
                <w:color w:val="FFFFFF"/>
                <w:sz w:val="20"/>
                <w:szCs w:val="20"/>
              </w:rPr>
              <w:t xml:space="preserve">User / Process Mitigation</w:t>
            </w:r>
          </w:p>
        </w:tc>
      </w:tr>
      <w:tr>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Define explicit corruption recovery behavior: if PS-03 validation fails, show the last valid state and the number of records that may be affected, and give the facilitator the option to continue from the last valid checkpoint rather than forcing a full reset.</w:t>
            </w:r>
          </w:p>
        </w:tc>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The laptop running the wall should not be used for any other purpose during the event.</w:t>
            </w:r>
          </w:p>
        </w:tc>
      </w:tr>
      <w:tr>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Implement periodic auto-saves (e.g., every 15 minutes) to a timestamped backup file alongside the main event store.</w:t>
            </w:r>
          </w:p>
        </w:tc>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Keep the laptop plugged in at all times — never run on battery during active feedback capture.</w:t>
            </w:r>
          </w:p>
        </w:tc>
      </w:tr>
      <w:tr>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
            </w:r>
          </w:p>
        </w:tc>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Do not allow the laptop to enter sleep or hibernate mode during the event day.</w:t>
            </w:r>
          </w:p>
        </w:tc>
      </w:tr>
    </w:tbl>
    <w:p>
      <w:pPr>
        <w:spacing w:before="120" w:after="80"/>
      </w:pPr>
    </w:p>
    <w:p>
      <w:pPr>
        <w:pStyle w:val="Heading2"/>
        <w:spacing w:before="280" w:after="80"/>
      </w:pPr>
      <w:r>
        <w:rPr>
          <w:rFonts w:ascii="Arial" w:cs="Arial" w:eastAsia="Arial" w:hAnsi="Arial"/>
          <w:b/>
          <w:bCs/>
          <w:color w:val="1A1A1A"/>
          <w:sz w:val="26"/>
          <w:szCs w:val="26"/>
        </w:rPr>
        <w:t xml:space="preserve">14. Role Segmentation Produces Misleading Synthesis Output</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A017" w:sz="2"/>
              <w:left w:val="single" w:color="D4A017" w:sz="2"/>
              <w:bottom w:val="single" w:color="D4A017" w:sz="2"/>
              <w:right w:val="single" w:color="D4A017" w:sz="2"/>
            </w:tcBorders>
            <w:shd w:fill="FFFBE6" w:val="clear"/>
            <w:tcMar>
              <w:top w:type="dxa" w:w="80"/>
              <w:left w:type="dxa" w:w="120"/>
              <w:bottom w:type="dxa" w:w="80"/>
              <w:right w:type="dxa" w:w="120"/>
            </w:tcMar>
          </w:tcPr>
          <w:p>
            <w:r>
              <w:rPr>
                <w:rFonts w:ascii="Arial" w:cs="Arial" w:eastAsia="Arial" w:hAnsi="Arial"/>
                <w:b/>
                <w:bCs/>
                <w:color w:val="1A1A1A"/>
                <w:sz w:val="20"/>
                <w:szCs w:val="20"/>
              </w:rPr>
              <w:t xml:space="preserve">Probability: </w:t>
            </w:r>
            <w:r>
              <w:rPr>
                <w:rFonts w:ascii="Arial" w:cs="Arial" w:eastAsia="Arial" w:hAnsi="Arial"/>
                <w:color w:val="1A1A1A"/>
                <w:sz w:val="20"/>
                <w:szCs w:val="20"/>
              </w:rPr>
              <w:t xml:space="preserve">Low-Medium</w:t>
            </w:r>
          </w:p>
        </w:tc>
        <w:tc>
          <w:tcPr>
            <w:tcW w:type="dxa" w:w="4680"/>
            <w:tcBorders>
              <w:top w:val="single" w:color="D4A017" w:sz="2"/>
              <w:left w:val="single" w:color="D4A017" w:sz="2"/>
              <w:bottom w:val="single" w:color="D4A017" w:sz="2"/>
              <w:right w:val="single" w:color="D4A017" w:sz="2"/>
            </w:tcBorders>
            <w:shd w:fill="FFFBE6" w:val="clear"/>
            <w:tcMar>
              <w:top w:type="dxa" w:w="80"/>
              <w:left w:type="dxa" w:w="120"/>
              <w:bottom w:type="dxa" w:w="80"/>
              <w:right w:type="dxa" w:w="120"/>
            </w:tcMar>
          </w:tcPr>
          <w:p>
            <w:r>
              <w:rPr>
                <w:rFonts w:ascii="Arial" w:cs="Arial" w:eastAsia="Arial" w:hAnsi="Arial"/>
                <w:b/>
                <w:bCs/>
                <w:color w:val="1A1A1A"/>
                <w:sz w:val="20"/>
                <w:szCs w:val="20"/>
              </w:rPr>
              <w:t xml:space="preserve">Impact: </w:t>
            </w:r>
            <w:r>
              <w:rPr>
                <w:rFonts w:ascii="Arial" w:cs="Arial" w:eastAsia="Arial" w:hAnsi="Arial"/>
                <w:color w:val="1A1A1A"/>
                <w:sz w:val="20"/>
                <w:szCs w:val="20"/>
              </w:rPr>
              <w:t xml:space="preserve">Medium</w:t>
            </w:r>
          </w:p>
        </w:tc>
      </w:tr>
    </w:tbl>
    <w:p>
      <w:pPr>
        <w:spacing w:before="80" w:after="80"/>
      </w:pPr>
    </w:p>
    <w:p>
      <w:pPr>
        <w:spacing w:before="60" w:after="80"/>
      </w:pPr>
      <w:r>
        <w:rPr>
          <w:rFonts w:ascii="Arial" w:cs="Arial" w:eastAsia="Arial" w:hAnsi="Arial"/>
          <w:color w:val="1A1A1A"/>
          <w:sz w:val="22"/>
          <w:szCs w:val="22"/>
        </w:rPr>
        <w:t xml:space="preserve">CAP-07 role segmentation is self-reported and session-only. If most attendees skip role selection, or if a small number of 'Exec' respondents happen to cluster in one app section, synthesis may produce confident-sounding role-segmented insights — 'Exec users prioritised X' — from 2–3 data points. The system prompt instructs the model to treat role patterns as directional, but the output may not communicate this uncertainty clearly enough for a live team to act on it wisely.</w:t>
      </w:r>
    </w:p>
    <w:p>
      <w:pPr>
        <w:spacing w:before="60" w:after="60"/>
      </w:pPr>
    </w:p>
    <w:p>
      <w:pPr>
        <w:spacing w:before="60" w:after="80"/>
      </w:pPr>
      <w:r>
        <w:rPr>
          <w:rFonts w:ascii="Arial" w:cs="Arial" w:eastAsia="Arial" w:hAnsi="Arial"/>
          <w:color w:val="555555"/>
          <w:sz w:val="22"/>
          <w:szCs w:val="22"/>
        </w:rPr>
        <w:t xml:space="preserve">PV-07 correctly prevents session role from being stored on individual records as a linkable identifier. This is the right privacy decision, but it also means role data cannot be audited post-synthesis — if the model produces a role-segmented insight, there is no way to verify it against the underlying data.</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A017" w:sz="2"/>
              <w:left w:val="single" w:color="D4A017" w:sz="2"/>
              <w:bottom w:val="single" w:color="D4A017" w:sz="2"/>
              <w:right w:val="single" w:color="D4A017" w:sz="2"/>
            </w:tcBorders>
            <w:shd w:fill="D4A017" w:val="clear"/>
            <w:tcMar>
              <w:top w:type="dxa" w:w="80"/>
              <w:left w:type="dxa" w:w="120"/>
              <w:bottom w:type="dxa" w:w="80"/>
              <w:right w:type="dxa" w:w="120"/>
            </w:tcMar>
          </w:tcPr>
          <w:p>
            <w:r>
              <w:rPr>
                <w:rFonts w:ascii="Arial" w:cs="Arial" w:eastAsia="Arial" w:hAnsi="Arial"/>
                <w:b/>
                <w:bCs/>
                <w:color w:val="FFFFFF"/>
                <w:sz w:val="20"/>
                <w:szCs w:val="20"/>
              </w:rPr>
              <w:t xml:space="preserve">Code Mitigation</w:t>
            </w:r>
          </w:p>
        </w:tc>
        <w:tc>
          <w:tcPr>
            <w:tcW w:type="dxa" w:w="4680"/>
            <w:tcBorders>
              <w:top w:val="single" w:color="D4A017" w:sz="2"/>
              <w:left w:val="single" w:color="D4A017" w:sz="2"/>
              <w:bottom w:val="single" w:color="D4A017" w:sz="2"/>
              <w:right w:val="single" w:color="D4A017" w:sz="2"/>
            </w:tcBorders>
            <w:shd w:fill="D4A017" w:val="clear"/>
            <w:tcMar>
              <w:top w:type="dxa" w:w="80"/>
              <w:left w:type="dxa" w:w="120"/>
              <w:bottom w:type="dxa" w:w="80"/>
              <w:right w:type="dxa" w:w="120"/>
            </w:tcMar>
          </w:tcPr>
          <w:p>
            <w:r>
              <w:rPr>
                <w:rFonts w:ascii="Arial" w:cs="Arial" w:eastAsia="Arial" w:hAnsi="Arial"/>
                <w:b/>
                <w:bCs/>
                <w:color w:val="FFFFFF"/>
                <w:sz w:val="20"/>
                <w:szCs w:val="20"/>
              </w:rPr>
              <w:t xml:space="preserve">User / Process Mitigation</w:t>
            </w:r>
          </w:p>
        </w:tc>
      </w:tr>
      <w:tr>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Add a minimum role sample size check at preprocessing time. If a role appears fewer than 5 times in the signal pool, suppress role-specific synthesis patterns for that role and add a note: 'Insufficient [Exec] responses for role-segmented analysis.'</w:t>
            </w:r>
          </w:p>
        </w:tc>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When presenting Day 2 synthesis output, verbally caveat role-segmented findings: 'These patterns are directional — treat them as hypotheses to validate, not conclusions.'</w:t>
            </w:r>
          </w:p>
        </w:tc>
      </w:tr>
      <w:tr>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This prevents the model from extrapolating from one or two outliers into a confident-sounding insight.</w:t>
            </w:r>
          </w:p>
        </w:tc>
        <w:tc>
          <w:tcPr>
            <w:tcW w:type="dxa" w:w="4680"/>
            <w:tcBorders>
              <w:top w:val="single" w:color="D4A017" w:sz="2"/>
              <w:left w:val="single" w:color="D4A017" w:sz="2"/>
              <w:bottom w:val="single" w:color="D4A017" w:sz="2"/>
              <w:right w:val="single" w:color="D4A017" w:sz="2"/>
            </w:tcBorders>
            <w:shd w:fill="FFFBE6" w:val="clear"/>
            <w:tcMar>
              <w:top w:type="dxa" w:w="60"/>
              <w:left w:type="dxa" w:w="120"/>
              <w:bottom w:type="dxa" w:w="60"/>
              <w:right w:type="dxa" w:w="120"/>
            </w:tcMar>
          </w:tcPr>
          <w:p>
            <w:r>
              <w:rPr>
                <w:rFonts w:ascii="Arial" w:cs="Arial" w:eastAsia="Arial" w:hAnsi="Arial"/>
                <w:color w:val="1A1A1A"/>
                <w:sz w:val="20"/>
                <w:szCs w:val="20"/>
              </w:rPr>
              <w:t xml:space="preserve">Do not feature role-segmented insights prominently in marketing materials derived from the synthesis output.</w:t>
            </w:r>
          </w:p>
        </w:tc>
      </w:tr>
    </w:tbl>
    <w:p>
      <w:pPr>
        <w:pBdr>
          <w:bottom w:val="single" w:color="C2E0CF" w:sz="4"/>
        </w:pBdr>
        <w:spacing w:before="160" w:after="160"/>
      </w:pPr>
    </w:p>
    <w:p>
      <w:pPr>
        <w:pStyle w:val="Heading1"/>
        <w:spacing w:before="360" w:after="120"/>
      </w:pPr>
      <w:r>
        <w:rPr>
          <w:rFonts w:ascii="Arial" w:cs="Arial" w:eastAsia="Arial" w:hAnsi="Arial"/>
          <w:b/>
          <w:bCs/>
          <w:color w:val="1A6B4A"/>
          <w:sz w:val="36"/>
          <w:szCs w:val="36"/>
        </w:rPr>
        <w:t xml:space="preserve">Open Questions Requiring Resolution Before Event 1</w:t>
      </w:r>
    </w:p>
    <w:p>
      <w:pPr>
        <w:spacing w:before="40" w:after="80"/>
      </w:pPr>
    </w:p>
    <w:p>
      <w:pPr>
        <w:spacing w:before="60" w:after="80"/>
      </w:pPr>
      <w:r>
        <w:rPr>
          <w:rFonts w:ascii="Arial" w:cs="Arial" w:eastAsia="Arial" w:hAnsi="Arial"/>
          <w:color w:val="1A1A1A"/>
          <w:sz w:val="22"/>
          <w:szCs w:val="22"/>
        </w:rPr>
        <w:t xml:space="preserve">The following open questions from PRD v2.0 are directly implicated by one or more risks in this document. They are listed here in priority order for pre-event resolution.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3300"/>
      </w:tblGrid>
      <w:tr>
        <w:trPr>
          <w:tblHeader/>
        </w:trPr>
        <w:tc>
          <w:tcPr>
            <w:tcW w:type="dxa" w:w="900"/>
            <w:tcBorders>
              <w:top w:val="single" w:color="1A6B4A" w:sz="2"/>
              <w:left w:val="single" w:color="1A6B4A" w:sz="2"/>
              <w:bottom w:val="single" w:color="1A6B4A" w:sz="2"/>
              <w:right w:val="single" w:color="1A6B4A" w:sz="2"/>
            </w:tcBorders>
            <w:shd w:fill="1A6B4A" w:val="clear"/>
            <w:tcMar>
              <w:top w:type="dxa" w:w="80"/>
              <w:left w:type="dxa" w:w="100"/>
              <w:bottom w:type="dxa" w:w="80"/>
              <w:right w:type="dxa" w:w="100"/>
            </w:tcMar>
          </w:tcPr>
          <w:p>
            <w:r>
              <w:rPr>
                <w:rFonts w:ascii="Arial" w:cs="Arial" w:eastAsia="Arial" w:hAnsi="Arial"/>
                <w:b/>
                <w:bCs/>
                <w:color w:val="FFFFFF"/>
                <w:sz w:val="20"/>
                <w:szCs w:val="20"/>
              </w:rPr>
              <w:t xml:space="preserve">Q#</w:t>
            </w:r>
          </w:p>
        </w:tc>
        <w:tc>
          <w:tcPr>
            <w:tcW w:type="dxa" w:w="5160"/>
            <w:tcBorders>
              <w:top w:val="single" w:color="1A6B4A" w:sz="2"/>
              <w:left w:val="single" w:color="1A6B4A" w:sz="2"/>
              <w:bottom w:val="single" w:color="1A6B4A" w:sz="2"/>
              <w:right w:val="single" w:color="1A6B4A" w:sz="2"/>
            </w:tcBorders>
            <w:shd w:fill="1A6B4A" w:val="clear"/>
            <w:tcMar>
              <w:top w:type="dxa" w:w="80"/>
              <w:left w:type="dxa" w:w="100"/>
              <w:bottom w:type="dxa" w:w="80"/>
              <w:right w:type="dxa" w:w="100"/>
            </w:tcMar>
          </w:tcPr>
          <w:p>
            <w:r>
              <w:rPr>
                <w:rFonts w:ascii="Arial" w:cs="Arial" w:eastAsia="Arial" w:hAnsi="Arial"/>
                <w:b/>
                <w:bCs/>
                <w:color w:val="FFFFFF"/>
                <w:sz w:val="20"/>
                <w:szCs w:val="20"/>
              </w:rPr>
              <w:t xml:space="preserve">Question</w:t>
            </w:r>
          </w:p>
        </w:tc>
        <w:tc>
          <w:tcPr>
            <w:tcW w:type="dxa" w:w="3300"/>
            <w:tcBorders>
              <w:top w:val="single" w:color="1A6B4A" w:sz="2"/>
              <w:left w:val="single" w:color="1A6B4A" w:sz="2"/>
              <w:bottom w:val="single" w:color="1A6B4A" w:sz="2"/>
              <w:right w:val="single" w:color="1A6B4A" w:sz="2"/>
            </w:tcBorders>
            <w:shd w:fill="1A6B4A" w:val="clear"/>
            <w:tcMar>
              <w:top w:type="dxa" w:w="80"/>
              <w:left w:type="dxa" w:w="100"/>
              <w:bottom w:type="dxa" w:w="80"/>
              <w:right w:type="dxa" w:w="100"/>
            </w:tcMar>
          </w:tcPr>
          <w:p>
            <w:r>
              <w:rPr>
                <w:rFonts w:ascii="Arial" w:cs="Arial" w:eastAsia="Arial" w:hAnsi="Arial"/>
                <w:b/>
                <w:bCs/>
                <w:color w:val="FFFFFF"/>
                <w:sz w:val="20"/>
                <w:szCs w:val="20"/>
              </w:rPr>
              <w:t xml:space="preserve">Risk(s) Affected</w:t>
            </w:r>
          </w:p>
        </w:tc>
      </w:tr>
      <w:t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color w:val="1A1A1A"/>
                <w:sz w:val="19"/>
                <w:szCs w:val="19"/>
              </w:rPr>
              <w:t xml:space="preserve">PIN management and rotation process between events</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color w:val="1A1A1A"/>
                <w:sz w:val="19"/>
                <w:szCs w:val="19"/>
              </w:rPr>
              <w:t xml:space="preserve">Risk 5</w:t>
            </w:r>
          </w:p>
        </w:tc>
      </w:tr>
      <w:tr>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color w:val="1A1A1A"/>
                <w:sz w:val="19"/>
                <w:szCs w:val="19"/>
              </w:rPr>
              <w:t xml:space="preserve">#6</w:t>
            </w:r>
          </w:p>
        </w:tc>
        <w:tc>
          <w:tcPr>
            <w:tcW w:type="dxa" w:w="51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color w:val="1A1A1A"/>
                <w:sz w:val="19"/>
                <w:szCs w:val="19"/>
              </w:rPr>
              <w:t xml:space="preserve">Day 2 prototype revealed on same kiosk or separate screen?</w:t>
            </w:r>
          </w:p>
        </w:tc>
        <w:tc>
          <w:tcPr>
            <w:tcW w:type="dxa" w:w="33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color w:val="1A1A1A"/>
                <w:sz w:val="19"/>
                <w:szCs w:val="19"/>
              </w:rPr>
              <w:t xml:space="preserve">Risk 10</w:t>
            </w:r>
          </w:p>
        </w:tc>
      </w:tr>
      <w:t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color w:val="1A1A1A"/>
                <w:sz w:val="19"/>
                <w:szCs w:val="19"/>
              </w:rPr>
              <w:t xml:space="preserve">#8</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color w:val="1A1A1A"/>
                <w:sz w:val="19"/>
                <w:szCs w:val="19"/>
              </w:rPr>
              <w:t xml:space="preserve">Static QR code per event acceptable, or does it need to rotate?</w:t>
            </w:r>
          </w:p>
        </w:tc>
        <w:tc>
          <w:tcPr>
            <w:tcW w:type="dxa" w:w="3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color w:val="1A1A1A"/>
                <w:sz w:val="19"/>
                <w:szCs w:val="19"/>
              </w:rPr>
              <w:t xml:space="preserve">Risk 2</w:t>
            </w:r>
          </w:p>
        </w:tc>
      </w:tr>
      <w:tr>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color w:val="1A1A1A"/>
                <w:sz w:val="19"/>
                <w:szCs w:val="19"/>
              </w:rPr>
              <w:t xml:space="preserve">#5</w:t>
            </w:r>
          </w:p>
        </w:tc>
        <w:tc>
          <w:tcPr>
            <w:tcW w:type="dxa" w:w="51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color w:val="1A1A1A"/>
                <w:sz w:val="19"/>
                <w:szCs w:val="19"/>
              </w:rPr>
              <w:t xml:space="preserve">Data retention policy after each event (blocks CAP-11)</w:t>
            </w:r>
          </w:p>
        </w:tc>
        <w:tc>
          <w:tcPr>
            <w:tcW w:type="dxa" w:w="33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color w:val="1A1A1A"/>
                <w:sz w:val="19"/>
                <w:szCs w:val="19"/>
              </w:rPr>
              <w:t xml:space="preserve">Risk 12 (indirectly)</w:t>
            </w:r>
          </w:p>
        </w:tc>
      </w:tr>
    </w:tbl>
    <w:p>
      <w:pPr>
        <w:spacing w:before="120" w:after="120"/>
      </w:pPr>
    </w:p>
    <w:p>
      <w:pPr>
        <w:pBdr>
          <w:bottom w:val="single" w:color="C2E0CF" w:sz="4"/>
        </w:pBdr>
        <w:spacing w:before="160" w:after="160"/>
      </w:pPr>
    </w:p>
    <w:p>
      <w:pPr>
        <w:pStyle w:val="Heading1"/>
        <w:spacing w:before="360" w:after="120"/>
      </w:pPr>
      <w:r>
        <w:rPr>
          <w:rFonts w:ascii="Arial" w:cs="Arial" w:eastAsia="Arial" w:hAnsi="Arial"/>
          <w:b/>
          <w:bCs/>
          <w:color w:val="1A6B4A"/>
          <w:sz w:val="36"/>
          <w:szCs w:val="36"/>
        </w:rPr>
        <w:t xml:space="preserve">Key Takeaway</w:t>
      </w:r>
    </w:p>
    <w:p>
      <w:pPr>
        <w:spacing w:before="60" w:after="80"/>
      </w:pPr>
      <w:r>
        <w:rPr>
          <w:rFonts w:ascii="Arial" w:cs="Arial" w:eastAsia="Arial" w:hAnsi="Arial"/>
          <w:color w:val="1A1A1A"/>
          <w:sz w:val="22"/>
          <w:szCs w:val="22"/>
        </w:rPr>
        <w:t xml:space="preserve">The single highest-leverage action before Event 1 is resolving the laptop-as-kiosk UX model explicitly. The PRD was written assuming a self-service touchscreen, and this deployment is fundamentally different. Several requirements — CAP-09 follow-up questions, the idle ticker timer, the touch target sizing NFR — were designed for that model and need deliberate re-evaluation before going live.</w:t>
      </w:r>
    </w:p>
    <w:p>
      <w:pPr>
        <w:spacing w:before="60" w:after="60"/>
      </w:pPr>
    </w:p>
    <w:p>
      <w:pPr>
        <w:spacing w:before="60" w:after="80"/>
      </w:pPr>
      <w:r>
        <w:rPr>
          <w:rFonts w:ascii="Arial" w:cs="Arial" w:eastAsia="Arial" w:hAnsi="Arial"/>
          <w:color w:val="1A1A1A"/>
          <w:sz w:val="22"/>
          <w:szCs w:val="22"/>
        </w:rPr>
        <w:t xml:space="preserve">A two-person team (one operator, one screen monitor) and a mandatory day-before rehearsal with the real seed config will eliminate or significantly reduce the five high-probability risks identified in this document.</w:t>
      </w:r>
    </w:p>
    <w:p>
      <w:pPr>
        <w:spacing w:before="120" w:after="120"/>
      </w:pPr>
    </w:p>
    <w:p>
      <w:pPr>
        <w:pBdr>
          <w:top w:val="single" w:color="C2E0CF" w:sz="4"/>
        </w:pBdr>
        <w:spacing w:before="40" w:after="0"/>
      </w:pPr>
      <w:r>
        <w:rPr>
          <w:rFonts w:ascii="Arial" w:cs="Arial" w:eastAsia="Arial" w:hAnsi="Arial"/>
          <w:i/>
          <w:iCs/>
          <w:color w:val="555555"/>
          <w:sz w:val="16"/>
          <w:szCs w:val="16"/>
        </w:rPr>
        <w:t xml:space="preserve">Emerald Feedback Wall — Practical Risk Analysis v1.0 — March 2026 — Internal Draft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E0CF" w:sz="4"/>
      </w:pBdr>
      <w:tabs>
        <w:tab w:val="right" w:pos="9026"/>
      </w:tabs>
      <w:spacing w:before="80"/>
    </w:pPr>
    <w:r>
      <w:rPr>
        <w:rFonts w:ascii="Arial" w:cs="Arial" w:eastAsia="Arial" w:hAnsi="Arial"/>
        <w:color w:val="555555"/>
        <w:sz w:val="16"/>
        <w:szCs w:val="16"/>
      </w:rPr>
      <w:t xml:space="preserve">Internal use only  ·  Emerald Product &amp; Engineering</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4A" w:sz="4"/>
      </w:pBdr>
      <w:spacing w:after="80"/>
    </w:pPr>
    <w:r>
      <w:rPr>
        <w:rFonts w:ascii="Arial" w:cs="Arial" w:eastAsia="Arial" w:hAnsi="Arial"/>
        <w:color w:val="555555"/>
        <w:sz w:val="18"/>
        <w:szCs w:val="18"/>
      </w:rPr>
      <w:t xml:space="preserve">Emerald Feedback Wall  ·  Practical Risk Analysis</w:t>
    </w:r>
    <w:r>
      <w:rPr>
        <w:rFonts w:ascii="Arial" w:cs="Arial" w:eastAsia="Arial" w:hAnsi="Arial"/>
        <w:i/>
        <w:iCs/>
        <w:color w:val="555555"/>
        <w:sz w:val="18"/>
        <w:szCs w:val="18"/>
      </w:rPr>
      <w:t xml:space="preserve">  |  March 2026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6B4A"/>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2026-03-15T14:34:47.031Z</dcterms:created>
  <dcterms:modified xsi:type="dcterms:W3CDTF">2026-03-15T14:34:47.031Z</dcterms:modified>
</cp:coreProperties>
</file>

<file path=docProps/custom.xml><?xml version="1.0" encoding="utf-8"?>
<Properties xmlns="http://schemas.openxmlformats.org/officeDocument/2006/custom-properties" xmlns:vt="http://schemas.openxmlformats.org/officeDocument/2006/docPropsVTypes"/>
</file>