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uc-005-lending-ops"/>
    <w:p>
      <w:pPr>
        <w:pStyle w:val="Heading1"/>
      </w:pPr>
      <w:r>
        <w:t xml:space="preserve">UC-005: Lending Ops</w:t>
      </w:r>
    </w:p>
    <w:bookmarkStart w:id="9" w:name="document-control"/>
    <w:p>
      <w:pPr>
        <w:pStyle w:val="Heading2"/>
      </w:pPr>
      <w:r>
        <w:t xml:space="preserve">Document Control</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Property</w:t>
            </w:r>
          </w:p>
        </w:tc>
        <w:tc>
          <w:tcPr/>
          <w:p>
            <w:pPr>
              <w:pStyle w:val="Compact"/>
            </w:pPr>
            <w:r>
              <w:t xml:space="preserve">Value</w:t>
            </w:r>
          </w:p>
        </w:tc>
      </w:tr>
      <w:tr>
        <w:tc>
          <w:tcPr/>
          <w:p>
            <w:pPr>
              <w:pStyle w:val="Compact"/>
            </w:pPr>
            <w:r>
              <w:rPr>
                <w:b/>
                <w:bCs/>
              </w:rPr>
              <w:t xml:space="preserve">Use Case ID</w:t>
            </w:r>
          </w:p>
        </w:tc>
        <w:tc>
          <w:tcPr/>
          <w:p>
            <w:pPr>
              <w:pStyle w:val="Compact"/>
            </w:pPr>
            <w:r>
              <w:rPr>
                <w:rStyle w:val="VerbatimChar"/>
              </w:rPr>
              <w:t xml:space="preserve">UC-005</w:t>
            </w:r>
          </w:p>
        </w:tc>
      </w:tr>
      <w:tr>
        <w:tc>
          <w:tcPr/>
          <w:p>
            <w:pPr>
              <w:pStyle w:val="Compact"/>
            </w:pPr>
            <w:r>
              <w:rPr>
                <w:b/>
                <w:bCs/>
              </w:rPr>
              <w:t xml:space="preserve">Use Case Name</w:t>
            </w:r>
          </w:p>
        </w:tc>
        <w:tc>
          <w:tcPr/>
          <w:p>
            <w:pPr>
              <w:pStyle w:val="Compact"/>
            </w:pPr>
            <w:r>
              <w:t xml:space="preserve">Lending Ops</w:t>
            </w:r>
          </w:p>
        </w:tc>
      </w:tr>
      <w:tr>
        <w:tc>
          <w:tcPr/>
          <w:p>
            <w:pPr>
              <w:pStyle w:val="Compact"/>
            </w:pPr>
            <w:r>
              <w:rPr>
                <w:b/>
                <w:bCs/>
              </w:rPr>
              <w:t xml:space="preserve">Version</w:t>
            </w:r>
          </w:p>
        </w:tc>
        <w:tc>
          <w:tcPr/>
          <w:p>
            <w:pPr>
              <w:pStyle w:val="Compact"/>
            </w:pPr>
            <w:r>
              <w:rPr>
                <w:rStyle w:val="VerbatimChar"/>
              </w:rPr>
              <w:t xml:space="preserve">1.0.0</w:t>
            </w:r>
          </w:p>
        </w:tc>
      </w:tr>
      <w:tr>
        <w:tc>
          <w:tcPr/>
          <w:p>
            <w:pPr>
              <w:pStyle w:val="Compact"/>
            </w:pPr>
            <w:r>
              <w:rPr>
                <w:b/>
                <w:bCs/>
              </w:rPr>
              <w:t xml:space="preserve">Status</w:t>
            </w:r>
          </w:p>
        </w:tc>
        <w:tc>
          <w:tcPr/>
          <w:p>
            <w:pPr>
              <w:pStyle w:val="Compact"/>
            </w:pPr>
            <w:r>
              <w:rPr>
                <w:rStyle w:val="VerbatimChar"/>
              </w:rPr>
              <w:t xml:space="preserve">Draft</w:t>
            </w:r>
          </w:p>
        </w:tc>
      </w:tr>
      <w:tr>
        <w:tc>
          <w:tcPr/>
          <w:p>
            <w:pPr>
              <w:pStyle w:val="Compact"/>
            </w:pPr>
            <w:r>
              <w:rPr>
                <w:b/>
                <w:bCs/>
              </w:rPr>
              <w:t xml:space="preserve">Created Date</w:t>
            </w:r>
          </w:p>
        </w:tc>
        <w:tc>
          <w:tcPr/>
          <w:p>
            <w:pPr>
              <w:pStyle w:val="Compact"/>
            </w:pPr>
            <w:r>
              <w:rPr>
                <w:rStyle w:val="VerbatimChar"/>
              </w:rPr>
              <w:t xml:space="preserve">2025-12-06</w:t>
            </w:r>
          </w:p>
        </w:tc>
      </w:tr>
      <w:tr>
        <w:tc>
          <w:tcPr/>
          <w:p>
            <w:pPr>
              <w:pStyle w:val="Compact"/>
            </w:pPr>
            <w:r>
              <w:rPr>
                <w:b/>
                <w:bCs/>
              </w:rPr>
              <w:t xml:space="preserve">Last Modified</w:t>
            </w:r>
          </w:p>
        </w:tc>
        <w:tc>
          <w:tcPr/>
          <w:p>
            <w:pPr>
              <w:pStyle w:val="Compact"/>
            </w:pPr>
            <w:r>
              <w:rPr>
                <w:rStyle w:val="VerbatimChar"/>
              </w:rPr>
              <w:t xml:space="preserve">2025-12-06</w:t>
            </w:r>
          </w:p>
        </w:tc>
      </w:tr>
      <w:tr>
        <w:tc>
          <w:tcPr/>
          <w:p>
            <w:pPr>
              <w:pStyle w:val="Compact"/>
            </w:pPr>
            <w:r>
              <w:rPr>
                <w:b/>
                <w:bCs/>
              </w:rPr>
              <w:t xml:space="preserve">Owner</w:t>
            </w:r>
          </w:p>
        </w:tc>
        <w:tc>
          <w:tcPr/>
          <w:p>
            <w:pPr>
              <w:pStyle w:val="Compact"/>
            </w:pPr>
            <w:r>
              <w:t xml:space="preserve">Lending &amp; Credit Operations</w:t>
            </w:r>
          </w:p>
        </w:tc>
      </w:tr>
      <w:tr>
        <w:tc>
          <w:tcPr/>
          <w:p>
            <w:pPr>
              <w:pStyle w:val="Compact"/>
            </w:pPr>
            <w:r>
              <w:rPr>
                <w:b/>
                <w:bCs/>
              </w:rPr>
              <w:t xml:space="preserve">Enterprise Architect</w:t>
            </w:r>
          </w:p>
        </w:tc>
        <w:tc>
          <w:tcPr/>
          <w:p>
            <w:pPr>
              <w:pStyle w:val="Compact"/>
            </w:pPr>
            <w:r>
              <w:t xml:space="preserve">TBD</w:t>
            </w:r>
          </w:p>
        </w:tc>
      </w:tr>
      <w:tr>
        <w:tc>
          <w:tcPr/>
          <w:p>
            <w:pPr>
              <w:pStyle w:val="Compact"/>
            </w:pPr>
            <w:r>
              <w:rPr>
                <w:b/>
                <w:bCs/>
              </w:rPr>
              <w:t xml:space="preserve">Product Owner</w:t>
            </w:r>
          </w:p>
        </w:tc>
        <w:tc>
          <w:tcPr/>
          <w:p>
            <w:pPr>
              <w:pStyle w:val="Compact"/>
            </w:pPr>
            <w:r>
              <w:t xml:space="preserve">TBD</w:t>
            </w:r>
          </w:p>
        </w:tc>
      </w:tr>
      <w:tr>
        <w:tc>
          <w:tcPr/>
          <w:p>
            <w:pPr>
              <w:pStyle w:val="Compact"/>
            </w:pPr>
            <w:r>
              <w:rPr>
                <w:b/>
                <w:bCs/>
              </w:rPr>
              <w:t xml:space="preserve">Executive Sponsor</w:t>
            </w:r>
          </w:p>
        </w:tc>
        <w:tc>
          <w:tcPr/>
          <w:p>
            <w:pPr>
              <w:pStyle w:val="Compact"/>
            </w:pPr>
            <w:r>
              <w:t xml:space="preserve">TBD</w:t>
            </w:r>
          </w:p>
        </w:tc>
      </w:tr>
    </w:tbl>
    <w:p>
      <w:r>
        <w:pict>
          <v:rect style="width:0;height:1.5pt" o:hralign="center" o:hrstd="t" o:hr="t"/>
        </w:pict>
      </w:r>
    </w:p>
    <w:bookmarkEnd w:id="9"/>
    <w:bookmarkStart w:id="12" w:name="executive-summary"/>
    <w:p>
      <w:pPr>
        <w:pStyle w:val="Heading2"/>
      </w:pPr>
      <w:r>
        <w:t xml:space="preserve">1. Executive Summary</w:t>
      </w:r>
    </w:p>
    <w:bookmarkStart w:id="10" w:name="use-case-overview"/>
    <w:p>
      <w:pPr>
        <w:pStyle w:val="Heading3"/>
      </w:pPr>
      <w:r>
        <w:t xml:space="preserve">1.1 Use Case Overview</w:t>
      </w:r>
    </w:p>
    <w:p>
      <w:pPr>
        <w:pStyle w:val="FirstParagraph"/>
      </w:pPr>
      <w:r>
        <w:rPr>
          <w:b/>
          <w:bCs/>
        </w:rPr>
        <w:t xml:space="preserve">One-Line Summary</w:t>
      </w:r>
      <w:r>
        <w:t xml:space="preserve">:</w:t>
      </w:r>
      <w:r>
        <w:t xml:space="preserve"> </w:t>
      </w:r>
      <w:r>
        <w:t xml:space="preserve">AI Document Processing for Loan Applications &amp; Compliance.</w:t>
      </w:r>
    </w:p>
    <w:p>
      <w:pPr>
        <w:pStyle w:val="BodyText"/>
      </w:pPr>
      <w:r>
        <w:rPr>
          <w:b/>
          <w:bCs/>
        </w:rPr>
        <w:t xml:space="preserve">Business Problem</w:t>
      </w:r>
      <w:r>
        <w:t xml:space="preserve">:</w:t>
      </w:r>
      <w:r>
        <w:t xml:space="preserve"> </w:t>
      </w:r>
      <w:r>
        <w:t xml:space="preserve">Processing time reduction for loan applications; Improved accuracy reducing rework; Enhanced compliance with automated validation; Reduced operational costs; Faster time-to-yes improving customer satisfaction</w:t>
      </w:r>
    </w:p>
    <w:p>
      <w:pPr>
        <w:pStyle w:val="BodyText"/>
      </w:pPr>
      <w:r>
        <w:rPr>
          <w:b/>
          <w:bCs/>
        </w:rPr>
        <w:t xml:space="preserve">AI Solution</w:t>
      </w:r>
      <w:r>
        <w:t xml:space="preserve">:</w:t>
      </w:r>
      <w:r>
        <w:t xml:space="preserve"> </w:t>
      </w:r>
      <w:r>
        <w:t xml:space="preserve">Intelligent Document Processing (IDP) system combining OCR, NLP, and RPA to automate loan application handling. Extracts, categorizes, and validates data from applications, bank statements, credit reports, and income verification with 99% accuracy. Reduces processing from 5-7 days to 24-48 hours, enables 3-4x more applications with same staff, cuts operational costs 30-50%, and improves fraud detection by 50%.</w:t>
      </w:r>
    </w:p>
    <w:p>
      <w:pPr>
        <w:pStyle w:val="BodyText"/>
      </w:pPr>
      <w:r>
        <w:rPr>
          <w:b/>
          <w:bCs/>
        </w:rPr>
        <w:t xml:space="preserve">Expected Outcomes</w:t>
      </w:r>
      <w:r>
        <w:t xml:space="preserve">:</w:t>
      </w:r>
      <w:r>
        <w:t xml:space="preserve"> </w:t>
      </w:r>
      <w:r>
        <w:t xml:space="preserve">- Improved efficiency</w:t>
      </w:r>
      <w:r>
        <w:t xml:space="preserve"> </w:t>
      </w:r>
      <w:r>
        <w:t xml:space="preserve">- Cost reduction</w:t>
      </w:r>
      <w:r>
        <w:t xml:space="preserve"> </w:t>
      </w:r>
      <w:r>
        <w:t xml:space="preserve">- Enhanced outcomes</w:t>
      </w:r>
    </w:p>
    <w:bookmarkEnd w:id="10"/>
    <w:bookmarkStart w:id="11" w:name="strategic-alignment"/>
    <w:p>
      <w:pPr>
        <w:pStyle w:val="Heading3"/>
      </w:pPr>
      <w:r>
        <w:t xml:space="preserve">1.2 Strategic Alignment</w:t>
      </w:r>
    </w:p>
    <w:p>
      <w:pPr>
        <w:pStyle w:val="FirstParagraph"/>
      </w:pPr>
      <w:r>
        <w:rPr>
          <w:b/>
          <w:bCs/>
        </w:rPr>
        <w:t xml:space="preserve">Business Category</w:t>
      </w:r>
      <w:r>
        <w:t xml:space="preserve">:</w:t>
      </w:r>
      <w:r>
        <w:t xml:space="preserve"> </w:t>
      </w:r>
      <w:r>
        <w:t xml:space="preserve">Lending &amp; Credit Operations</w:t>
      </w:r>
    </w:p>
    <w:p>
      <w:pPr>
        <w:pStyle w:val="BodyText"/>
      </w:pPr>
      <w:r>
        <w:rPr>
          <w:b/>
          <w:bCs/>
        </w:rPr>
        <w:t xml:space="preserve">Strategic Themes</w:t>
      </w:r>
      <w:r>
        <w:t xml:space="preserve">:</w:t>
      </w:r>
      <w:r>
        <w:t xml:space="preserve"> </w:t>
      </w:r>
      <w:r>
        <w:t xml:space="preserve">- [ ] Customer Experience Excellence</w:t>
      </w:r>
      <w:r>
        <w:t xml:space="preserve"> </w:t>
      </w:r>
      <w:r>
        <w:t xml:space="preserve">- [ ] Operational Efficiency &amp; Automation</w:t>
      </w:r>
      <w:r>
        <w:t xml:space="preserve"> </w:t>
      </w:r>
      <w:r>
        <w:t xml:space="preserve">- [ ] Risk &amp; Compliance Excellence</w:t>
      </w:r>
      <w:r>
        <w:t xml:space="preserve"> </w:t>
      </w:r>
      <w:r>
        <w:t xml:space="preserve">- [ ] Data-Driven Decision Making</w:t>
      </w:r>
      <w:r>
        <w:t xml:space="preserve"> </w:t>
      </w:r>
      <w:r>
        <w:t xml:space="preserve">- [ ] Innovation &amp; Competitive Differentiation</w:t>
      </w:r>
    </w:p>
    <w:p>
      <w:pPr>
        <w:pStyle w:val="BodyText"/>
      </w:pPr>
      <w:r>
        <w:rPr>
          <w:b/>
          <w:bCs/>
        </w:rPr>
        <w:t xml:space="preserve">Alignment Statement</w:t>
      </w:r>
      <w:r>
        <w:t xml:space="preserve">:</w:t>
      </w:r>
      <w:r>
        <w:t xml:space="preserve"> </w:t>
      </w:r>
      <w:r>
        <w:t xml:space="preserve">This use case supports BNZ’s strategic objectives in Lending &amp; Credit Operations.</w:t>
      </w:r>
    </w:p>
    <w:p>
      <w:r>
        <w:pict>
          <v:rect style="width:0;height:1.5pt" o:hralign="center" o:hrstd="t" o:hr="t"/>
        </w:pict>
      </w:r>
    </w:p>
    <w:bookmarkEnd w:id="11"/>
    <w:bookmarkEnd w:id="12"/>
    <w:bookmarkStart w:id="15" w:name="business-case"/>
    <w:p>
      <w:pPr>
        <w:pStyle w:val="Heading2"/>
      </w:pPr>
      <w:r>
        <w:t xml:space="preserve">2. Business Case</w:t>
      </w:r>
    </w:p>
    <w:bookmarkStart w:id="13" w:name="business-value"/>
    <w:p>
      <w:pPr>
        <w:pStyle w:val="Heading3"/>
      </w:pPr>
      <w:r>
        <w:t xml:space="preserve">2.1 Business Value</w:t>
      </w:r>
    </w:p>
    <w:p>
      <w:pPr>
        <w:pStyle w:val="FirstParagraph"/>
      </w:pPr>
      <w:r>
        <w:rPr>
          <w:b/>
          <w:bCs/>
        </w:rPr>
        <w:t xml:space="preserve">Value Type</w:t>
      </w:r>
      <w:r>
        <w:t xml:space="preserve">:</w:t>
      </w:r>
      <w:r>
        <w:t xml:space="preserve"> </w:t>
      </w:r>
      <w:r>
        <w:t xml:space="preserve">- [x] Revenue Growth</w:t>
      </w:r>
      <w:r>
        <w:t xml:space="preserve"> </w:t>
      </w:r>
      <w:r>
        <w:t xml:space="preserve">- [x] Cost Reduction</w:t>
      </w:r>
      <w:r>
        <w:t xml:space="preserve"> </w:t>
      </w:r>
      <w:r>
        <w:t xml:space="preserve">- [x] Customer Experience Improvement</w:t>
      </w:r>
    </w:p>
    <w:p>
      <w:pPr>
        <w:pStyle w:val="BodyText"/>
      </w:pPr>
      <w:r>
        <w:rPr>
          <w:b/>
          <w:bCs/>
        </w:rPr>
        <w:t xml:space="preserve">Quantified Benefits</w:t>
      </w:r>
      <w:r>
        <w:t xml:space="preserve">:</w:t>
      </w:r>
      <w:r>
        <w:t xml:space="preserve"> </w:t>
      </w:r>
      <w:r>
        <w:t xml:space="preserve">See detailed business case above.</w:t>
      </w:r>
    </w:p>
    <w:p>
      <w:pPr>
        <w:pStyle w:val="BodyText"/>
      </w:pPr>
      <w:r>
        <w:rPr>
          <w:b/>
          <w:bCs/>
        </w:rPr>
        <w:t xml:space="preserve">Total Annual Benefit</w:t>
      </w:r>
      <w:r>
        <w:t xml:space="preserve">: $2-4M</w:t>
      </w:r>
    </w:p>
    <w:bookmarkEnd w:id="13"/>
    <w:bookmarkStart w:id="14" w:name="cost-estimate"/>
    <w:p>
      <w:pPr>
        <w:pStyle w:val="Heading3"/>
      </w:pPr>
      <w:r>
        <w:t xml:space="preserve">2.2 Cost Estimate</w:t>
      </w:r>
    </w:p>
    <w:p>
      <w:pPr>
        <w:pStyle w:val="FirstParagraph"/>
      </w:pPr>
      <w:r>
        <w:rPr>
          <w:b/>
          <w:bCs/>
        </w:rPr>
        <w:t xml:space="preserve">Development Costs</w:t>
      </w:r>
      <w:r>
        <w:t xml:space="preserve">: $300K-500K (estimated)</w:t>
      </w:r>
      <w:r>
        <w:t xml:space="preserve"> </w:t>
      </w:r>
      <w:r>
        <w:rPr>
          <w:b/>
          <w:bCs/>
        </w:rPr>
        <w:t xml:space="preserve">Ongoing Costs</w:t>
      </w:r>
      <w:r>
        <w:t xml:space="preserve"> </w:t>
      </w:r>
      <w:r>
        <w:t xml:space="preserve">(Annual): $100K-200K per year</w:t>
      </w:r>
      <w:r>
        <w:t xml:space="preserve"> </w:t>
      </w:r>
      <w:r>
        <w:rPr>
          <w:b/>
          <w:bCs/>
        </w:rPr>
        <w:t xml:space="preserve">Investment Payback Period</w:t>
      </w:r>
      <w:r>
        <w:t xml:space="preserve">: 12-18 months</w:t>
      </w:r>
      <w:r>
        <w:t xml:space="preserve"> </w:t>
      </w:r>
      <w:r>
        <w:rPr>
          <w:b/>
          <w:bCs/>
        </w:rPr>
        <w:t xml:space="preserve">3-Year ROI</w:t>
      </w:r>
      <w:r>
        <w:t xml:space="preserve">: 200-400% over 3 years</w:t>
      </w:r>
    </w:p>
    <w:p>
      <w:r>
        <w:pict>
          <v:rect style="width:0;height:1.5pt" o:hralign="center" o:hrstd="t" o:hr="t"/>
        </w:pict>
      </w:r>
    </w:p>
    <w:bookmarkEnd w:id="14"/>
    <w:bookmarkEnd w:id="15"/>
    <w:bookmarkStart w:id="17" w:name="target-state-solution"/>
    <w:p>
      <w:pPr>
        <w:pStyle w:val="Heading2"/>
      </w:pPr>
      <w:r>
        <w:t xml:space="preserve">3. Target State Solution</w:t>
      </w:r>
    </w:p>
    <w:bookmarkStart w:id="16" w:name="solution-overview"/>
    <w:p>
      <w:pPr>
        <w:pStyle w:val="Heading3"/>
      </w:pPr>
      <w:r>
        <w:t xml:space="preserve">3.1 Solution Overview</w:t>
      </w:r>
    </w:p>
    <w:p>
      <w:pPr>
        <w:pStyle w:val="FirstParagraph"/>
      </w:pPr>
      <w:r>
        <w:rPr>
          <w:b/>
          <w:bCs/>
        </w:rPr>
        <w:t xml:space="preserve">AI/ML Approach</w:t>
      </w:r>
      <w:r>
        <w:t xml:space="preserve">:</w:t>
      </w:r>
      <w:r>
        <w:t xml:space="preserve"> </w:t>
      </w:r>
      <w:r>
        <w:t xml:space="preserve">Combination of GenAI, ML, and specialized AI techniques.</w:t>
      </w:r>
    </w:p>
    <w:p>
      <w:pPr>
        <w:pStyle w:val="BodyText"/>
      </w:pPr>
      <w:r>
        <w:rPr>
          <w:b/>
          <w:bCs/>
        </w:rPr>
        <w:t xml:space="preserve">Solution Components</w:t>
      </w:r>
      <w:r>
        <w:t xml:space="preserve">:</w:t>
      </w:r>
      <w:r>
        <w:t xml:space="preserve"> </w:t>
      </w:r>
      <w:r>
        <w:t xml:space="preserve">1. Core AI engine</w:t>
      </w:r>
      <w:r>
        <w:t xml:space="preserve"> </w:t>
      </w:r>
      <w:r>
        <w:t xml:space="preserve">2. Data integration</w:t>
      </w:r>
      <w:r>
        <w:t xml:space="preserve"> </w:t>
      </w:r>
      <w:r>
        <w:t xml:space="preserve">3. User interface</w:t>
      </w:r>
    </w:p>
    <w:p>
      <w:r>
        <w:pict>
          <v:rect style="width:0;height:1.5pt" o:hralign="center" o:hrstd="t" o:hr="t"/>
        </w:pict>
      </w:r>
    </w:p>
    <w:bookmarkEnd w:id="16"/>
    <w:bookmarkEnd w:id="17"/>
    <w:bookmarkStart w:id="23" w:name="architecture-patterns"/>
    <w:p>
      <w:pPr>
        <w:pStyle w:val="Heading2"/>
      </w:pPr>
      <w:r>
        <w:t xml:space="preserve">4. Architecture Patterns</w:t>
      </w:r>
    </w:p>
    <w:p>
      <w:pPr>
        <w:pStyle w:val="FirstParagraph"/>
      </w:pPr>
      <w:r>
        <w:rPr>
          <w:b/>
          <w:bCs/>
        </w:rPr>
        <w:t xml:space="preserve">Primary Patterns Used</w:t>
      </w:r>
      <w:r>
        <w:t xml:space="preserve">:</w:t>
      </w:r>
    </w:p>
    <w:p>
      <w:pPr>
        <w:pStyle w:val="BodyText"/>
      </w:pPr>
      <w:hyperlink r:id="rId18">
        <w:r>
          <w:rPr>
            <w:rStyle w:val="Hyperlink"/>
          </w:rPr>
          <w:t xml:space="preserve">PT-011</w:t>
        </w:r>
      </w:hyperlink>
      <w:r>
        <w:t xml:space="preserve"> </w:t>
      </w:r>
      <w:r>
        <w:t xml:space="preserve">| Intelligent Document Processing |</w:t>
      </w:r>
      <w:r>
        <w:t xml:space="preserve"> </w:t>
      </w:r>
      <w:hyperlink r:id="rId18">
        <w:r>
          <w:rPr>
            <w:rStyle w:val="Hyperlink"/>
          </w:rPr>
          <w:t xml:space="preserve">View Pattern</w:t>
        </w:r>
      </w:hyperlink>
      <w:r>
        <w:t xml:space="preserve"> </w:t>
      </w:r>
      <w:r>
        <w:t xml:space="preserve">|</w:t>
      </w:r>
      <w:r>
        <w:br/>
      </w:r>
      <w:hyperlink r:id="rId19">
        <w:r>
          <w:rPr>
            <w:rStyle w:val="Hyperlink"/>
          </w:rPr>
          <w:t xml:space="preserve">PT-005</w:t>
        </w:r>
      </w:hyperlink>
      <w:r>
        <w:t xml:space="preserve"> </w:t>
      </w:r>
      <w:r>
        <w:t xml:space="preserve">| Retrieval-Augmented Generation |</w:t>
      </w:r>
      <w:r>
        <w:t xml:space="preserve"> </w:t>
      </w:r>
      <w:hyperlink r:id="rId19">
        <w:r>
          <w:rPr>
            <w:rStyle w:val="Hyperlink"/>
          </w:rPr>
          <w:t xml:space="preserve">View Pattern</w:t>
        </w:r>
      </w:hyperlink>
      <w:r>
        <w:t xml:space="preserve"> </w:t>
      </w:r>
      <w:r>
        <w:t xml:space="preserve">|</w:t>
      </w:r>
      <w:r>
        <w:br/>
      </w:r>
      <w:hyperlink r:id="rId20">
        <w:r>
          <w:rPr>
            <w:rStyle w:val="Hyperlink"/>
          </w:rPr>
          <w:t xml:space="preserve">PT-007</w:t>
        </w:r>
      </w:hyperlink>
      <w:r>
        <w:t xml:space="preserve"> </w:t>
      </w:r>
      <w:r>
        <w:t xml:space="preserve">| Agentic AI |</w:t>
      </w:r>
      <w:r>
        <w:t xml:space="preserve"> </w:t>
      </w:r>
      <w:hyperlink r:id="rId20">
        <w:r>
          <w:rPr>
            <w:rStyle w:val="Hyperlink"/>
          </w:rPr>
          <w:t xml:space="preserve">View Pattern</w:t>
        </w:r>
      </w:hyperlink>
      <w:r>
        <w:t xml:space="preserve"> </w:t>
      </w:r>
      <w:r>
        <w:t xml:space="preserve">|</w:t>
      </w:r>
      <w:r>
        <w:br/>
      </w:r>
      <w:hyperlink r:id="rId21">
        <w:r>
          <w:rPr>
            <w:rStyle w:val="Hyperlink"/>
          </w:rPr>
          <w:t xml:space="preserve">PT-018</w:t>
        </w:r>
      </w:hyperlink>
      <w:r>
        <w:t xml:space="preserve"> </w:t>
      </w:r>
      <w:r>
        <w:t xml:space="preserve">| Security &amp; Privacy |</w:t>
      </w:r>
      <w:r>
        <w:t xml:space="preserve"> </w:t>
      </w:r>
      <w:hyperlink r:id="rId21">
        <w:r>
          <w:rPr>
            <w:rStyle w:val="Hyperlink"/>
          </w:rPr>
          <w:t xml:space="preserve">View Pattern</w:t>
        </w:r>
      </w:hyperlink>
      <w:r>
        <w:t xml:space="preserve"> </w:t>
      </w:r>
      <w:r>
        <w:t xml:space="preserve">|</w:t>
      </w:r>
      <w:r>
        <w:br/>
      </w:r>
      <w:hyperlink r:id="rId22">
        <w:r>
          <w:rPr>
            <w:rStyle w:val="Hyperlink"/>
          </w:rPr>
          <w:t xml:space="preserve">PT-001</w:t>
        </w:r>
      </w:hyperlink>
      <w:r>
        <w:t xml:space="preserve"> </w:t>
      </w:r>
      <w:r>
        <w:t xml:space="preserve">| Enterprise AI Governance |</w:t>
      </w:r>
      <w:r>
        <w:t xml:space="preserve"> </w:t>
      </w:r>
      <w:hyperlink r:id="rId22">
        <w:r>
          <w:rPr>
            <w:rStyle w:val="Hyperlink"/>
          </w:rPr>
          <w:t xml:space="preserve">View Pattern</w:t>
        </w:r>
      </w:hyperlink>
      <w:r>
        <w:t xml:space="preserve"> </w:t>
      </w:r>
      <w:r>
        <w:t xml:space="preserve">|</w:t>
      </w:r>
    </w:p>
    <w:p>
      <w:pPr>
        <w:pStyle w:val="BodyText"/>
      </w:pPr>
      <w:r>
        <w:rPr>
          <w:b/>
          <w:bCs/>
        </w:rPr>
        <w:t xml:space="preserve">Total ABB Count</w:t>
      </w:r>
      <w:r>
        <w:t xml:space="preserve">: 10 ABBs</w:t>
      </w:r>
    </w:p>
    <w:p>
      <w:r>
        <w:pict>
          <v:rect style="width:0;height:1.5pt" o:hralign="center" o:hrstd="t" o:hr="t"/>
        </w:pict>
      </w:r>
    </w:p>
    <w:bookmarkEnd w:id="23"/>
    <w:bookmarkStart w:id="24" w:name="implementation-plan"/>
    <w:p>
      <w:pPr>
        <w:pStyle w:val="Heading2"/>
      </w:pPr>
      <w:r>
        <w:t xml:space="preserve">5. Implementation Plan</w:t>
      </w:r>
    </w:p>
    <w:p>
      <w:pPr>
        <w:pStyle w:val="FirstParagraph"/>
      </w:pPr>
      <w:r>
        <w:rPr>
          <w:b/>
          <w:bCs/>
        </w:rPr>
        <w:t xml:space="preserve">Delivery Timeline</w:t>
      </w:r>
      <w:r>
        <w:t xml:space="preserve">: 5 months</w:t>
      </w:r>
      <w:r>
        <w:t xml:space="preserve"> </w:t>
      </w:r>
      <w:r>
        <w:rPr>
          <w:b/>
          <w:bCs/>
        </w:rPr>
        <w:t xml:space="preserve">Recommended Wave</w:t>
      </w:r>
      <w:r>
        <w:t xml:space="preserve">: Wave 2</w:t>
      </w:r>
    </w:p>
    <w:p>
      <w:r>
        <w:pict>
          <v:rect style="width:0;height:1.5pt" o:hralign="center" o:hrstd="t" o:hr="t"/>
        </w:pict>
      </w:r>
    </w:p>
    <w:bookmarkEnd w:id="24"/>
    <w:bookmarkStart w:id="27" w:name="prioritization-scoring"/>
    <w:p>
      <w:pPr>
        <w:pStyle w:val="Heading2"/>
      </w:pPr>
      <w:r>
        <w:t xml:space="preserve">6. Prioritization Scoring</w:t>
      </w:r>
    </w:p>
    <w:bookmarkStart w:id="25" w:name="wsjf-score"/>
    <w:p>
      <w:pPr>
        <w:pStyle w:val="Heading3"/>
      </w:pPr>
      <w:r>
        <w:t xml:space="preserve">6.1 WSJF Score</w:t>
      </w:r>
    </w:p>
    <w:p>
      <w:pPr>
        <w:pStyle w:val="FirstParagraph"/>
      </w:pPr>
      <w:r>
        <w:rPr>
          <w:b/>
          <w:bCs/>
        </w:rPr>
        <w:t xml:space="preserve">WSJF Score</w:t>
      </w:r>
      <w:r>
        <w:t xml:space="preserve">:</w:t>
      </w:r>
      <w:r>
        <w:t xml:space="preserve"> </w:t>
      </w:r>
      <w:r>
        <w:rPr>
          <w:b/>
          <w:bCs/>
        </w:rPr>
        <w:t xml:space="preserve">7.5</w:t>
      </w:r>
    </w:p>
    <w:p>
      <w:pPr>
        <w:pStyle w:val="BodyText"/>
      </w:pPr>
      <w:r>
        <w:rPr>
          <w:b/>
          <w:bCs/>
        </w:rPr>
        <w:t xml:space="preserve">WSJF Rank</w:t>
      </w:r>
      <w:r>
        <w:t xml:space="preserve">: #8 of 24</w:t>
      </w:r>
    </w:p>
    <w:bookmarkEnd w:id="25"/>
    <w:bookmarkStart w:id="26" w:name="multi-dimensional-scoring"/>
    <w:p>
      <w:pPr>
        <w:pStyle w:val="Heading3"/>
      </w:pPr>
      <w:r>
        <w:t xml:space="preserve">6.2 Multi-Dimensional Scoring</w:t>
      </w:r>
    </w:p>
    <w:p>
      <w:pPr>
        <w:pStyle w:val="FirstParagraph"/>
      </w:pPr>
      <w:r>
        <w:rPr>
          <w:b/>
          <w:bCs/>
        </w:rPr>
        <w:t xml:space="preserve">Composite Priority Score</w:t>
      </w:r>
      <w:r>
        <w:t xml:space="preserve">:</w:t>
      </w:r>
      <w:r>
        <w:t xml:space="preserve"> </w:t>
      </w:r>
      <w:r>
        <w:rPr>
          <w:b/>
          <w:bCs/>
        </w:rPr>
        <w:t xml:space="preserve">8.0 / 10</w:t>
      </w:r>
    </w:p>
    <w:p>
      <w:pPr>
        <w:pStyle w:val="BodyText"/>
      </w:pPr>
      <w:r>
        <w:rPr>
          <w:b/>
          <w:bCs/>
        </w:rPr>
        <w:t xml:space="preserve">Priority Band</w:t>
      </w:r>
      <w:r>
        <w:t xml:space="preserve">: Priority 1 (8.0-10.0): Immediate implementation</w:t>
      </w:r>
    </w:p>
    <w:p>
      <w:r>
        <w:pict>
          <v:rect style="width:0;height:1.5pt" o:hralign="center" o:hrstd="t" o:hr="t"/>
        </w:pict>
      </w:r>
    </w:p>
    <w:bookmarkEnd w:id="26"/>
    <w:bookmarkEnd w:id="27"/>
    <w:bookmarkStart w:id="28" w:name="risk-management"/>
    <w:p>
      <w:pPr>
        <w:pStyle w:val="Heading2"/>
      </w:pPr>
      <w:r>
        <w:t xml:space="preserve">7. Risk Management</w:t>
      </w:r>
    </w:p>
    <w:p>
      <w:pPr>
        <w:pStyle w:val="FirstParagraph"/>
      </w:pPr>
      <w:r>
        <w:rPr>
          <w:b/>
          <w:bCs/>
        </w:rPr>
        <w:t xml:space="preserve">Model Risk Tier</w:t>
      </w:r>
      <w:r>
        <w:t xml:space="preserve">: Tier 2</w:t>
      </w:r>
    </w:p>
    <w:p>
      <w:r>
        <w:pict>
          <v:rect style="width:0;height:1.5pt" o:hralign="center" o:hrstd="t" o:hr="t"/>
        </w:pict>
      </w:r>
    </w:p>
    <w:bookmarkEnd w:id="28"/>
    <w:bookmarkStart w:id="29" w:name="success-metrics-kpis"/>
    <w:p>
      <w:pPr>
        <w:pStyle w:val="Heading2"/>
      </w:pPr>
      <w:r>
        <w:t xml:space="preserve">8. Success Metrics &amp; KPIs</w:t>
      </w:r>
    </w:p>
    <w:p>
      <w:pPr>
        <w:pStyle w:val="FirstParagraph"/>
      </w:pPr>
      <w:r>
        <w:t xml:space="preserve">Track business and technical KPIs (details TBD).</w:t>
      </w:r>
    </w:p>
    <w:p>
      <w:r>
        <w:pict>
          <v:rect style="width:0;height:1.5pt" o:hralign="center" o:hrstd="t" o:hr="t"/>
        </w:pict>
      </w:r>
    </w:p>
    <w:bookmarkEnd w:id="29"/>
    <w:bookmarkStart w:id="30" w:name="references"/>
    <w:p>
      <w:pPr>
        <w:pStyle w:val="Heading2"/>
      </w:pPr>
      <w:r>
        <w:t xml:space="preserve">9. References</w:t>
      </w:r>
    </w:p>
    <w:p>
      <w:pPr>
        <w:pStyle w:val="FirstParagraph"/>
      </w:pPr>
      <w:r>
        <w:rPr>
          <w:b/>
          <w:bCs/>
        </w:rPr>
        <w:t xml:space="preserve">Architecture Diagram</w:t>
      </w:r>
      <w:r>
        <w:t xml:space="preserve">: UC-005-Lending-Ops-Blueprint-v1.0.0.drawio</w:t>
      </w:r>
      <w:r>
        <w:t xml:space="preserve"> </w:t>
      </w:r>
      <w:r>
        <w:rPr>
          <w:b/>
          <w:bCs/>
        </w:rPr>
        <w:t xml:space="preserve">Sequence Diagram</w:t>
      </w:r>
      <w:r>
        <w:t xml:space="preserve">: SCN-5-Lending-Ops-Sequence-v1.0.0.drawio</w:t>
      </w:r>
    </w:p>
    <w:p>
      <w:r>
        <w:pict>
          <v:rect style="width:0;height:1.5pt" o:hralign="center" o:hrstd="t" o:hr="t"/>
        </w:pict>
      </w:r>
    </w:p>
    <w:p>
      <w:pPr>
        <w:pStyle w:val="FirstParagraph"/>
      </w:pPr>
      <w:r>
        <w:rPr>
          <w:b/>
          <w:bCs/>
        </w:rPr>
        <w:t xml:space="preserve">Use Case Status</w:t>
      </w:r>
      <w:r>
        <w:t xml:space="preserve">: Priority 1, Ready for Planning</w:t>
      </w:r>
      <w:r>
        <w:t xml:space="preserve"> </w:t>
      </w:r>
      <w:r>
        <w:rPr>
          <w:b/>
          <w:bCs/>
        </w:rPr>
        <w:t xml:space="preserve">Wave Assignment</w:t>
      </w:r>
      <w:r>
        <w:t xml:space="preserve">: Wave 2</w:t>
      </w:r>
    </w:p>
    <w:bookmarkEnd w:id="30"/>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03-building-blocks/patterns/PT-001/PT-001-Enterprise-AI-Governance-v1.0.0.md" TargetMode="External" /><Relationship Type="http://schemas.openxmlformats.org/officeDocument/2006/relationships/hyperlink" Id="rId19" Target="../../../../03-building-blocks/patterns/PT-005/PT-005-Retrieval-Augmented-Generation-v1.0.0.md" TargetMode="External" /><Relationship Type="http://schemas.openxmlformats.org/officeDocument/2006/relationships/hyperlink" Id="rId20" Target="../../../../03-building-blocks/patterns/PT-007/PT-007-Agentic-AI-v1.0.0.md" TargetMode="External" /><Relationship Type="http://schemas.openxmlformats.org/officeDocument/2006/relationships/hyperlink" Id="rId18" Target="../../../../03-building-blocks/patterns/PT-011/PT-011-Intelligent-Document-Processing-v1.0.0.md" TargetMode="External" /><Relationship Type="http://schemas.openxmlformats.org/officeDocument/2006/relationships/hyperlink" Id="rId21" Target="../../../../03-building-blocks/patterns/PT-018/PT-018-Security-Privacy-v1.0.0.md" TargetMode="External" /></Relationships>
</file>

<file path=word/_rels/footnotes.xml.rels><?xml version="1.0" encoding="UTF-8"?><Relationships xmlns="http://schemas.openxmlformats.org/package/2006/relationships"><Relationship Type="http://schemas.openxmlformats.org/officeDocument/2006/relationships/hyperlink" Id="rId22" Target="../../../../03-building-blocks/patterns/PT-001/PT-001-Enterprise-AI-Governance-v1.0.0.md" TargetMode="External" /><Relationship Type="http://schemas.openxmlformats.org/officeDocument/2006/relationships/hyperlink" Id="rId19" Target="../../../../03-building-blocks/patterns/PT-005/PT-005-Retrieval-Augmented-Generation-v1.0.0.md" TargetMode="External" /><Relationship Type="http://schemas.openxmlformats.org/officeDocument/2006/relationships/hyperlink" Id="rId20" Target="../../../../03-building-blocks/patterns/PT-007/PT-007-Agentic-AI-v1.0.0.md" TargetMode="External" /><Relationship Type="http://schemas.openxmlformats.org/officeDocument/2006/relationships/hyperlink" Id="rId18" Target="../../../../03-building-blocks/patterns/PT-011/PT-011-Intelligent-Document-Processing-v1.0.0.md" TargetMode="External" /><Relationship Type="http://schemas.openxmlformats.org/officeDocument/2006/relationships/hyperlink" Id="rId21" Target="../../../../03-building-blocks/patterns/PT-018/PT-018-Security-Privacy-v1.0.0.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2025-12-06T07:32:38Z</dcterms:created>
  <dcterms:modified xsi:type="dcterms:W3CDTF">2025-12-06T07:32:38Z</dcterms:modified>
</cp:coreProperties>
</file>

<file path=docProps/custom.xml><?xml version="1.0" encoding="utf-8"?>
<Properties xmlns="http://schemas.openxmlformats.org/officeDocument/2006/custom-properties" xmlns:vt="http://schemas.openxmlformats.org/officeDocument/2006/docPropsVTypes"/>
</file>