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uc-006-hyperpersonalization"/>
    <w:p>
      <w:pPr>
        <w:pStyle w:val="Heading1"/>
      </w:pPr>
      <w:r>
        <w:t xml:space="preserve">UC-006: HyperPersonalization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HyperPersonalization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Marketing &amp; Personalization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Generative AI enables new customer relevance through marketing reinvention.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Increased campaign conversion rates; Higher customer engagement and satisfaction scores; Improved product adoption; Reduced customer churn; Enhanced brand loyalty and NPS scores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Real-time hyper-personalization engine that analyzes customer behavior, predicts needs, and delivers individualized experiences across all touchpoints using GenAI. Creates dynamic, personalized content, offers, and recommendations in real-time based on micro-segments and life events. Achieves 25% improvement in customer satisfaction and 20-30% increase in cross-selling success through AI-driven insights and Adobe Sensei-powered analytics.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Marketing &amp; Personalization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Marketing &amp; Personalization.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$3-6M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PT-015</w:t>
        </w:r>
      </w:hyperlink>
      <w:r>
        <w:t xml:space="preserve"> </w:t>
      </w:r>
      <w:r>
        <w:t xml:space="preserve">| Event-Driven Architecture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PT-016</w:t>
        </w:r>
      </w:hyperlink>
      <w:r>
        <w:t xml:space="preserve"> </w:t>
      </w:r>
      <w:r>
        <w:t xml:space="preserve">| Stream Processing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PT-010</w:t>
        </w:r>
      </w:hyperlink>
      <w:r>
        <w:t xml:space="preserve"> </w:t>
      </w:r>
      <w:r>
        <w:t xml:space="preserve">| Champion-Challenger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6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6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18 ABBs</w:t>
      </w:r>
    </w:p>
    <w:p>
      <w:r>
        <w:pict>
          <v:rect style="width:0;height:1.5pt" o:hralign="center" o:hrstd="t" o:hr="t"/>
        </w:pict>
      </w:r>
    </w:p>
    <w:bookmarkEnd w:id="27"/>
    <w:bookmarkStart w:id="28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5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1</w:t>
      </w:r>
    </w:p>
    <w:p>
      <w:r>
        <w:pict>
          <v:rect style="width:0;height:1.5pt" o:hralign="center" o:hrstd="t" o:hr="t"/>
        </w:pict>
      </w:r>
    </w:p>
    <w:bookmarkEnd w:id="28"/>
    <w:bookmarkStart w:id="31" w:name="prioritization-scoring"/>
    <w:p>
      <w:pPr>
        <w:pStyle w:val="Heading2"/>
      </w:pPr>
      <w:r>
        <w:t xml:space="preserve">6. Prioritization Scoring</w:t>
      </w:r>
    </w:p>
    <w:bookmarkStart w:id="29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8.3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#3 of 24</w:t>
      </w:r>
    </w:p>
    <w:bookmarkEnd w:id="29"/>
    <w:bookmarkStart w:id="30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8.9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2</w:t>
      </w:r>
    </w:p>
    <w:p>
      <w:r>
        <w:pict>
          <v:rect style="width:0;height:1.5pt" o:hralign="center" o:hrstd="t" o:hr="t"/>
        </w:pict>
      </w:r>
    </w:p>
    <w:bookmarkEnd w:id="32"/>
    <w:bookmarkStart w:id="33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3"/>
    <w:bookmarkStart w:id="34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UC-006-HyperPersonalization-Blueprint-v1.0.0.drawio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SCN-6-HyperPersonalization-Sequence-v1.0.0.drawio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1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../../../03-building-blocks/patterns/PT-001/PT-001-Enterprise-AI-Governance-v1.0.0.md" TargetMode="External" /><Relationship Type="http://schemas.openxmlformats.org/officeDocument/2006/relationships/hyperlink" Id="rId25" Target="../../../../03-building-blocks/patterns/PT-002/PT-002-MLOps-Level-2-Plus-v1.0.0.md" TargetMode="External" /><Relationship Type="http://schemas.openxmlformats.org/officeDocument/2006/relationships/hyperlink" Id="rId19" Target="../../../../03-building-blocks/patterns/PT-003/PT-003-Feature-Store-v1.0.0.md" TargetMode="External" /><Relationship Type="http://schemas.openxmlformats.org/officeDocument/2006/relationships/hyperlink" Id="rId24" Target="../../../../03-building-blocks/patterns/PT-004/PT-004-Explainability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3" Target="../../../../03-building-blocks/patterns/PT-010/PT-010-Champion-Challenger-v1.0.0.md" TargetMode="External" /><Relationship Type="http://schemas.openxmlformats.org/officeDocument/2006/relationships/hyperlink" Id="rId20" Target="../../../../03-building-blocks/patterns/PT-015/PT-015-Event-Driven-Architecture-v1.0.0.md" TargetMode="External" /><Relationship Type="http://schemas.openxmlformats.org/officeDocument/2006/relationships/hyperlink" Id="rId21" Target="../../../../03-building-blocks/patterns/PT-016/PT-016-Stream-Process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../../03-building-blocks/patterns/PT-001/PT-001-Enterprise-AI-Governance-v1.0.0.md" TargetMode="External" /><Relationship Type="http://schemas.openxmlformats.org/officeDocument/2006/relationships/hyperlink" Id="rId25" Target="../../../../03-building-blocks/patterns/PT-002/PT-002-MLOps-Level-2-Plus-v1.0.0.md" TargetMode="External" /><Relationship Type="http://schemas.openxmlformats.org/officeDocument/2006/relationships/hyperlink" Id="rId19" Target="../../../../03-building-blocks/patterns/PT-003/PT-003-Feature-Store-v1.0.0.md" TargetMode="External" /><Relationship Type="http://schemas.openxmlformats.org/officeDocument/2006/relationships/hyperlink" Id="rId24" Target="../../../../03-building-blocks/patterns/PT-004/PT-004-Explainability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3" Target="../../../../03-building-blocks/patterns/PT-010/PT-010-Champion-Challenger-v1.0.0.md" TargetMode="External" /><Relationship Type="http://schemas.openxmlformats.org/officeDocument/2006/relationships/hyperlink" Id="rId20" Target="../../../../03-building-blocks/patterns/PT-015/PT-015-Event-Driven-Architecture-v1.0.0.md" TargetMode="External" /><Relationship Type="http://schemas.openxmlformats.org/officeDocument/2006/relationships/hyperlink" Id="rId21" Target="../../../../03-building-blocks/patterns/PT-016/PT-016-Stream-Process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