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09-data-products"/>
    <w:p>
      <w:pPr>
        <w:pStyle w:val="Heading1"/>
      </w:pPr>
      <w:r>
        <w:t xml:space="preserve">UC-009: Data Products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Data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Data &amp;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Extend GenAI intervention to accelerate data product creation.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Extend GenAI intervention to accelerate data product creation.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Extend GenAI intervention to accelerate data product creation.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Data &amp; Analytics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[x]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Data &amp; Analytics.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$2-4M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PT-012</w:t>
        </w:r>
      </w:hyperlink>
      <w:r>
        <w:t xml:space="preserve"> </w:t>
      </w:r>
      <w:r>
        <w:t xml:space="preserve">| Data Mesh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PT-018</w:t>
        </w:r>
      </w:hyperlink>
      <w:r>
        <w:t xml:space="preserve"> </w:t>
      </w:r>
      <w:r>
        <w:t xml:space="preserve">| Security &amp; Privacy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1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8.4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8.8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UC-009-Data-Products-Blueprint-v1.0.0.drawio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SCN-9-Data-Products-Sequence-v1.0.0.drawio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1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1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12/PT-012-Data-Mesh-v1.0.0.md" TargetMode="External" /><Relationship Type="http://schemas.openxmlformats.org/officeDocument/2006/relationships/hyperlink" Id="rId22" Target="../../../../03-building-blocks/patterns/PT-017/PT-017-Observability-Monitoring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1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12/PT-012-Data-Mesh-v1.0.0.md" TargetMode="External" /><Relationship Type="http://schemas.openxmlformats.org/officeDocument/2006/relationships/hyperlink" Id="rId22" Target="../../../../03-building-blocks/patterns/PT-017/PT-017-Observability-Monitoring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