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c-011-fincrime"/>
    <w:p>
      <w:pPr>
        <w:pStyle w:val="Heading1"/>
      </w:pPr>
      <w:r>
        <w:t xml:space="preserve">UC-011: Fincrime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Fincrime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Compliance &amp; Financial Crime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Name screening, OCDD, ECDD and TM narrative writing.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Name screening, OCDD, ECDD and TM narrative writing.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Name screening, OCDD, ECDD and TM narrative writing.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Compliance &amp; Financial Crime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[x]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Compliance &amp; Financial Crime.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$3-5M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PT-009</w:t>
        </w:r>
      </w:hyperlink>
      <w:r>
        <w:t xml:space="preserve"> </w:t>
      </w:r>
      <w:r>
        <w:t xml:space="preserve">| Real-Time Scoring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PT-004</w:t>
        </w:r>
      </w:hyperlink>
      <w:r>
        <w:t xml:space="preserve"> </w:t>
      </w:r>
      <w:r>
        <w:t xml:space="preserve">| ML Explainability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PT-010</w:t>
        </w:r>
      </w:hyperlink>
      <w:r>
        <w:t xml:space="preserve"> </w:t>
      </w:r>
      <w:r>
        <w:t xml:space="preserve">| Champion-Challenger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PT-018</w:t>
        </w:r>
      </w:hyperlink>
      <w:r>
        <w:t xml:space="preserve"> </w:t>
      </w:r>
      <w:r>
        <w:t xml:space="preserve">| Security &amp; Privacy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16 ABBs</w:t>
      </w:r>
    </w:p>
    <w:p>
      <w:r>
        <w:pict>
          <v:rect style="width:0;height:1.5pt" o:hralign="center" o:hrstd="t" o:hr="t"/>
        </w:pict>
      </w:r>
    </w:p>
    <w:bookmarkEnd w:id="26"/>
    <w:bookmarkStart w:id="27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5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1</w:t>
      </w:r>
    </w:p>
    <w:p>
      <w:r>
        <w:pict>
          <v:rect style="width:0;height:1.5pt" o:hralign="center" o:hrstd="t" o:hr="t"/>
        </w:pict>
      </w:r>
    </w:p>
    <w:bookmarkEnd w:id="27"/>
    <w:bookmarkStart w:id="30" w:name="prioritization-scoring"/>
    <w:p>
      <w:pPr>
        <w:pStyle w:val="Heading2"/>
      </w:pPr>
      <w:r>
        <w:t xml:space="preserve">6. Prioritization Scoring</w:t>
      </w:r>
    </w:p>
    <w:bookmarkStart w:id="28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8.2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#4 of 24</w:t>
      </w:r>
    </w:p>
    <w:bookmarkEnd w:id="28"/>
    <w:bookmarkStart w:id="29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8.7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1 (8.0-10.0): Immediate implementation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1</w:t>
      </w:r>
    </w:p>
    <w:p>
      <w:r>
        <w:pict>
          <v:rect style="width:0;height:1.5pt" o:hralign="center" o:hrstd="t" o:hr="t"/>
        </w:pict>
      </w:r>
    </w:p>
    <w:bookmarkEnd w:id="31"/>
    <w:bookmarkStart w:id="32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UC-011-Fincrime-Blueprint-v1.0.0.drawio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SCN-11-Fincrime-Sequence-v1.0.0.drawio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Ready for Planning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1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0" Target="../../../../03-building-blocks/patterns/PT-003/PT-003-Feature-Store-v1.0.0.md" TargetMode="External" /><Relationship Type="http://schemas.openxmlformats.org/officeDocument/2006/relationships/hyperlink" Id="rId19" Target="../../../../03-building-blocks/patterns/PT-004/PT-004-Explainability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1" Target="../../../../03-building-blocks/patterns/PT-010/PT-010-Champion-Challenger-v1.0.0.md" TargetMode="External" /><Relationship Type="http://schemas.openxmlformats.org/officeDocument/2006/relationships/hyperlink" Id="rId23" Target="../../../../03-building-blocks/patterns/PT-018/PT-018-Security-Privacy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0" Target="../../../../03-building-blocks/patterns/PT-003/PT-003-Feature-Store-v1.0.0.md" TargetMode="External" /><Relationship Type="http://schemas.openxmlformats.org/officeDocument/2006/relationships/hyperlink" Id="rId19" Target="../../../../03-building-blocks/patterns/PT-004/PT-004-Explainability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1" Target="../../../../03-building-blocks/patterns/PT-010/PT-010-Champion-Challenger-v1.0.0.md" TargetMode="External" /><Relationship Type="http://schemas.openxmlformats.org/officeDocument/2006/relationships/hyperlink" Id="rId23" Target="../../../../03-building-blocks/patterns/PT-018/PT-018-Security-Privacy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