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7.png" ContentType="image/png"/>
  <Override PartName="/word/media/rId40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data-mesh-pattern"/>
    <w:p>
      <w:pPr>
        <w:pStyle w:val="Heading1"/>
      </w:pPr>
      <w:r>
        <w:t xml:space="preserve">Data Mesh Pattern</w:t>
      </w:r>
    </w:p>
    <w:bookmarkStart w:id="1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PT-012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Data Mesh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BNZ Enterprise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Category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Maturity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Xa415a81f53ad5165066ab75706ee35c5488bca5"/>
    <w:p>
      <w:pPr>
        <w:pStyle w:val="Heading2"/>
      </w:pPr>
      <w:r>
        <w:t xml:space="preserve">1. Pattern Overview</w:t>
      </w:r>
    </w:p>
    <w:bookmarkStart w:id="20" w:name="X1b6d1a70e4f1ce66ce123d59266cf76a7ca4d51"/>
    <w:p>
      <w:pPr>
        <w:pStyle w:val="Heading3"/>
      </w:pPr>
      <w:r>
        <w:t xml:space="preserve">1.1 Pattern Name and Classification</w:t>
      </w:r>
    </w:p>
    <w:p>
      <w:pPr>
        <w:pStyle w:val="FirstParagraph"/>
      </w:pPr>
      <w:r>
        <w:rPr>
          <w:b/>
          <w:bCs/>
        </w:rPr>
        <w:t xml:space="preserve">Pattern Name</w:t>
      </w:r>
      <w:r>
        <w:t xml:space="preserve">: Data Mesh Pattern</w:t>
      </w:r>
    </w:p>
    <w:p>
      <w:pPr>
        <w:pStyle w:val="BodyText"/>
      </w:pPr>
      <w:r>
        <w:rPr>
          <w:b/>
          <w:bCs/>
        </w:rPr>
        <w:t xml:space="preserve">Short Name</w:t>
      </w:r>
      <w:r>
        <w:t xml:space="preserve">: Data Mesh</w:t>
      </w:r>
    </w:p>
    <w:p>
      <w:pPr>
        <w:pStyle w:val="BodyText"/>
      </w:pPr>
      <w:r>
        <w:rPr>
          <w:b/>
          <w:bCs/>
        </w:rPr>
        <w:t xml:space="preserve">Pattern Category</w:t>
      </w:r>
      <w:r>
        <w:t xml:space="preserve">: Data</w:t>
      </w:r>
    </w:p>
    <w:p>
      <w:pPr>
        <w:pStyle w:val="BodyText"/>
      </w:pPr>
      <w:r>
        <w:rPr>
          <w:b/>
          <w:bCs/>
        </w:rPr>
        <w:t xml:space="preserve">Pattern Type</w:t>
      </w:r>
      <w:r>
        <w:t xml:space="preserve">: Data Architecture, Organizational</w:t>
      </w:r>
    </w:p>
    <w:bookmarkEnd w:id="20"/>
    <w:bookmarkStart w:id="21" w:name="X0fbd537dc9d19633076fea225d01fdd8a780978"/>
    <w:p>
      <w:pPr>
        <w:pStyle w:val="Heading3"/>
      </w:pPr>
      <w:r>
        <w:t xml:space="preserve">1.2 Intent and Context</w:t>
      </w:r>
    </w:p>
    <w:p>
      <w:pPr>
        <w:pStyle w:val="FirstParagraph"/>
      </w:pPr>
      <w:r>
        <w:rPr>
          <w:b/>
          <w:bCs/>
        </w:rPr>
        <w:t xml:space="preserve">Intent Statement</w:t>
      </w:r>
      <w:r>
        <w:t xml:space="preserve">:</w:t>
      </w:r>
      <w:r>
        <w:br/>
      </w:r>
      <w:r>
        <w:t xml:space="preserve">Enable domain-oriented decentralized data ownership with federated governance, treating data as a product to improve discoverability, quality, and accessibility across the enterprise.</w:t>
      </w:r>
    </w:p>
    <w:p>
      <w:pPr>
        <w:pStyle w:val="BodyText"/>
      </w:pPr>
      <w:r>
        <w:rPr>
          <w:b/>
          <w:bCs/>
        </w:rPr>
        <w:t xml:space="preserve">Problem Statement</w:t>
      </w:r>
      <w:r>
        <w:t xml:space="preserve">:</w:t>
      </w:r>
      <w:r>
        <w:br/>
      </w:r>
      <w:r>
        <w:t xml:space="preserve">Traditional centralized data architectures (data lakes, data warehouses) create bottlenecks where a central data team becomes overwhelmed with requests from multiple business domains. This results in:</w:t>
      </w:r>
    </w:p>
    <w:p>
      <w:pPr>
        <w:numPr>
          <w:ilvl w:val="0"/>
          <w:numId w:val="1001"/>
        </w:numPr>
      </w:pPr>
      <w:r>
        <w:t xml:space="preserve">Long lead times for data access (weeks to months)</w:t>
      </w:r>
    </w:p>
    <w:p>
      <w:pPr>
        <w:numPr>
          <w:ilvl w:val="0"/>
          <w:numId w:val="1001"/>
        </w:numPr>
      </w:pPr>
      <w:r>
        <w:t xml:space="preserve">Data quality issues (central team lacks domain context)</w:t>
      </w:r>
    </w:p>
    <w:p>
      <w:pPr>
        <w:numPr>
          <w:ilvl w:val="0"/>
          <w:numId w:val="1001"/>
        </w:numPr>
      </w:pPr>
      <w:r>
        <w:t xml:space="preserve">Data silos (domains can't access each other's data)</w:t>
      </w:r>
    </w:p>
    <w:p>
      <w:pPr>
        <w:numPr>
          <w:ilvl w:val="0"/>
          <w:numId w:val="1001"/>
        </w:numPr>
      </w:pPr>
      <w:r>
        <w:t xml:space="preserve">Scaling challenges (central team can't keep up with demand)</w:t>
      </w:r>
    </w:p>
    <w:p>
      <w:pPr>
        <w:numPr>
          <w:ilvl w:val="0"/>
          <w:numId w:val="1001"/>
        </w:numPr>
      </w:pPr>
      <w:r>
        <w:t xml:space="preserve">Limited domain autonomy (domains dependent on central team)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</w:t>
      </w:r>
      <w:r>
        <w:br/>
      </w:r>
      <w:r>
        <w:t xml:space="preserve">Large enterprises with multiple business domains (Retail Banking, Corporate Banking, Wealth Management) face challenges when attempting to centralize all data responsibilities. The Data Mesh pattern shifts from a centralized model to a decentralized approach where domain teams own and publish their data as products, while a platform team provides self-serve infrastructure and federated governance ensures consistency.</w:t>
      </w:r>
    </w:p>
    <w:p>
      <w:pPr>
        <w:pStyle w:val="BodyText"/>
      </w:pPr>
      <w:r>
        <w:rPr>
          <w:b/>
          <w:bCs/>
        </w:rPr>
        <w:t xml:space="preserve">Forces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Domain Autonomy vs. Governance</w:t>
      </w:r>
      <w:r>
        <w:t xml:space="preserve">: Domains need freedom to move quickly, but enterprise needs consistent standards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Speed vs. Quality</w:t>
      </w:r>
      <w:r>
        <w:t xml:space="preserve">: Fast data access vs. ensuring high data quality and compliance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Centralization vs. Decentralization</w:t>
      </w:r>
      <w:r>
        <w:t xml:space="preserve">: Central control provides consistency, but creates bottlenecks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Technical Complexity vs. Usability</w:t>
      </w:r>
      <w:r>
        <w:t xml:space="preserve">: Sophisticated platforms vs. easy-to-use tools for domain teams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Cost vs. Scalability</w:t>
      </w:r>
      <w:r>
        <w:t xml:space="preserve">: Infrastructure costs increase with decentralization, but scalability improves</w:t>
      </w:r>
    </w:p>
    <w:bookmarkEnd w:id="21"/>
    <w:bookmarkStart w:id="22" w:name="X8e260599fac0a4c9f82d6c8261efb1050600cbd"/>
    <w:p>
      <w:pPr>
        <w:pStyle w:val="Heading3"/>
      </w:pPr>
      <w:r>
        <w:t xml:space="preserve">1.3 Pattern Maturity and Industry Adoption</w:t>
      </w:r>
    </w:p>
    <w:p>
      <w:pPr>
        <w:pStyle w:val="FirstParagraph"/>
      </w:pPr>
      <w:r>
        <w:rPr>
          <w:b/>
          <w:bCs/>
        </w:rPr>
        <w:t xml:space="preserve">Maturity Level</w:t>
      </w:r>
      <w:r>
        <w:t xml:space="preserve">: Emerging</w:t>
      </w:r>
    </w:p>
    <w:p>
      <w:pPr>
        <w:pStyle w:val="BodyText"/>
      </w:pPr>
      <w:r>
        <w:rPr>
          <w:b/>
          <w:bCs/>
        </w:rPr>
        <w:t xml:space="preserve">Industry Adoption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Adoption Rate</w:t>
      </w:r>
      <w:r>
        <w:t xml:space="preserve">: Approximately 30-40% of large enterprises in financial services have begun data mesh initiatives as of 2025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Reference Implementations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JPMorgan Chase (enterprise data mesh implementation across banking divisions)</w:t>
      </w:r>
    </w:p>
    <w:p>
      <w:pPr>
        <w:numPr>
          <w:ilvl w:val="1"/>
          <w:numId w:val="1004"/>
        </w:numPr>
      </w:pPr>
      <w:r>
        <w:t xml:space="preserve">ING Bank (domain-oriented data products for retail and corporate banking)</w:t>
      </w:r>
    </w:p>
    <w:p>
      <w:pPr>
        <w:numPr>
          <w:ilvl w:val="1"/>
          <w:numId w:val="1004"/>
        </w:numPr>
      </w:pPr>
      <w:r>
        <w:t xml:space="preserve">Zalando (e-commerce data mesh with 100+ data products)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Timeframe</w:t>
      </w:r>
      <w:r>
        <w:t xml:space="preserve">: Evolved from concept (2019) to experimental implementations (2022-2024) to production pattern (2025)</w:t>
      </w:r>
    </w:p>
    <w:p>
      <w:pPr>
        <w:pStyle w:val="FirstParagraph"/>
      </w:pPr>
      <w:r>
        <w:rPr>
          <w:b/>
          <w:bCs/>
        </w:rPr>
        <w:t xml:space="preserve">Standards Alignment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TOGAF 10: Domain-oriented architecture</w:t>
      </w:r>
    </w:p>
    <w:p>
      <w:pPr>
        <w:numPr>
          <w:ilvl w:val="0"/>
          <w:numId w:val="1005"/>
        </w:numPr>
      </w:pPr>
      <w:r>
        <w:t xml:space="preserve">SAFe: Decentralized decision-making with centralized alignment</w:t>
      </w:r>
    </w:p>
    <w:p>
      <w:pPr>
        <w:numPr>
          <w:ilvl w:val="0"/>
          <w:numId w:val="1005"/>
        </w:numPr>
      </w:pPr>
      <w:r>
        <w:t xml:space="preserve">DAMA-DMBOK: Data governance and data quality frameworks</w:t>
      </w:r>
    </w:p>
    <w:p>
      <w:pPr>
        <w:numPr>
          <w:ilvl w:val="0"/>
          <w:numId w:val="1005"/>
        </w:numPr>
      </w:pPr>
      <w:r>
        <w:t xml:space="preserve">ISO 8000 Data Quality Standard</w:t>
      </w:r>
    </w:p>
    <w:p>
      <w:pPr>
        <w:numPr>
          <w:ilvl w:val="0"/>
          <w:numId w:val="1005"/>
        </w:numPr>
      </w:pPr>
      <w:r>
        <w:t xml:space="preserve">GDPR and data privacy regulations (data ownership accountability)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6" w:name="Xeae93b654b0f6059e660da4e2e5d345bfa07c22"/>
    <w:p>
      <w:pPr>
        <w:pStyle w:val="Heading2"/>
      </w:pPr>
      <w:r>
        <w:t xml:space="preserve">2. Architecture Specification</w:t>
      </w:r>
    </w:p>
    <w:bookmarkStart w:id="36" w:name="Xbab7eab5886514f8ba0cbc353348ac5fd5fc639"/>
    <w:p>
      <w:pPr>
        <w:pStyle w:val="Heading3"/>
      </w:pPr>
      <w:r>
        <w:t xml:space="preserve">2.1 Architecture Building Blocks (ABBs)</w:t>
      </w:r>
    </w:p>
    <w:p>
      <w:pPr>
        <w:pStyle w:val="FirstParagraph"/>
      </w:pPr>
      <w:r>
        <w:rPr>
          <w:b/>
          <w:bCs/>
        </w:rPr>
        <w:t xml:space="preserve">Primary ABBs</w:t>
      </w:r>
      <w:r>
        <w:t xml:space="preserve"> </w:t>
      </w:r>
      <w:r>
        <w:t xml:space="preserve">(Core components required):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Purpose in Pattern</w:t>
            </w:r>
          </w:p>
        </w:tc>
        <w:tc>
          <w:tcPr/>
          <w:p>
            <w:pPr>
              <w:pStyle w:val="Compact"/>
            </w:pPr>
            <w:r>
              <w:t xml:space="preserve">Criticality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AB-043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Product Catalog</w:t>
            </w:r>
          </w:p>
        </w:tc>
        <w:tc>
          <w:tcPr/>
          <w:p>
            <w:pPr>
              <w:pStyle w:val="Compact"/>
            </w:pPr>
            <w:r>
              <w:t xml:space="preserve">Centralized discovery of all data products with SLAs, schemas, and metadata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AB-044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Data Platform</w:t>
            </w:r>
          </w:p>
        </w:tc>
        <w:tc>
          <w:tcPr/>
          <w:p>
            <w:pPr>
              <w:pStyle w:val="Compact"/>
            </w:pPr>
            <w:r>
              <w:t xml:space="preserve">Self-serve tools and infrastructure enabling domains to build and publish data products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AB-011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Unified access layer for consuming data products via REST, GraphQL, SQL, Kafka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AB-018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Quality Validator</w:t>
            </w:r>
          </w:p>
        </w:tc>
        <w:tc>
          <w:tcPr/>
          <w:p>
            <w:pPr>
              <w:pStyle w:val="Compact"/>
            </w:pPr>
            <w:r>
              <w:t xml:space="preserve">Automated batch data quality checks and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AB-070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Lineage Tracker</w:t>
            </w:r>
          </w:p>
        </w:tc>
        <w:tc>
          <w:tcPr/>
          <w:p>
            <w:pPr>
              <w:pStyle w:val="Compact"/>
            </w:pPr>
            <w:r>
              <w:t xml:space="preserve">Track data origin, transformations, and dependencies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AB-104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Quality Monitor</w:t>
            </w:r>
          </w:p>
        </w:tc>
        <w:tc>
          <w:tcPr/>
          <w:p>
            <w:pPr>
              <w:pStyle w:val="Compact"/>
            </w:pPr>
            <w:r>
              <w:t xml:space="preserve">Real-time data quality monitoring, health, uptime, and latency tracking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ABBs</w:t>
      </w:r>
      <w:r>
        <w:t xml:space="preserve"> </w:t>
      </w:r>
      <w:r>
        <w:t xml:space="preserve">(Optional or scenario-specific):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Purpose in Pattern</w:t>
            </w:r>
          </w:p>
        </w:tc>
        <w:tc>
          <w:tcPr/>
          <w:p>
            <w:pPr>
              <w:pStyle w:val="Compact"/>
            </w:pPr>
            <w:r>
              <w:t xml:space="preserve">When Required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AB-045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Contract Registry</w:t>
            </w:r>
          </w:p>
        </w:tc>
        <w:tc>
          <w:tcPr/>
          <w:p>
            <w:pPr>
              <w:pStyle w:val="Compact"/>
            </w:pPr>
            <w:r>
              <w:t xml:space="preserve">Formal agreements between data producers and consumers</w:t>
            </w:r>
          </w:p>
        </w:tc>
        <w:tc>
          <w:tcPr/>
          <w:p>
            <w:pPr>
              <w:pStyle w:val="Compact"/>
            </w:pPr>
            <w:r>
              <w:t xml:space="preserve">When multiple consumers depend on same data product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AB-038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Scalable storage for domain-owned structured and unstructured data</w:t>
            </w:r>
          </w:p>
        </w:tc>
        <w:tc>
          <w:tcPr/>
          <w:p>
            <w:pPr>
              <w:pStyle w:val="Compact"/>
            </w:pPr>
            <w:r>
              <w:t xml:space="preserve">For large-scale data storage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AB-039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Versioning Service</w:t>
            </w:r>
          </w:p>
        </w:tc>
        <w:tc>
          <w:tcPr/>
          <w:p>
            <w:pPr>
              <w:pStyle w:val="Compact"/>
            </w:pPr>
            <w:r>
              <w:t xml:space="preserve">Version management and history for data products</w:t>
            </w:r>
          </w:p>
        </w:tc>
        <w:tc>
          <w:tcPr/>
          <w:p>
            <w:pPr>
              <w:pStyle w:val="Compact"/>
            </w:pPr>
            <w:r>
              <w:t xml:space="preserve">When data versioning is required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Cross-Cutting ABBs</w:t>
      </w:r>
      <w:r>
        <w:t xml:space="preserve"> </w:t>
      </w:r>
      <w:r>
        <w:t xml:space="preserve">(Always required):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AB-060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Governance Platform</w:t>
            </w:r>
          </w:p>
        </w:tc>
        <w:tc>
          <w:tcPr/>
          <w:p>
            <w:pPr>
              <w:pStyle w:val="Compact"/>
            </w:pPr>
            <w:r>
              <w:t xml:space="preserve">Compliance, risk management, audit for data products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AB-112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&amp; Identity</w:t>
            </w:r>
          </w:p>
        </w:tc>
        <w:tc>
          <w:tcPr/>
          <w:p>
            <w:pPr>
              <w:pStyle w:val="Compact"/>
            </w:pPr>
            <w:r>
              <w:t xml:space="preserve">Authentication, authorization, encryption for data access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AB-096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Observability Platform</w:t>
            </w:r>
          </w:p>
        </w:tc>
        <w:tc>
          <w:tcPr/>
          <w:p>
            <w:pPr>
              <w:pStyle w:val="Compact"/>
            </w:pPr>
            <w:r>
              <w:t xml:space="preserve">Monitoring, logging, alerting for data product health</w:t>
            </w:r>
          </w:p>
        </w:tc>
      </w:tr>
    </w:tbl>
    <w:bookmarkEnd w:id="36"/>
    <w:bookmarkStart w:id="43" w:name="X3049627eadc3be8966d08c82ae7b8f20641b845"/>
    <w:p>
      <w:pPr>
        <w:pStyle w:val="Heading3"/>
      </w:pPr>
      <w:r>
        <w:t xml:space="preserve">2.2 Pattern Structure</w:t>
      </w:r>
    </w:p>
    <w:p>
      <w:pPr>
        <w:pStyle w:val="FirstParagraph"/>
      </w:pPr>
      <w:r>
        <w:rPr>
          <w:b/>
          <w:bCs/>
        </w:rPr>
        <w:t xml:space="preserve">Architectural Diagram</w:t>
      </w:r>
      <w:r>
        <w:t xml:space="preserve">:</w:t>
      </w:r>
    </w:p>
    <w:p>
      <w:pPr>
        <w:pStyle w:val="BodyText"/>
      </w:pPr>
      <w:r>
        <w:drawing>
          <wp:inline>
            <wp:extent cx="5943600" cy="2475554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D:\Work\BNZ\ai-platform-architecture\03-building-blocks\patterns\PT-012\PT-012-Architecture-v1.0.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Component Interaction Flow</w:t>
      </w:r>
      <w:r>
        <w:t xml:space="preserve">:</w:t>
      </w:r>
    </w:p>
    <w:p>
      <w:pPr>
        <w:pStyle w:val="BodyText"/>
      </w:pPr>
      <w:r>
        <w:drawing>
          <wp:inline>
            <wp:extent cx="5943600" cy="3697586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D:\Work\BNZ\ai-platform-architecture\03-building-blocks\patterns\PT-012\PT-012-Data-Flow-v1.0.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Interactions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Domain Data Product Creation</w:t>
      </w:r>
      <w:r>
        <w:t xml:space="preserve">: Domain team builds data product using self-serve platform</w:t>
      </w:r>
    </w:p>
    <w:p>
      <w:pPr>
        <w:numPr>
          <w:ilvl w:val="1"/>
          <w:numId w:val="1007"/>
        </w:numPr>
      </w:pPr>
      <w:r>
        <w:t xml:space="preserve">Protocol: Internal platform APIs (REST)</w:t>
      </w:r>
    </w:p>
    <w:p>
      <w:pPr>
        <w:numPr>
          <w:ilvl w:val="1"/>
          <w:numId w:val="1007"/>
        </w:numPr>
      </w:pPr>
      <w:r>
        <w:t xml:space="preserve">Data Format: JSON configuration, SQL/Spark transformations</w:t>
      </w:r>
    </w:p>
    <w:p>
      <w:pPr>
        <w:numPr>
          <w:ilvl w:val="1"/>
          <w:numId w:val="1007"/>
        </w:numPr>
      </w:pPr>
      <w:r>
        <w:t xml:space="preserve">Latency Target: N/A (asynchronous process)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Product Registration</w:t>
      </w:r>
      <w:r>
        <w:t xml:space="preserve">: Data product registered in catalog with metadata</w:t>
      </w:r>
    </w:p>
    <w:p>
      <w:pPr>
        <w:numPr>
          <w:ilvl w:val="1"/>
          <w:numId w:val="1008"/>
        </w:numPr>
      </w:pPr>
      <w:r>
        <w:t xml:space="preserve">Protocol: REST API to Data Product Registry</w:t>
      </w:r>
    </w:p>
    <w:p>
      <w:pPr>
        <w:numPr>
          <w:ilvl w:val="1"/>
          <w:numId w:val="1008"/>
        </w:numPr>
      </w:pPr>
      <w:r>
        <w:t xml:space="preserve">Data Format: JSON (schema, SLA, ownership, lineage)</w:t>
      </w:r>
    </w:p>
    <w:p>
      <w:pPr>
        <w:numPr>
          <w:ilvl w:val="1"/>
          <w:numId w:val="1008"/>
        </w:numPr>
      </w:pPr>
      <w:r>
        <w:t xml:space="preserve">Latency Target: &lt; 5 seconds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Product Publication</w:t>
      </w:r>
      <w:r>
        <w:t xml:space="preserve">: Data product exposed via API Gateway for consumption</w:t>
      </w:r>
    </w:p>
    <w:p>
      <w:pPr>
        <w:numPr>
          <w:ilvl w:val="1"/>
          <w:numId w:val="1009"/>
        </w:numPr>
      </w:pPr>
      <w:r>
        <w:t xml:space="preserve">Protocol: REST, GraphQL, SQL, or Kafka (based on data product type)</w:t>
      </w:r>
    </w:p>
    <w:p>
      <w:pPr>
        <w:numPr>
          <w:ilvl w:val="1"/>
          <w:numId w:val="1009"/>
        </w:numPr>
      </w:pPr>
      <w:r>
        <w:t xml:space="preserve">Data Format: JSON, Parquet, Avro, CSV (domain-defined)</w:t>
      </w:r>
    </w:p>
    <w:p>
      <w:pPr>
        <w:numPr>
          <w:ilvl w:val="1"/>
          <w:numId w:val="1009"/>
        </w:numPr>
      </w:pPr>
      <w:r>
        <w:t xml:space="preserve">Latency Target: Based on SLA (batch: hours, streaming: seconds)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Consumer Discovery</w:t>
      </w:r>
      <w:r>
        <w:t xml:space="preserve">: Consumers search catalog and subscribe to data products</w:t>
      </w:r>
    </w:p>
    <w:p>
      <w:pPr>
        <w:numPr>
          <w:ilvl w:val="1"/>
          <w:numId w:val="1010"/>
        </w:numPr>
      </w:pPr>
      <w:r>
        <w:t xml:space="preserve">Protocol: REST API, Web UI</w:t>
      </w:r>
    </w:p>
    <w:p>
      <w:pPr>
        <w:numPr>
          <w:ilvl w:val="1"/>
          <w:numId w:val="1010"/>
        </w:numPr>
      </w:pPr>
      <w:r>
        <w:t xml:space="preserve">Data Format: JSON metadata</w:t>
      </w:r>
    </w:p>
    <w:p>
      <w:pPr>
        <w:numPr>
          <w:ilvl w:val="1"/>
          <w:numId w:val="1010"/>
        </w:numPr>
      </w:pPr>
      <w:r>
        <w:t xml:space="preserve">Latency Target: &lt; 2 seconds for search results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 Access</w:t>
      </w:r>
      <w:r>
        <w:t xml:space="preserve">: Consumers query/subscribe to data products</w:t>
      </w:r>
    </w:p>
    <w:p>
      <w:pPr>
        <w:numPr>
          <w:ilvl w:val="1"/>
          <w:numId w:val="1011"/>
        </w:numPr>
      </w:pPr>
      <w:r>
        <w:t xml:space="preserve">Protocol: REST API, SQL, Kafka streams</w:t>
      </w:r>
    </w:p>
    <w:p>
      <w:pPr>
        <w:numPr>
          <w:ilvl w:val="1"/>
          <w:numId w:val="1011"/>
        </w:numPr>
      </w:pPr>
      <w:r>
        <w:t xml:space="preserve">Data Format: JSON, Parquet, Avro (per data product spec)</w:t>
      </w:r>
    </w:p>
    <w:p>
      <w:pPr>
        <w:numPr>
          <w:ilvl w:val="1"/>
          <w:numId w:val="1011"/>
        </w:numPr>
      </w:pPr>
      <w:r>
        <w:t xml:space="preserve">Latency Target: Per data product SLA (e.g., &lt; 100ms for API, &lt; 1 hour for batch)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Quality Monitoring</w:t>
      </w:r>
      <w:r>
        <w:t xml:space="preserve">: Automated checks validate data quality continuously</w:t>
      </w:r>
    </w:p>
    <w:p>
      <w:pPr>
        <w:numPr>
          <w:ilvl w:val="1"/>
          <w:numId w:val="1012"/>
        </w:numPr>
      </w:pPr>
      <w:r>
        <w:t xml:space="preserve">Processing Type: Asynchronous, event-driven</w:t>
      </w:r>
    </w:p>
    <w:p>
      <w:pPr>
        <w:numPr>
          <w:ilvl w:val="1"/>
          <w:numId w:val="1012"/>
        </w:numPr>
      </w:pPr>
      <w:r>
        <w:t xml:space="preserve">Error Handling: Alert data product owner, mark product as degraded in catalog</w:t>
      </w:r>
    </w:p>
    <w:bookmarkEnd w:id="43"/>
    <w:bookmarkStart w:id="44" w:name="Xb0f40becdaa86309725c906a3c8bd90423c1363"/>
    <w:p>
      <w:pPr>
        <w:pStyle w:val="Heading3"/>
      </w:pPr>
      <w:r>
        <w:t xml:space="preserve">2.3 Data Flow</w:t>
      </w:r>
    </w:p>
    <w:p>
      <w:pPr>
        <w:pStyle w:val="FirstParagraph"/>
      </w:pPr>
      <w:r>
        <w:rPr>
          <w:b/>
          <w:bCs/>
        </w:rPr>
        <w:t xml:space="preserve">Data Sources</w:t>
      </w:r>
      <w:r>
        <w:t xml:space="preserve">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Domain Operational Systems</w:t>
      </w:r>
      <w:r>
        <w:t xml:space="preserve">: Customer databases, transaction systems, CRM (owned by domain)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External Data Feeds</w:t>
      </w:r>
      <w:r>
        <w:t xml:space="preserve">: Market data, credit bureau data, third-party APIs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Enterprise Data Lakes</w:t>
      </w:r>
      <w:r>
        <w:t xml:space="preserve">: Historical data repositories (transitioned to domain ownership)</w:t>
      </w:r>
    </w:p>
    <w:p>
      <w:pPr>
        <w:pStyle w:val="FirstParagraph"/>
      </w:pPr>
      <w:r>
        <w:rPr>
          <w:b/>
          <w:bCs/>
        </w:rPr>
        <w:t xml:space="preserve">Data Transformations</w:t>
      </w:r>
      <w:r>
        <w:t xml:space="preserve">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Domain Data Ingestion</w:t>
      </w:r>
      <w:r>
        <w:t xml:space="preserve">: Raw data → Domain staging area (Extract)</w:t>
      </w:r>
    </w:p>
    <w:p>
      <w:pPr>
        <w:numPr>
          <w:ilvl w:val="1"/>
          <w:numId w:val="1015"/>
        </w:numPr>
      </w:pPr>
      <w:r>
        <w:t xml:space="preserve">Performed by domain team using self-serve platform tools (Airflow, dbt, Spark)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Data Product Curation</w:t>
      </w:r>
      <w:r>
        <w:t xml:space="preserve">: Staging data → Clean, validated, documented data product (Transform)</w:t>
      </w:r>
    </w:p>
    <w:p>
      <w:pPr>
        <w:numPr>
          <w:ilvl w:val="1"/>
          <w:numId w:val="1016"/>
        </w:numPr>
      </w:pPr>
      <w:r>
        <w:t xml:space="preserve">Data quality checks applied (completeness, accuracy, timeliness)</w:t>
      </w:r>
    </w:p>
    <w:p>
      <w:pPr>
        <w:numPr>
          <w:ilvl w:val="1"/>
          <w:numId w:val="1016"/>
        </w:numPr>
      </w:pPr>
      <w:r>
        <w:t xml:space="preserve">Business logic applied (calculations, aggregations, joins)</w:t>
      </w:r>
    </w:p>
    <w:p>
      <w:pPr>
        <w:numPr>
          <w:ilvl w:val="1"/>
          <w:numId w:val="1016"/>
        </w:numPr>
      </w:pPr>
      <w:r>
        <w:t xml:space="preserve">Schema standardization and documentation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Data Product Publishing</w:t>
      </w:r>
      <w:r>
        <w:t xml:space="preserve">: Curated data → Published interface (Load)</w:t>
      </w:r>
    </w:p>
    <w:p>
      <w:pPr>
        <w:numPr>
          <w:ilvl w:val="1"/>
          <w:numId w:val="1017"/>
        </w:numPr>
      </w:pPr>
      <w:r>
        <w:t xml:space="preserve">Exposed via API Gateway or streaming platform</w:t>
      </w:r>
    </w:p>
    <w:p>
      <w:pPr>
        <w:numPr>
          <w:ilvl w:val="1"/>
          <w:numId w:val="1017"/>
        </w:numPr>
      </w:pPr>
      <w:r>
        <w:t xml:space="preserve">Metadata registered in catalog</w:t>
      </w:r>
    </w:p>
    <w:p>
      <w:pPr>
        <w:pStyle w:val="FirstParagraph"/>
      </w:pPr>
      <w:r>
        <w:rPr>
          <w:b/>
          <w:bCs/>
        </w:rPr>
        <w:t xml:space="preserve">Data Sinks</w:t>
      </w:r>
      <w:r>
        <w:t xml:space="preserve">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Data Product API</w:t>
      </w:r>
      <w:r>
        <w:t xml:space="preserve">: REST/GraphQL endpoints for synchronous access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Data Product Stream</w:t>
      </w:r>
      <w:r>
        <w:t xml:space="preserve">: Kafka topics for real-time consumption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Data Product Database</w:t>
      </w:r>
      <w:r>
        <w:t xml:space="preserve">: SQL interface for analytical queries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Data Product Files</w:t>
      </w:r>
      <w:r>
        <w:t xml:space="preserve">: S3/ADLS files for batch processing</w:t>
      </w:r>
    </w:p>
    <w:p>
      <w:pPr>
        <w:pStyle w:val="FirstParagraph"/>
      </w:pPr>
      <w:r>
        <w:rPr>
          <w:b/>
          <w:bCs/>
        </w:rPr>
        <w:t xml:space="preserve">Data Governance</w:t>
      </w:r>
      <w:r>
        <w:t xml:space="preserve">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Classification</w:t>
      </w:r>
      <w:r>
        <w:t xml:space="preserve">: Defined by domain team (Public / Internal / Confidential / Restricted)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Retention</w:t>
      </w:r>
      <w:r>
        <w:t xml:space="preserve">: Per data product policy (e.g., 7 years for financial transactions)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Lineage</w:t>
      </w:r>
      <w:r>
        <w:t xml:space="preserve">: Tracked from source system → transformations → data product → consumers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Quality</w:t>
      </w:r>
      <w:r>
        <w:t xml:space="preserve">: Automated checks defined in data product specification (99% completeness, &lt; 1 hour latency, etc.)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Ownership</w:t>
      </w:r>
      <w:r>
        <w:t xml:space="preserve">: Clear accountability (domain team owns data product lifecycle)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Access Control</w:t>
      </w:r>
      <w:r>
        <w:t xml:space="preserve">: Role-based access control (RBAC) enforced at API Gateway</w:t>
      </w:r>
    </w:p>
    <w:bookmarkEnd w:id="44"/>
    <w:bookmarkStart w:id="45" w:name="Xe8be8fe878334560b5a6fbc6472900992eacb25"/>
    <w:p>
      <w:pPr>
        <w:pStyle w:val="Heading3"/>
      </w:pPr>
      <w:r>
        <w:t xml:space="preserve">2.4 Interface Specifications</w:t>
      </w:r>
    </w:p>
    <w:p>
      <w:pPr>
        <w:pStyle w:val="FirstParagraph"/>
      </w:pPr>
      <w:r>
        <w:rPr>
          <w:b/>
          <w:bCs/>
        </w:rPr>
        <w:t xml:space="preserve">Inbound Interfaces</w:t>
      </w:r>
      <w:r>
        <w:t xml:space="preserve"> </w:t>
      </w:r>
      <w:r>
        <w:t xml:space="preserve">(Inputs to pattern):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Interface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IF-IN-001</w:t>
            </w:r>
          </w:p>
        </w:tc>
        <w:tc>
          <w:tcPr/>
          <w:p>
            <w:pPr>
              <w:pStyle w:val="Compact"/>
            </w:pPr>
            <w:r>
              <w:t xml:space="preserve">Domain Data Source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  <w:tc>
          <w:tcPr/>
          <w:p>
            <w:pPr>
              <w:pStyle w:val="Compact"/>
            </w:pPr>
            <w:r>
              <w:t xml:space="preserve">JDBC/ODBC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Per domain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IF-IN-002</w:t>
            </w:r>
          </w:p>
        </w:tc>
        <w:tc>
          <w:tcPr/>
          <w:p>
            <w:pPr>
              <w:pStyle w:val="Compact"/>
            </w:pPr>
            <w:r>
              <w:t xml:space="preserve">External Data Feed</w:t>
            </w:r>
          </w:p>
        </w:tc>
        <w:tc>
          <w:tcPr/>
          <w:p>
            <w:pPr>
              <w:pStyle w:val="Compact"/>
            </w:pPr>
            <w:r>
              <w:t xml:space="preserve">API / File Transfer</w:t>
            </w:r>
          </w:p>
        </w:tc>
        <w:tc>
          <w:tcPr/>
          <w:p>
            <w:pPr>
              <w:pStyle w:val="Compact"/>
            </w:pPr>
            <w:r>
              <w:t xml:space="preserve">REST / SFTP</w:t>
            </w:r>
          </w:p>
        </w:tc>
        <w:tc>
          <w:tcPr/>
          <w:p>
            <w:pPr>
              <w:pStyle w:val="Compact"/>
            </w:pPr>
            <w:r>
              <w:t xml:space="preserve">JSON / CSV</w:t>
            </w:r>
          </w:p>
        </w:tc>
        <w:tc>
          <w:tcPr/>
          <w:p>
            <w:pPr>
              <w:pStyle w:val="Compact"/>
            </w:pPr>
            <w:r>
              <w:t xml:space="preserve">Per vendor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IF-IN-003</w:t>
            </w:r>
          </w:p>
        </w:tc>
        <w:tc>
          <w:tcPr/>
          <w:p>
            <w:pPr>
              <w:pStyle w:val="Compact"/>
            </w:pPr>
            <w:r>
              <w:t xml:space="preserve">Data Product Configuration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&lt; 5s registration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Outbound Interfaces</w:t>
      </w:r>
      <w:r>
        <w:t xml:space="preserve"> </w:t>
      </w:r>
      <w:r>
        <w:t xml:space="preserve">(Outputs from pattern):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Interface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IF-OUT-001</w:t>
            </w:r>
          </w:p>
        </w:tc>
        <w:tc>
          <w:tcPr/>
          <w:p>
            <w:pPr>
              <w:pStyle w:val="Compact"/>
            </w:pPr>
            <w:r>
              <w:t xml:space="preserve">Data Product API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Per data product SLA (e.g., &lt; 100ms, 99.9% uptime)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IF-OUT-002</w:t>
            </w:r>
          </w:p>
        </w:tc>
        <w:tc>
          <w:tcPr/>
          <w:p>
            <w:pPr>
              <w:pStyle w:val="Compact"/>
            </w:pPr>
            <w:r>
              <w:t xml:space="preserve">Data Product Stream</w:t>
            </w:r>
          </w:p>
        </w:tc>
        <w:tc>
          <w:tcPr/>
          <w:p>
            <w:pPr>
              <w:pStyle w:val="Compact"/>
            </w:pPr>
            <w:r>
              <w:t xml:space="preserve">Event Stream</w:t>
            </w:r>
          </w:p>
        </w:tc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Avro / JSON</w:t>
            </w:r>
          </w:p>
        </w:tc>
        <w:tc>
          <w:tcPr/>
          <w:p>
            <w:pPr>
              <w:pStyle w:val="Compact"/>
            </w:pPr>
            <w:r>
              <w:t xml:space="preserve">&lt; 1s latency, 99.9% availability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IF-OUT-003</w:t>
            </w:r>
          </w:p>
        </w:tc>
        <w:tc>
          <w:tcPr/>
          <w:p>
            <w:pPr>
              <w:pStyle w:val="Compact"/>
            </w:pPr>
            <w:r>
              <w:t xml:space="preserve">Data Product SQL Interface</w:t>
            </w:r>
          </w:p>
        </w:tc>
        <w:tc>
          <w:tcPr/>
          <w:p>
            <w:pPr>
              <w:pStyle w:val="Compact"/>
            </w:pPr>
            <w:r>
              <w:t xml:space="preserve">SQL Query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Parquet / ORC</w:t>
            </w:r>
          </w:p>
        </w:tc>
        <w:tc>
          <w:tcPr/>
          <w:p>
            <w:pPr>
              <w:pStyle w:val="Compact"/>
            </w:pPr>
            <w:r>
              <w:t xml:space="preserve">&lt; 5s for queries, 99% uptime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IF-OUT-004</w:t>
            </w:r>
          </w:p>
        </w:tc>
        <w:tc>
          <w:tcPr/>
          <w:p>
            <w:pPr>
              <w:pStyle w:val="Compact"/>
            </w:pPr>
            <w:r>
              <w:t xml:space="preserve">Data Product Metadata</w:t>
            </w:r>
          </w:p>
        </w:tc>
        <w:tc>
          <w:tcPr/>
          <w:p>
            <w:pPr>
              <w:pStyle w:val="Compact"/>
            </w:pPr>
            <w:r>
              <w:t xml:space="preserve">Catalog API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&lt; 2s search, 99.9% uptime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Internal Interfaces</w:t>
      </w:r>
      <w:r>
        <w:t xml:space="preserve"> </w:t>
      </w:r>
      <w:r>
        <w:t xml:space="preserve">(Between ABBs within pattern):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 ID</w:t>
            </w:r>
          </w:p>
        </w:tc>
        <w:tc>
          <w:tcPr/>
          <w:p>
            <w:pPr>
              <w:pStyle w:val="Compact"/>
            </w:pPr>
            <w:r>
              <w:t xml:space="preserve">Source ABB</w:t>
            </w:r>
          </w:p>
        </w:tc>
        <w:tc>
          <w:tcPr/>
          <w:p>
            <w:pPr>
              <w:pStyle w:val="Compact"/>
            </w:pPr>
            <w:r>
              <w:t xml:space="preserve">Target ABB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IF-INT-001</w:t>
            </w:r>
          </w:p>
        </w:tc>
        <w:tc>
          <w:tcPr/>
          <w:p>
            <w:pPr>
              <w:pStyle w:val="Compact"/>
            </w:pPr>
            <w:r>
              <w:t xml:space="preserve">AB-044 Domain Data Platform</w:t>
            </w:r>
          </w:p>
        </w:tc>
        <w:tc>
          <w:tcPr/>
          <w:p>
            <w:pPr>
              <w:pStyle w:val="Compact"/>
            </w:pPr>
            <w:r>
              <w:t xml:space="preserve">AB-043 Data Product Catalog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Register new data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IF-INT-002</w:t>
            </w:r>
          </w:p>
        </w:tc>
        <w:tc>
          <w:tcPr/>
          <w:p>
            <w:pPr>
              <w:pStyle w:val="Compact"/>
            </w:pPr>
            <w:r>
              <w:t xml:space="preserve">AB-018 Data Quality Validator</w:t>
            </w:r>
          </w:p>
        </w:tc>
        <w:tc>
          <w:tcPr/>
          <w:p>
            <w:pPr>
              <w:pStyle w:val="Compact"/>
            </w:pPr>
            <w:r>
              <w:t xml:space="preserve">AB-043 Data Product Catalog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Update quality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IF-INT-003</w:t>
            </w:r>
          </w:p>
        </w:tc>
        <w:tc>
          <w:tcPr/>
          <w:p>
            <w:pPr>
              <w:pStyle w:val="Compact"/>
            </w:pPr>
            <w:r>
              <w:t xml:space="preserve">AB-070 Data Lineage Tracker</w:t>
            </w:r>
          </w:p>
        </w:tc>
        <w:tc>
          <w:tcPr/>
          <w:p>
            <w:pPr>
              <w:pStyle w:val="Compact"/>
            </w:pPr>
            <w:r>
              <w:t xml:space="preserve">AB-043 Data Product Catalog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Publish lineage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IF-INT-004</w:t>
            </w:r>
          </w:p>
        </w:tc>
        <w:tc>
          <w:tcPr/>
          <w:p>
            <w:pPr>
              <w:pStyle w:val="Compact"/>
            </w:pPr>
            <w:r>
              <w:t xml:space="preserve">AB-011 API Gateway</w:t>
            </w:r>
          </w:p>
        </w:tc>
        <w:tc>
          <w:tcPr/>
          <w:p>
            <w:pPr>
              <w:pStyle w:val="Compact"/>
            </w:pPr>
            <w:r>
              <w:t xml:space="preserve">AB-038 Data Lake</w:t>
            </w:r>
          </w:p>
        </w:tc>
        <w:tc>
          <w:tcPr/>
          <w:p>
            <w:pPr>
              <w:pStyle w:val="Compact"/>
            </w:pPr>
            <w:r>
              <w:t xml:space="preserve">JDBC / REST</w:t>
            </w:r>
          </w:p>
        </w:tc>
        <w:tc>
          <w:tcPr/>
          <w:p>
            <w:pPr>
              <w:pStyle w:val="Compact"/>
            </w:pPr>
            <w:r>
              <w:t xml:space="preserve">Proxy data access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IF-INT-005</w:t>
            </w:r>
          </w:p>
        </w:tc>
        <w:tc>
          <w:tcPr/>
          <w:p>
            <w:pPr>
              <w:pStyle w:val="Compact"/>
            </w:pPr>
            <w:r>
              <w:t xml:space="preserve">AB-104 Data Quality Monitor</w:t>
            </w:r>
          </w:p>
        </w:tc>
        <w:tc>
          <w:tcPr/>
          <w:p>
            <w:pPr>
              <w:pStyle w:val="Compact"/>
            </w:pPr>
            <w:r>
              <w:t xml:space="preserve">AB-043 Data Product Catalog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t xml:space="preserve">Update health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X9fe869f8b45717d8d5b70e562e22bc427044c61"/>
    <w:p>
      <w:pPr>
        <w:pStyle w:val="Heading2"/>
      </w:pPr>
      <w:r>
        <w:t xml:space="preserve">3. Pattern Variants and Options</w:t>
      </w:r>
    </w:p>
    <w:bookmarkStart w:id="47" w:name="X8ae00ceab49392138c0ceec151b385b1c16d324"/>
    <w:p>
      <w:pPr>
        <w:pStyle w:val="Heading3"/>
      </w:pPr>
      <w:r>
        <w:t xml:space="preserve">3.1 Pattern Variations</w:t>
      </w:r>
    </w:p>
    <w:p>
      <w:pPr>
        <w:pStyle w:val="FirstParagraph"/>
      </w:pPr>
      <w:r>
        <w:rPr>
          <w:b/>
          <w:bCs/>
        </w:rPr>
        <w:t xml:space="preserve">Variant 1: Centralized Data Mesh (Hybrid)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When to Use</w:t>
      </w:r>
      <w:r>
        <w:t xml:space="preserve">: Transitioning from centralized data warehouse to data mesh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Key Differences</w:t>
      </w:r>
      <w:r>
        <w:t xml:space="preserve">: Central platform team also acts as a domain for shared/enterprise data products (e.g., customer golden record)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Trade-offs</w:t>
      </w:r>
      <w:r>
        <w:t xml:space="preserve">: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Gain</w:t>
      </w:r>
      <w:r>
        <w:t xml:space="preserve">: Easier migration path, leverages existing central team expertise</w:t>
      </w:r>
    </w:p>
    <w:p>
      <w:pPr>
        <w:numPr>
          <w:ilvl w:val="1"/>
          <w:numId w:val="1021"/>
        </w:numPr>
      </w:pPr>
      <w:r>
        <w:rPr>
          <w:b/>
          <w:bCs/>
        </w:rPr>
        <w:t xml:space="preserve">Lose</w:t>
      </w:r>
      <w:r>
        <w:t xml:space="preserve">: Still creates some central team bottleneck, less pure decentralization</w:t>
      </w:r>
    </w:p>
    <w:p>
      <w:pPr>
        <w:pStyle w:val="FirstParagraph"/>
      </w:pPr>
      <w:r>
        <w:rPr>
          <w:b/>
          <w:bCs/>
        </w:rPr>
        <w:t xml:space="preserve">Variant 2: Federated Data Mesh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When to Use</w:t>
      </w:r>
      <w:r>
        <w:t xml:space="preserve">: Mature organizations with strong domain teams and clear boundaries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Key Differences</w:t>
      </w:r>
      <w:r>
        <w:t xml:space="preserve">: Fully decentralized with minimal central platform team (infrastructure-only)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Trade-offs</w:t>
      </w:r>
      <w:r>
        <w:t xml:space="preserve">: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Gain</w:t>
      </w:r>
      <w:r>
        <w:t xml:space="preserve">: Maximum domain autonomy, fastest time-to-market for data products</w:t>
      </w:r>
    </w:p>
    <w:p>
      <w:pPr>
        <w:numPr>
          <w:ilvl w:val="1"/>
          <w:numId w:val="1023"/>
        </w:numPr>
      </w:pPr>
      <w:r>
        <w:rPr>
          <w:b/>
          <w:bCs/>
        </w:rPr>
        <w:t xml:space="preserve">Lose</w:t>
      </w:r>
      <w:r>
        <w:t xml:space="preserve">: Risk of inconsistency without strong governance, higher learning curve for domains</w:t>
      </w:r>
    </w:p>
    <w:p>
      <w:pPr>
        <w:pStyle w:val="FirstParagraph"/>
      </w:pPr>
      <w:r>
        <w:rPr>
          <w:b/>
          <w:bCs/>
        </w:rPr>
        <w:t xml:space="preserve">Variant 3: Event-Driven Data Mesh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When to Use</w:t>
      </w:r>
      <w:r>
        <w:t xml:space="preserve">: Real-time data products are primary use case (streaming analytics, fraud detection)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Key Differences</w:t>
      </w:r>
      <w:r>
        <w:t xml:space="preserve">: Data products primarily exposed as Kafka streams rather than APIs/databases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Trade-offs</w:t>
      </w:r>
      <w:r>
        <w:t xml:space="preserve">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Gain</w:t>
      </w:r>
      <w:r>
        <w:t xml:space="preserve">: Low latency (milliseconds), event-driven architecture alignment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Lose</w:t>
      </w:r>
      <w:r>
        <w:t xml:space="preserve">: More complex for batch consumers, requires stream processing expertise</w:t>
      </w:r>
    </w:p>
    <w:bookmarkEnd w:id="47"/>
    <w:bookmarkStart w:id="48" w:name="X1943fe17892168f775e42ae98670c43109cdf90"/>
    <w:p>
      <w:pPr>
        <w:pStyle w:val="Heading3"/>
      </w:pPr>
      <w:r>
        <w:t xml:space="preserve">3.2 Composition with Other Patterns</w:t>
      </w:r>
    </w:p>
    <w:p>
      <w:pPr>
        <w:pStyle w:val="FirstParagraph"/>
      </w:pPr>
      <w:r>
        <w:rPr>
          <w:b/>
          <w:bCs/>
        </w:rPr>
        <w:t xml:space="preserve">Commonly Combined With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Integration Point</w:t>
            </w:r>
          </w:p>
        </w:tc>
        <w:tc>
          <w:tcPr/>
          <w:p>
            <w:pPr>
              <w:pStyle w:val="Compact"/>
            </w:pPr>
            <w:r>
              <w:t xml:space="preserve">Combined Benefit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PT-003 Feature Store</w:t>
            </w:r>
          </w:p>
        </w:tc>
        <w:tc>
          <w:tcPr/>
          <w:p>
            <w:pPr>
              <w:pStyle w:val="Compact"/>
            </w:pPr>
            <w:r>
              <w:t xml:space="preserve">Data products feed feature store as high-quality, curated data sources</w:t>
            </w:r>
          </w:p>
        </w:tc>
        <w:tc>
          <w:tcPr/>
          <w:p>
            <w:pPr>
              <w:pStyle w:val="Compact"/>
            </w:pPr>
            <w:r>
              <w:t xml:space="preserve">Enables ML teams to discover and consume domain data products as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PT-001 Enterprise AI Governance</w:t>
            </w:r>
          </w:p>
        </w:tc>
        <w:tc>
          <w:tcPr/>
          <w:p>
            <w:pPr>
              <w:pStyle w:val="Compact"/>
            </w:pPr>
            <w:r>
              <w:t xml:space="preserve">Governance policies applied to data products via federated governance layer</w:t>
            </w:r>
          </w:p>
        </w:tc>
        <w:tc>
          <w:tcPr/>
          <w:p>
            <w:pPr>
              <w:pStyle w:val="Compact"/>
            </w:pPr>
            <w:r>
              <w:t xml:space="preserve">Ensures data products meet compliance, privacy, and risk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PT-007 Real-Time Streaming</w:t>
            </w:r>
          </w:p>
        </w:tc>
        <w:tc>
          <w:tcPr/>
          <w:p>
            <w:pPr>
              <w:pStyle w:val="Compact"/>
            </w:pPr>
            <w:r>
              <w:t xml:space="preserve">Streaming data products published via Kafka, consumed by real-time ML models</w:t>
            </w:r>
          </w:p>
        </w:tc>
        <w:tc>
          <w:tcPr/>
          <w:p>
            <w:pPr>
              <w:pStyle w:val="Compact"/>
            </w:pPr>
            <w:r>
              <w:t xml:space="preserve">Enables low-latency AI use cases (fraud detection, personalization)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PT-005 MLOps Pipeline</w:t>
            </w:r>
          </w:p>
        </w:tc>
        <w:tc>
          <w:tcPr/>
          <w:p>
            <w:pPr>
              <w:pStyle w:val="Compact"/>
            </w:pPr>
            <w:r>
              <w:t xml:space="preserve">ML models consume data products for training/inference; model predictions published as data products</w:t>
            </w:r>
          </w:p>
        </w:tc>
        <w:tc>
          <w:tcPr/>
          <w:p>
            <w:pPr>
              <w:pStyle w:val="Compact"/>
            </w:pPr>
            <w:r>
              <w:t xml:space="preserve">Creates closed-loop ML system with traceable data lineage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Anti-Patterns</w:t>
      </w:r>
      <w:r>
        <w:t xml:space="preserve"> </w:t>
      </w:r>
      <w:r>
        <w:t xml:space="preserve">(What NOT to do):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Anti-Pattern 1: Data Mesh Without Governance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Why Problematic</w:t>
      </w:r>
      <w:r>
        <w:t xml:space="preserve">: Leads to ungoverned data chaos, compliance violations, inconsistent quality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Better Approach</w:t>
      </w:r>
      <w:r>
        <w:t xml:space="preserve">: Implement federated governance from day one with clear policies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Anti-Pattern 2: Central Team Building All Data Products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Why Problematic</w:t>
      </w:r>
      <w:r>
        <w:t xml:space="preserve">: Defeats the purpose of data mesh; recreates central bottleneck</w:t>
      </w:r>
    </w:p>
    <w:p>
      <w:pPr>
        <w:numPr>
          <w:ilvl w:val="1"/>
          <w:numId w:val="1028"/>
        </w:numPr>
      </w:pPr>
      <w:r>
        <w:rPr>
          <w:b/>
          <w:bCs/>
        </w:rPr>
        <w:t xml:space="preserve">Better Approach</w:t>
      </w:r>
      <w:r>
        <w:t xml:space="preserve">: Central team builds platform and standards; domains build data products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Anti-Pattern 3: No Self-Serve Platform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Why Problematic</w:t>
      </w:r>
      <w:r>
        <w:t xml:space="preserve">: Domains struggle with infrastructure complexity, slow adoption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Better Approach</w:t>
      </w:r>
      <w:r>
        <w:t xml:space="preserve">: Invest in self-serve tools (dbt, Airflow, data quality frameworks) first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Anti-Pattern 4: Over-Engineering Data Products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Why Problematic</w:t>
      </w:r>
      <w:r>
        <w:t xml:space="preserve">: Domains spend months building perfect data products that never ship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Better Approach</w:t>
      </w:r>
      <w:r>
        <w:t xml:space="preserve">: Start with "good enough" data products, iterate based on consumer feedback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4" w:name="X93677e822b529bffad09aa92647c118e9836e2d"/>
    <w:p>
      <w:pPr>
        <w:pStyle w:val="Heading2"/>
      </w:pPr>
      <w:r>
        <w:t xml:space="preserve">4. Implementation Guidance</w:t>
      </w:r>
    </w:p>
    <w:bookmarkStart w:id="50" w:name="Xd609b7a1af268ebde9f04cebfd1d2c53746f06f"/>
    <w:p>
      <w:pPr>
        <w:pStyle w:val="Heading3"/>
      </w:pPr>
      <w:r>
        <w:t xml:space="preserve">4.1 Key Principles</w:t>
      </w:r>
    </w:p>
    <w:p>
      <w:pPr>
        <w:pStyle w:val="FirstParagraph"/>
      </w:pPr>
      <w:r>
        <w:rPr>
          <w:b/>
          <w:bCs/>
        </w:rPr>
        <w:t xml:space="preserve">1. Domain-Oriented Ownership</w:t>
      </w:r>
    </w:p>
    <w:p>
      <w:pPr>
        <w:numPr>
          <w:ilvl w:val="0"/>
          <w:numId w:val="1031"/>
        </w:numPr>
      </w:pPr>
      <w:r>
        <w:t xml:space="preserve">Each business domain (Retail Banking, Corporate Banking, Wealth Management) owns its data</w:t>
      </w:r>
    </w:p>
    <w:p>
      <w:pPr>
        <w:numPr>
          <w:ilvl w:val="0"/>
          <w:numId w:val="1031"/>
        </w:numPr>
      </w:pPr>
      <w:r>
        <w:t xml:space="preserve">Domain teams are accountable for data product quality, SLAs, and consumer support</w:t>
      </w:r>
    </w:p>
    <w:p>
      <w:pPr>
        <w:numPr>
          <w:ilvl w:val="0"/>
          <w:numId w:val="1031"/>
        </w:numPr>
      </w:pPr>
      <w:r>
        <w:t xml:space="preserve">Organizational alignment: Data product owners embedded in domain teams</w:t>
      </w:r>
    </w:p>
    <w:p>
      <w:pPr>
        <w:pStyle w:val="FirstParagraph"/>
      </w:pPr>
      <w:r>
        <w:rPr>
          <w:b/>
          <w:bCs/>
        </w:rPr>
        <w:t xml:space="preserve">2. Data as a Product</w:t>
      </w:r>
    </w:p>
    <w:p>
      <w:pPr>
        <w:numPr>
          <w:ilvl w:val="0"/>
          <w:numId w:val="1032"/>
        </w:numPr>
      </w:pPr>
      <w:r>
        <w:t xml:space="preserve">Treat data with product thinking: discoverability, usability, quality, SLAs</w:t>
      </w:r>
    </w:p>
    <w:p>
      <w:pPr>
        <w:numPr>
          <w:ilvl w:val="0"/>
          <w:numId w:val="1032"/>
        </w:numPr>
      </w:pPr>
      <w:r>
        <w:t xml:space="preserve">Data products have clear ownership, documentation, versioning, and deprecation policies</w:t>
      </w:r>
    </w:p>
    <w:p>
      <w:pPr>
        <w:numPr>
          <w:ilvl w:val="0"/>
          <w:numId w:val="1032"/>
        </w:numPr>
      </w:pPr>
      <w:r>
        <w:t xml:space="preserve">Consumer-centric design: APIs, schemas, and documentation designed for ease of use</w:t>
      </w:r>
    </w:p>
    <w:p>
      <w:pPr>
        <w:pStyle w:val="FirstParagraph"/>
      </w:pPr>
      <w:r>
        <w:rPr>
          <w:b/>
          <w:bCs/>
        </w:rPr>
        <w:t xml:space="preserve">3. Self-Serve Infrastructure</w:t>
      </w:r>
    </w:p>
    <w:p>
      <w:pPr>
        <w:numPr>
          <w:ilvl w:val="0"/>
          <w:numId w:val="1033"/>
        </w:numPr>
      </w:pPr>
      <w:r>
        <w:t xml:space="preserve">Platform team provides tools and infrastructure for domains to build data products independently</w:t>
      </w:r>
    </w:p>
    <w:p>
      <w:pPr>
        <w:numPr>
          <w:ilvl w:val="0"/>
          <w:numId w:val="1033"/>
        </w:numPr>
      </w:pPr>
      <w:r>
        <w:t xml:space="preserve">Low barrier to entry: templates, automation, guided workflows</w:t>
      </w:r>
    </w:p>
    <w:p>
      <w:pPr>
        <w:numPr>
          <w:ilvl w:val="0"/>
          <w:numId w:val="1033"/>
        </w:numPr>
      </w:pPr>
      <w:r>
        <w:t xml:space="preserve">Example tools: dbt for transformations, Airflow for orchestration, Great Expectations for quality</w:t>
      </w:r>
    </w:p>
    <w:p>
      <w:pPr>
        <w:pStyle w:val="FirstParagraph"/>
      </w:pPr>
      <w:r>
        <w:rPr>
          <w:b/>
          <w:bCs/>
        </w:rPr>
        <w:t xml:space="preserve">4. Federated Governance</w:t>
      </w:r>
    </w:p>
    <w:p>
      <w:pPr>
        <w:numPr>
          <w:ilvl w:val="0"/>
          <w:numId w:val="1034"/>
        </w:numPr>
      </w:pPr>
      <w:r>
        <w:t xml:space="preserve">Decentralized execution (domains build and own data products)</w:t>
      </w:r>
    </w:p>
    <w:p>
      <w:pPr>
        <w:numPr>
          <w:ilvl w:val="0"/>
          <w:numId w:val="1034"/>
        </w:numPr>
      </w:pPr>
      <w:r>
        <w:t xml:space="preserve">Centralized standards (enterprise-wide policies for security, privacy, quality)</w:t>
      </w:r>
    </w:p>
    <w:p>
      <w:pPr>
        <w:numPr>
          <w:ilvl w:val="0"/>
          <w:numId w:val="1034"/>
        </w:numPr>
      </w:pPr>
      <w:r>
        <w:t xml:space="preserve">Automated policy enforcement via platform (e.g., data classification tags required)</w:t>
      </w:r>
    </w:p>
    <w:bookmarkEnd w:id="50"/>
    <w:bookmarkStart w:id="52" w:name="Xf4a8d11a7bd307ad2479f14f1b327d1884c952c"/>
    <w:p>
      <w:pPr>
        <w:pStyle w:val="Heading3"/>
      </w:pPr>
      <w:r>
        <w:t xml:space="preserve">4.2 Data Product Components</w:t>
      </w:r>
    </w:p>
    <w:p>
      <w:pPr>
        <w:pStyle w:val="FirstParagraph"/>
      </w:pPr>
      <w:r>
        <w:t xml:space="preserve">Every data product MUST include the following components: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The actual data (batch or streaming)</w:t>
            </w:r>
          </w:p>
        </w:tc>
        <w:tc>
          <w:tcPr/>
          <w:p>
            <w:pPr>
              <w:pStyle w:val="Compact"/>
            </w:pPr>
            <w:r>
              <w:t xml:space="preserve">Customer transactions for last 24 months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Quality guarantees and commitments</w:t>
            </w:r>
          </w:p>
        </w:tc>
        <w:tc>
          <w:tcPr/>
          <w:p>
            <w:pPr>
              <w:pStyle w:val="Compact"/>
            </w:pPr>
            <w:r>
              <w:t xml:space="preserve">99.9% uptime, &lt; 1 hour refresh latency, 99% completeness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Access mechanism(s) for consumers</w:t>
            </w:r>
          </w:p>
        </w:tc>
        <w:tc>
          <w:tcPr/>
          <w:p>
            <w:pPr>
              <w:pStyle w:val="Compact"/>
            </w:pPr>
            <w:r>
              <w:t xml:space="preserve">REST API (JSON), SQL interface (Snowflake), Kafka stream (Avro)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Documentation, schema, lineage, ownership</w:t>
            </w:r>
          </w:p>
        </w:tc>
        <w:tc>
          <w:tcPr/>
          <w:p>
            <w:pPr>
              <w:pStyle w:val="Compact"/>
            </w:pPr>
            <w:r>
              <w:t xml:space="preserve">Schema: customer_id (UUID), transaction_amount (DECIMAL), Lineage: CRM DB → ETL → Data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Automated validation and monitoring</w:t>
            </w:r>
          </w:p>
        </w:tc>
        <w:tc>
          <w:tcPr/>
          <w:p>
            <w:pPr>
              <w:pStyle w:val="Compact"/>
            </w:pPr>
            <w:r>
              <w:t xml:space="preserve">Great Expectations tests: no nulls in customer_id, amount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Ownership</w:t>
            </w:r>
          </w:p>
        </w:tc>
        <w:tc>
          <w:tcPr/>
          <w:p>
            <w:pPr>
              <w:pStyle w:val="Compact"/>
            </w:pPr>
            <w:r>
              <w:t xml:space="preserve">Accountable team and contact</w:t>
            </w:r>
          </w:p>
        </w:tc>
        <w:tc>
          <w:tcPr/>
          <w:p>
            <w:pPr>
              <w:pStyle w:val="Compact"/>
            </w:pPr>
            <w:r>
              <w:t xml:space="preserve">Owner: Retail Banking Data Team, Contact: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retail-data@bnz.co.nz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Policy</w:t>
            </w:r>
          </w:p>
        </w:tc>
        <w:tc>
          <w:tcPr/>
          <w:p>
            <w:pPr>
              <w:pStyle w:val="Compact"/>
            </w:pPr>
            <w:r>
              <w:t xml:space="preserve">Who can consume and how</w:t>
            </w:r>
          </w:p>
        </w:tc>
        <w:tc>
          <w:tcPr/>
          <w:p>
            <w:pPr>
              <w:pStyle w:val="Compact"/>
            </w:pPr>
            <w:r>
              <w:t xml:space="preserve">Role-based: All authenticated BNZ employees (read), Retail domain (read/write)</w:t>
            </w:r>
          </w:p>
        </w:tc>
      </w:tr>
    </w:tbl>
    <w:bookmarkEnd w:id="52"/>
    <w:bookmarkStart w:id="53" w:name="Xbba68135e3157d85b8bf2b531d722b6631ef27c"/>
    <w:p>
      <w:pPr>
        <w:pStyle w:val="Heading3"/>
      </w:pPr>
      <w:r>
        <w:t xml:space="preserve">4.3 When to Use</w:t>
      </w:r>
    </w:p>
    <w:p>
      <w:pPr>
        <w:pStyle w:val="FirstParagraph"/>
      </w:pPr>
      <w:r>
        <w:rPr>
          <w:b/>
          <w:bCs/>
        </w:rPr>
        <w:t xml:space="preserve">Ideal Scenarios</w:t>
      </w:r>
      <w:r>
        <w:t xml:space="preserve">:</w:t>
      </w:r>
    </w:p>
    <w:p>
      <w:pPr>
        <w:numPr>
          <w:ilvl w:val="0"/>
          <w:numId w:val="1035"/>
        </w:numPr>
      </w:pPr>
      <w:r>
        <w:t xml:space="preserve">Large enterprises with multiple business domains (Retail, Corporate, Wealth)</w:t>
      </w:r>
    </w:p>
    <w:p>
      <w:pPr>
        <w:numPr>
          <w:ilvl w:val="0"/>
          <w:numId w:val="1035"/>
        </w:numPr>
      </w:pPr>
      <w:r>
        <w:t xml:space="preserve">Data silos problem: domains cannot easily access each other's data</w:t>
      </w:r>
    </w:p>
    <w:p>
      <w:pPr>
        <w:numPr>
          <w:ilvl w:val="0"/>
          <w:numId w:val="1035"/>
        </w:numPr>
      </w:pPr>
      <w:r>
        <w:t xml:space="preserve">Centralized data warehouse/lake failing to scale (long lead times, bottlenecks)</w:t>
      </w:r>
    </w:p>
    <w:p>
      <w:pPr>
        <w:numPr>
          <w:ilvl w:val="0"/>
          <w:numId w:val="1035"/>
        </w:numPr>
      </w:pPr>
      <w:r>
        <w:t xml:space="preserve">Need for domain autonomy with governance (regulated industries)</w:t>
      </w:r>
    </w:p>
    <w:p>
      <w:pPr>
        <w:numPr>
          <w:ilvl w:val="0"/>
          <w:numId w:val="1035"/>
        </w:numPr>
      </w:pPr>
      <w:r>
        <w:t xml:space="preserve">High data quality requirements with domain expertise needed</w:t>
      </w:r>
    </w:p>
    <w:p>
      <w:pPr>
        <w:pStyle w:val="FirstParagraph"/>
      </w:pPr>
      <w:r>
        <w:rPr>
          <w:b/>
          <w:bCs/>
        </w:rPr>
        <w:t xml:space="preserve">Not Recommended For</w:t>
      </w:r>
      <w:r>
        <w:t xml:space="preserve">:</w:t>
      </w:r>
    </w:p>
    <w:p>
      <w:pPr>
        <w:numPr>
          <w:ilvl w:val="0"/>
          <w:numId w:val="1036"/>
        </w:numPr>
      </w:pPr>
      <w:r>
        <w:t xml:space="preserve">Small organizations with single domain (&lt; 50 people)</w:t>
      </w:r>
    </w:p>
    <w:p>
      <w:pPr>
        <w:numPr>
          <w:ilvl w:val="0"/>
          <w:numId w:val="1036"/>
        </w:numPr>
      </w:pPr>
      <w:r>
        <w:t xml:space="preserve">Simple analytics use cases (basic reporting from single source)</w:t>
      </w:r>
    </w:p>
    <w:p>
      <w:pPr>
        <w:numPr>
          <w:ilvl w:val="0"/>
          <w:numId w:val="1036"/>
        </w:numPr>
      </w:pPr>
      <w:r>
        <w:t xml:space="preserve">Greenfield projects with no existing data infrastructure</w:t>
      </w:r>
    </w:p>
    <w:p>
      <w:pPr>
        <w:numPr>
          <w:ilvl w:val="0"/>
          <w:numId w:val="1036"/>
        </w:numPr>
      </w:pPr>
      <w:r>
        <w:t xml:space="preserve">Organizations without clear domain boundaries</w:t>
      </w:r>
    </w:p>
    <w:bookmarkEnd w:id="53"/>
    <w:bookmarkStart w:id="60" w:name="Xf9ad0ee716c493839b48cfcf56d99656c6f9f98"/>
    <w:p>
      <w:pPr>
        <w:pStyle w:val="Heading3"/>
      </w:pPr>
      <w:r>
        <w:t xml:space="preserve">4.4 BNZ Use Cases</w:t>
      </w:r>
    </w:p>
    <w:p>
      <w:pPr>
        <w:pStyle w:val="FirstParagraph"/>
      </w:pPr>
      <w:r>
        <w:rPr>
          <w:b/>
          <w:bCs/>
        </w:rPr>
        <w:t xml:space="preserve">Foundational Data Product</w:t>
      </w:r>
      <w:r>
        <w:t xml:space="preserve"> </w:t>
      </w:r>
      <w:r>
        <w:t xml:space="preserve">(Enables all use cases):</w:t>
      </w:r>
    </w:p>
    <w:p>
      <w:pPr>
        <w:numPr>
          <w:ilvl w:val="0"/>
          <w:numId w:val="1037"/>
        </w:numPr>
      </w:pPr>
      <w:hyperlink r:id="rId54">
        <w:r>
          <w:rPr>
            <w:rStyle w:val="Hyperlink"/>
            <w:b/>
            <w:bCs/>
          </w:rPr>
          <w:t xml:space="preserve">UC-009</w:t>
        </w:r>
      </w:hyperlink>
      <w:r>
        <w:rPr>
          <w:b/>
          <w:bCs/>
        </w:rPr>
        <w:t xml:space="preserve">: Data Products</w:t>
      </w:r>
      <w:r>
        <w:t xml:space="preserve"> </w:t>
      </w:r>
      <w:r>
        <w:t xml:space="preserve">- Core implementation of data mesh pattern</w:t>
      </w:r>
    </w:p>
    <w:p>
      <w:pPr>
        <w:pStyle w:val="FirstParagraph"/>
      </w:pPr>
      <w:r>
        <w:rPr>
          <w:b/>
          <w:bCs/>
        </w:rPr>
        <w:t xml:space="preserve">Primary Consumers</w:t>
      </w:r>
      <w:r>
        <w:t xml:space="preserve"> </w:t>
      </w:r>
      <w:r>
        <w:t xml:space="preserve">(Direct dependency):</w:t>
      </w:r>
    </w:p>
    <w:p>
      <w:pPr>
        <w:numPr>
          <w:ilvl w:val="0"/>
          <w:numId w:val="1038"/>
        </w:numPr>
      </w:pPr>
      <w:hyperlink r:id="rId55">
        <w:r>
          <w:rPr>
            <w:rStyle w:val="Hyperlink"/>
            <w:b/>
            <w:bCs/>
          </w:rPr>
          <w:t xml:space="preserve">UC-003</w:t>
        </w:r>
      </w:hyperlink>
      <w:r>
        <w:rPr>
          <w:b/>
          <w:bCs/>
        </w:rPr>
        <w:t xml:space="preserve">: Analytics and Reporting</w:t>
      </w:r>
      <w:r>
        <w:t xml:space="preserve"> </w:t>
      </w:r>
      <w:r>
        <w:t xml:space="preserve">- Consumes data products for business intelligence</w:t>
      </w:r>
    </w:p>
    <w:p>
      <w:pPr>
        <w:numPr>
          <w:ilvl w:val="0"/>
          <w:numId w:val="1038"/>
        </w:numPr>
      </w:pPr>
      <w:hyperlink r:id="rId56">
        <w:r>
          <w:rPr>
            <w:rStyle w:val="Hyperlink"/>
            <w:b/>
            <w:bCs/>
          </w:rPr>
          <w:t xml:space="preserve">UC-006</w:t>
        </w:r>
      </w:hyperlink>
      <w:r>
        <w:rPr>
          <w:b/>
          <w:bCs/>
        </w:rPr>
        <w:t xml:space="preserve">: Hyper-Personalization</w:t>
      </w:r>
      <w:r>
        <w:t xml:space="preserve"> </w:t>
      </w:r>
      <w:r>
        <w:t xml:space="preserve">- Consumes customer behavior data products</w:t>
      </w:r>
    </w:p>
    <w:p>
      <w:pPr>
        <w:numPr>
          <w:ilvl w:val="0"/>
          <w:numId w:val="1038"/>
        </w:numPr>
      </w:pPr>
      <w:hyperlink r:id="rId57">
        <w:r>
          <w:rPr>
            <w:rStyle w:val="Hyperlink"/>
            <w:b/>
            <w:bCs/>
          </w:rPr>
          <w:t xml:space="preserve">UC-010</w:t>
        </w:r>
      </w:hyperlink>
      <w:r>
        <w:rPr>
          <w:b/>
          <w:bCs/>
        </w:rPr>
        <w:t xml:space="preserve">: SDLC</w:t>
      </w:r>
      <w:r>
        <w:t xml:space="preserve"> </w:t>
      </w:r>
      <w:r>
        <w:t xml:space="preserve">- Consumes code quality and deployment data products</w:t>
      </w:r>
    </w:p>
    <w:p>
      <w:pPr>
        <w:numPr>
          <w:ilvl w:val="0"/>
          <w:numId w:val="1038"/>
        </w:numPr>
      </w:pPr>
      <w:hyperlink r:id="rId58">
        <w:r>
          <w:rPr>
            <w:rStyle w:val="Hyperlink"/>
            <w:b/>
            <w:bCs/>
          </w:rPr>
          <w:t xml:space="preserve">UC-015</w:t>
        </w:r>
      </w:hyperlink>
      <w:r>
        <w:rPr>
          <w:b/>
          <w:bCs/>
        </w:rPr>
        <w:t xml:space="preserve">: Risk Functions</w:t>
      </w:r>
      <w:r>
        <w:t xml:space="preserve"> </w:t>
      </w:r>
      <w:r>
        <w:t xml:space="preserve">- Consumes risk data products (credit, operational, market)</w:t>
      </w:r>
    </w:p>
    <w:p>
      <w:pPr>
        <w:pStyle w:val="FirstParagraph"/>
      </w:pPr>
      <w:r>
        <w:rPr>
          <w:b/>
          <w:bCs/>
        </w:rPr>
        <w:t xml:space="preserve">Indirect Consumers</w:t>
      </w:r>
      <w:r>
        <w:t xml:space="preserve"> </w:t>
      </w:r>
      <w:r>
        <w:t xml:space="preserve">(All 24 use cases):</w:t>
      </w:r>
    </w:p>
    <w:p>
      <w:pPr>
        <w:numPr>
          <w:ilvl w:val="0"/>
          <w:numId w:val="1039"/>
        </w:numPr>
      </w:pPr>
      <w:r>
        <w:t xml:space="preserve">All AI use cases should consume data via data products, not direct database access</w:t>
      </w:r>
    </w:p>
    <w:p>
      <w:pPr>
        <w:numPr>
          <w:ilvl w:val="0"/>
          <w:numId w:val="1039"/>
        </w:numPr>
      </w:pPr>
      <w:r>
        <w:t xml:space="preserve">Ensures consistent governance, quality, and lineage tracking</w:t>
      </w:r>
    </w:p>
    <w:p>
      <w:pPr>
        <w:numPr>
          <w:ilvl w:val="0"/>
          <w:numId w:val="1039"/>
        </w:numPr>
      </w:pPr>
      <w:r>
        <w:t xml:space="preserve">Example:</w:t>
      </w:r>
      <w:r>
        <w:t xml:space="preserve"> </w:t>
      </w:r>
      <w:hyperlink r:id="rId59">
        <w:r>
          <w:rPr>
            <w:rStyle w:val="Hyperlink"/>
          </w:rPr>
          <w:t xml:space="preserve">UC-001</w:t>
        </w:r>
      </w:hyperlink>
      <w:r>
        <w:t xml:space="preserve"> </w:t>
      </w:r>
      <w:r>
        <w:t xml:space="preserve">(Partnership Banking) consumes "Customer 360" data product instead of querying 10 different databases</w:t>
      </w:r>
    </w:p>
    <w:bookmarkEnd w:id="60"/>
    <w:bookmarkStart w:id="61" w:name="X82a2ae57d93926ed5fe5b4addb92a5c2d303c8a"/>
    <w:p>
      <w:pPr>
        <w:pStyle w:val="Heading3"/>
      </w:pPr>
      <w:r>
        <w:t xml:space="preserve">4.5 Implementation Components</w:t>
      </w:r>
    </w:p>
    <w:p>
      <w:pPr>
        <w:pStyle w:val="FirstParagraph"/>
      </w:pPr>
      <w:r>
        <w:rPr>
          <w:b/>
          <w:bCs/>
        </w:rPr>
        <w:t xml:space="preserve">Technology Stack</w:t>
      </w:r>
      <w:r>
        <w:t xml:space="preserve"> </w:t>
      </w:r>
      <w:r>
        <w:t xml:space="preserve">(2025 Recommendations):</w:t>
      </w:r>
    </w:p>
    <w:p>
      <w:pPr>
        <w:pStyle w:val="BodyText"/>
      </w:pPr>
      <w:r>
        <w:rPr>
          <w:b/>
          <w:bCs/>
        </w:rPr>
        <w:t xml:space="preserve">Data Product Catalog</w:t>
      </w:r>
      <w:r>
        <w:t xml:space="preserve">: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DataHub</w:t>
      </w:r>
      <w:r>
        <w:t xml:space="preserve"> </w:t>
      </w:r>
      <w:r>
        <w:t xml:space="preserve">(LinkedIn open-source) - Modern metadata platform with data lineage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Amundsen</w:t>
      </w:r>
      <w:r>
        <w:t xml:space="preserve"> </w:t>
      </w:r>
      <w:r>
        <w:t xml:space="preserve">(Lyft open-source) - User-friendly data discovery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Alation</w:t>
      </w:r>
      <w:r>
        <w:t xml:space="preserve"> </w:t>
      </w:r>
      <w:r>
        <w:t xml:space="preserve">(Commercial) - Enterprise data catalog with AI-powered search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AWS Glue Catalog</w:t>
      </w:r>
      <w:r>
        <w:t xml:space="preserve"> </w:t>
      </w:r>
      <w:r>
        <w:t xml:space="preserve">(AWS-native) - Serverless metadata repository</w:t>
      </w:r>
    </w:p>
    <w:p>
      <w:pPr>
        <w:pStyle w:val="FirstParagraph"/>
      </w:pPr>
      <w:r>
        <w:rPr>
          <w:b/>
          <w:bCs/>
        </w:rPr>
        <w:t xml:space="preserve">API Gateway</w:t>
      </w:r>
      <w:r>
        <w:t xml:space="preserve">: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Kong</w:t>
      </w:r>
      <w:r>
        <w:t xml:space="preserve"> </w:t>
      </w:r>
      <w:r>
        <w:t xml:space="preserve">- Open-source API gateway with plugin ecosystem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Apigee</w:t>
      </w:r>
      <w:r>
        <w:t xml:space="preserve"> </w:t>
      </w:r>
      <w:r>
        <w:t xml:space="preserve">(Google Cloud) - Enterprise API management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AWS API Gateway</w:t>
      </w:r>
      <w:r>
        <w:t xml:space="preserve"> </w:t>
      </w:r>
      <w:r>
        <w:t xml:space="preserve">- Serverless, scalable API management</w:t>
      </w:r>
    </w:p>
    <w:p>
      <w:pPr>
        <w:pStyle w:val="FirstParagraph"/>
      </w:pPr>
      <w:r>
        <w:rPr>
          <w:b/>
          <w:bCs/>
        </w:rPr>
        <w:t xml:space="preserve">Self-Serve Data Platform</w:t>
      </w:r>
      <w:r>
        <w:t xml:space="preserve">: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Databricks</w:t>
      </w:r>
      <w:r>
        <w:t xml:space="preserve"> </w:t>
      </w:r>
      <w:r>
        <w:t xml:space="preserve">- Unified analytics platform (Spark, Delta Lake, MLflow)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Snowflake</w:t>
      </w:r>
      <w:r>
        <w:t xml:space="preserve"> </w:t>
      </w:r>
      <w:r>
        <w:t xml:space="preserve">- Cloud data warehouse with data sharing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AWS Lake Formation</w:t>
      </w:r>
      <w:r>
        <w:t xml:space="preserve"> </w:t>
      </w:r>
      <w:r>
        <w:t xml:space="preserve">- Managed data lake with governance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dbt</w:t>
      </w:r>
      <w:r>
        <w:t xml:space="preserve"> </w:t>
      </w:r>
      <w:r>
        <w:t xml:space="preserve">- SQL-based transformation tool (infrastructure-as-code)</w:t>
      </w:r>
    </w:p>
    <w:p>
      <w:pPr>
        <w:pStyle w:val="FirstParagraph"/>
      </w:pPr>
      <w:r>
        <w:rPr>
          <w:b/>
          <w:bCs/>
        </w:rPr>
        <w:t xml:space="preserve">Data Quality</w:t>
      </w:r>
      <w:r>
        <w:t xml:space="preserve">: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Great Expectations</w:t>
      </w:r>
      <w:r>
        <w:t xml:space="preserve"> </w:t>
      </w:r>
      <w:r>
        <w:t xml:space="preserve">- Python-based data validation framework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- Data observability and anomaly detection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Datafold</w:t>
      </w:r>
      <w:r>
        <w:t xml:space="preserve"> </w:t>
      </w:r>
      <w:r>
        <w:t xml:space="preserve">- Data diff and quality monitoring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Soda</w:t>
      </w:r>
      <w:r>
        <w:t xml:space="preserve"> </w:t>
      </w:r>
      <w:r>
        <w:t xml:space="preserve">- Data quality testing and monitoring</w:t>
      </w:r>
    </w:p>
    <w:p>
      <w:pPr>
        <w:pStyle w:val="FirstParagraph"/>
      </w:pPr>
      <w:r>
        <w:rPr>
          <w:b/>
          <w:bCs/>
        </w:rPr>
        <w:t xml:space="preserve">Data Lineage</w:t>
      </w:r>
      <w:r>
        <w:t xml:space="preserve">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OpenLineage</w:t>
      </w:r>
      <w:r>
        <w:t xml:space="preserve"> </w:t>
      </w:r>
      <w:r>
        <w:t xml:space="preserve">- Open standard for data lineage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Marquez</w:t>
      </w:r>
      <w:r>
        <w:t xml:space="preserve"> </w:t>
      </w:r>
      <w:r>
        <w:t xml:space="preserve">(open-source) - Metadata service for lineage collection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DataHub</w:t>
      </w:r>
      <w:r>
        <w:t xml:space="preserve"> </w:t>
      </w:r>
      <w:r>
        <w:t xml:space="preserve">- Includes built-in lineage tracking</w:t>
      </w:r>
    </w:p>
    <w:bookmarkEnd w:id="61"/>
    <w:bookmarkStart w:id="62" w:name="X8efb0218ec3279b4e63139ae1958438cb534dfa"/>
    <w:p>
      <w:pPr>
        <w:pStyle w:val="Heading3"/>
      </w:pPr>
      <w:r>
        <w:t xml:space="preserve">4.6 Best Practices (2025)</w:t>
      </w:r>
    </w:p>
    <w:p>
      <w:pPr>
        <w:pStyle w:val="FirstParagraph"/>
      </w:pPr>
      <w:r>
        <w:rPr>
          <w:b/>
          <w:bCs/>
        </w:rPr>
        <w:t xml:space="preserve">Start Small, Expand Incrementally</w:t>
      </w:r>
      <w:r>
        <w:t xml:space="preserve">:</w:t>
      </w:r>
    </w:p>
    <w:p>
      <w:pPr>
        <w:numPr>
          <w:ilvl w:val="0"/>
          <w:numId w:val="1045"/>
        </w:numPr>
      </w:pPr>
      <w:r>
        <w:t xml:space="preserve">Begin with 1-2 pilot domains (e.g., Retail Banking, Corporate Banking)</w:t>
      </w:r>
    </w:p>
    <w:p>
      <w:pPr>
        <w:numPr>
          <w:ilvl w:val="0"/>
          <w:numId w:val="1045"/>
        </w:numPr>
      </w:pPr>
      <w:r>
        <w:t xml:space="preserve">Build 3-5 high-value data products in each domain</w:t>
      </w:r>
    </w:p>
    <w:p>
      <w:pPr>
        <w:numPr>
          <w:ilvl w:val="0"/>
          <w:numId w:val="1045"/>
        </w:numPr>
      </w:pPr>
      <w:r>
        <w:t xml:space="preserve">Learn, refine platform and governance, then expand to more domains</w:t>
      </w:r>
    </w:p>
    <w:p>
      <w:pPr>
        <w:pStyle w:val="FirstParagraph"/>
      </w:pPr>
      <w:r>
        <w:rPr>
          <w:b/>
          <w:bCs/>
        </w:rPr>
        <w:t xml:space="preserve">Define Data Product Standards</w:t>
      </w:r>
      <w:r>
        <w:t xml:space="preserve">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SLA Template</w:t>
      </w:r>
      <w:r>
        <w:t xml:space="preserve">: Define minimum SLAs (uptime, latency, quality thresholds)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Quality Checks</w:t>
      </w:r>
      <w:r>
        <w:t xml:space="preserve">: Standardize data quality tests (Great Expectations templates)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API Patterns</w:t>
      </w:r>
      <w:r>
        <w:t xml:space="preserve">: REST API standards (versioning, pagination, error handling)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Documentation</w:t>
      </w:r>
      <w:r>
        <w:t xml:space="preserve">: Required metadata (schema, lineage, examples, changelog)</w:t>
      </w:r>
    </w:p>
    <w:p>
      <w:pPr>
        <w:pStyle w:val="FirstParagraph"/>
      </w:pPr>
      <w:r>
        <w:rPr>
          <w:b/>
          <w:bCs/>
        </w:rPr>
        <w:t xml:space="preserve">Implement Federated Governance</w:t>
      </w:r>
      <w:r>
        <w:t xml:space="preserve">: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Central Policies</w:t>
      </w:r>
      <w:r>
        <w:t xml:space="preserve">: Data classification, retention, privacy (GDPR, CCPA)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Domain Execution</w:t>
      </w:r>
      <w:r>
        <w:t xml:space="preserve">: Domains apply policies to their data products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Automated Enforcement</w:t>
      </w:r>
      <w:r>
        <w:t xml:space="preserve">: Platform validates compliance (e.g., PII detection, encryption)</w:t>
      </w:r>
    </w:p>
    <w:p>
      <w:pPr>
        <w:pStyle w:val="FirstParagraph"/>
      </w:pPr>
      <w:r>
        <w:rPr>
          <w:b/>
          <w:bCs/>
        </w:rPr>
        <w:t xml:space="preserve">Use Data Contracts</w:t>
      </w:r>
      <w:r>
        <w:t xml:space="preserve">:</w:t>
      </w:r>
    </w:p>
    <w:p>
      <w:pPr>
        <w:numPr>
          <w:ilvl w:val="0"/>
          <w:numId w:val="1048"/>
        </w:numPr>
      </w:pPr>
      <w:r>
        <w:t xml:space="preserve">Formal agreement between data producer (domain) and consumers</w:t>
      </w:r>
    </w:p>
    <w:p>
      <w:pPr>
        <w:numPr>
          <w:ilvl w:val="0"/>
          <w:numId w:val="1048"/>
        </w:numPr>
      </w:pPr>
      <w:r>
        <w:t xml:space="preserve">Specifies: schema, SLA, breaking change policy, support model</w:t>
      </w:r>
    </w:p>
    <w:p>
      <w:pPr>
        <w:numPr>
          <w:ilvl w:val="0"/>
          <w:numId w:val="1048"/>
        </w:numPr>
      </w:pPr>
      <w:r>
        <w:t xml:space="preserve">Example: "Customer 360" data product guarantees schema stability for 6 months</w:t>
      </w:r>
    </w:p>
    <w:p>
      <w:pPr>
        <w:pStyle w:val="FirstParagraph"/>
      </w:pPr>
      <w:r>
        <w:rPr>
          <w:b/>
          <w:bCs/>
        </w:rPr>
        <w:t xml:space="preserve">Monitor Data Product Health</w:t>
      </w:r>
      <w:r>
        <w:t xml:space="preserve">:</w:t>
      </w:r>
    </w:p>
    <w:p>
      <w:pPr>
        <w:numPr>
          <w:ilvl w:val="0"/>
          <w:numId w:val="1049"/>
        </w:numPr>
      </w:pPr>
      <w:r>
        <w:t xml:space="preserve">Track SLA compliance: uptime (99.9%), latency (&lt; 1 hour), quality (99% completeness)</w:t>
      </w:r>
    </w:p>
    <w:p>
      <w:pPr>
        <w:numPr>
          <w:ilvl w:val="0"/>
          <w:numId w:val="1049"/>
        </w:numPr>
      </w:pPr>
      <w:r>
        <w:t xml:space="preserve">Alert on degradation: data product owner notified within 5 minutes</w:t>
      </w:r>
    </w:p>
    <w:p>
      <w:pPr>
        <w:numPr>
          <w:ilvl w:val="0"/>
          <w:numId w:val="1049"/>
        </w:numPr>
      </w:pPr>
      <w:r>
        <w:t xml:space="preserve">Publish health dashboard: consumers can see real-time data product status</w:t>
      </w:r>
    </w:p>
    <w:p>
      <w:pPr>
        <w:pStyle w:val="FirstParagraph"/>
      </w:pPr>
      <w:r>
        <w:rPr>
          <w:b/>
          <w:bCs/>
        </w:rPr>
        <w:t xml:space="preserve">Incentivize Data Product Ownership</w:t>
      </w:r>
      <w:r>
        <w:t xml:space="preserve">:</w:t>
      </w:r>
    </w:p>
    <w:p>
      <w:pPr>
        <w:numPr>
          <w:ilvl w:val="0"/>
          <w:numId w:val="1050"/>
        </w:numPr>
      </w:pPr>
      <w:r>
        <w:t xml:space="preserve">Make data product quality part of domain team OKRs/KPIs</w:t>
      </w:r>
    </w:p>
    <w:p>
      <w:pPr>
        <w:numPr>
          <w:ilvl w:val="0"/>
          <w:numId w:val="1050"/>
        </w:numPr>
      </w:pPr>
      <w:r>
        <w:t xml:space="preserve">Recognize high-quality data products (e.g., "Data Product of the Quarter")</w:t>
      </w:r>
    </w:p>
    <w:p>
      <w:pPr>
        <w:numPr>
          <w:ilvl w:val="0"/>
          <w:numId w:val="1050"/>
        </w:numPr>
      </w:pPr>
      <w:r>
        <w:t xml:space="preserve">Chargeback model: Consumers pay for data product usage (aligns incentives)</w:t>
      </w:r>
    </w:p>
    <w:bookmarkEnd w:id="62"/>
    <w:bookmarkStart w:id="63" w:name="Xc749b8920c2ab8ff4876a978ee386e902f125ee"/>
    <w:p>
      <w:pPr>
        <w:pStyle w:val="Heading3"/>
      </w:pPr>
      <w:r>
        <w:t xml:space="preserve">4.7 Migration Strategy</w:t>
      </w:r>
    </w:p>
    <w:p>
      <w:pPr>
        <w:pStyle w:val="FirstParagraph"/>
      </w:pPr>
      <w:r>
        <w:rPr>
          <w:b/>
          <w:bCs/>
        </w:rPr>
        <w:t xml:space="preserve">Phase 1: Foundation (Months 1-3)</w:t>
      </w:r>
    </w:p>
    <w:p>
      <w:pPr>
        <w:numPr>
          <w:ilvl w:val="0"/>
          <w:numId w:val="1051"/>
        </w:numPr>
      </w:pPr>
      <w:r>
        <w:t xml:space="preserve">Select 1-2 pilot domains</w:t>
      </w:r>
    </w:p>
    <w:p>
      <w:pPr>
        <w:numPr>
          <w:ilvl w:val="0"/>
          <w:numId w:val="1051"/>
        </w:numPr>
      </w:pPr>
      <w:r>
        <w:t xml:space="preserve">Deploy self-serve platform (dbt, Airflow, Snowflake/Databricks)</w:t>
      </w:r>
    </w:p>
    <w:p>
      <w:pPr>
        <w:numPr>
          <w:ilvl w:val="0"/>
          <w:numId w:val="1051"/>
        </w:numPr>
      </w:pPr>
      <w:r>
        <w:t xml:space="preserve">Deploy data product catalog (DataHub or Amundsen)</w:t>
      </w:r>
    </w:p>
    <w:p>
      <w:pPr>
        <w:numPr>
          <w:ilvl w:val="0"/>
          <w:numId w:val="1051"/>
        </w:numPr>
      </w:pPr>
      <w:r>
        <w:t xml:space="preserve">Define data product standards and templates</w:t>
      </w:r>
    </w:p>
    <w:p>
      <w:pPr>
        <w:pStyle w:val="FirstParagraph"/>
      </w:pPr>
      <w:r>
        <w:rPr>
          <w:b/>
          <w:bCs/>
        </w:rPr>
        <w:t xml:space="preserve">Phase 2: Pilot (Months 4-6)</w:t>
      </w:r>
    </w:p>
    <w:p>
      <w:pPr>
        <w:numPr>
          <w:ilvl w:val="0"/>
          <w:numId w:val="1052"/>
        </w:numPr>
      </w:pPr>
      <w:r>
        <w:t xml:space="preserve">Build 3-5 data products per pilot domain</w:t>
      </w:r>
    </w:p>
    <w:p>
      <w:pPr>
        <w:numPr>
          <w:ilvl w:val="0"/>
          <w:numId w:val="1052"/>
        </w:numPr>
      </w:pPr>
      <w:r>
        <w:t xml:space="preserve">Onboard 5-10 consumers (AI use cases, analytics teams)</w:t>
      </w:r>
    </w:p>
    <w:p>
      <w:pPr>
        <w:numPr>
          <w:ilvl w:val="0"/>
          <w:numId w:val="1052"/>
        </w:numPr>
      </w:pPr>
      <w:r>
        <w:t xml:space="preserve">Implement federated governance policies</w:t>
      </w:r>
    </w:p>
    <w:p>
      <w:pPr>
        <w:numPr>
          <w:ilvl w:val="0"/>
          <w:numId w:val="1052"/>
        </w:numPr>
      </w:pPr>
      <w:r>
        <w:t xml:space="preserve">Deploy data quality and lineage tracking</w:t>
      </w:r>
    </w:p>
    <w:p>
      <w:pPr>
        <w:pStyle w:val="FirstParagraph"/>
      </w:pPr>
      <w:r>
        <w:rPr>
          <w:b/>
          <w:bCs/>
        </w:rPr>
        <w:t xml:space="preserve">Phase 3: Scale (Months 7-12)</w:t>
      </w:r>
    </w:p>
    <w:p>
      <w:pPr>
        <w:numPr>
          <w:ilvl w:val="0"/>
          <w:numId w:val="1053"/>
        </w:numPr>
      </w:pPr>
      <w:r>
        <w:t xml:space="preserve">Expand to 3-5 additional domains</w:t>
      </w:r>
    </w:p>
    <w:p>
      <w:pPr>
        <w:numPr>
          <w:ilvl w:val="0"/>
          <w:numId w:val="1053"/>
        </w:numPr>
      </w:pPr>
      <w:r>
        <w:t xml:space="preserve">Build 20-30 total data products</w:t>
      </w:r>
    </w:p>
    <w:p>
      <w:pPr>
        <w:numPr>
          <w:ilvl w:val="0"/>
          <w:numId w:val="1053"/>
        </w:numPr>
      </w:pPr>
      <w:r>
        <w:t xml:space="preserve">Transition existing centralized data pipelines to data mesh</w:t>
      </w:r>
    </w:p>
    <w:p>
      <w:pPr>
        <w:numPr>
          <w:ilvl w:val="0"/>
          <w:numId w:val="1053"/>
        </w:numPr>
      </w:pPr>
      <w:r>
        <w:t xml:space="preserve">Establish data product support model (domain-owned)</w:t>
      </w:r>
    </w:p>
    <w:p>
      <w:pPr>
        <w:pStyle w:val="FirstParagraph"/>
      </w:pPr>
      <w:r>
        <w:rPr>
          <w:b/>
          <w:bCs/>
        </w:rPr>
        <w:t xml:space="preserve">Phase 4: Optimize (Months 13+)</w:t>
      </w:r>
    </w:p>
    <w:p>
      <w:pPr>
        <w:numPr>
          <w:ilvl w:val="0"/>
          <w:numId w:val="1054"/>
        </w:numPr>
      </w:pPr>
      <w:r>
        <w:t xml:space="preserve">Continuous improvement based on consumer feedback</w:t>
      </w:r>
    </w:p>
    <w:p>
      <w:pPr>
        <w:numPr>
          <w:ilvl w:val="0"/>
          <w:numId w:val="1054"/>
        </w:numPr>
      </w:pPr>
      <w:r>
        <w:t xml:space="preserve">Advanced features: data marketplace, monetization, cross-domain data products</w:t>
      </w:r>
    </w:p>
    <w:p>
      <w:pPr>
        <w:numPr>
          <w:ilvl w:val="0"/>
          <w:numId w:val="1054"/>
        </w:numPr>
      </w:pPr>
      <w:r>
        <w:t xml:space="preserve">Automated data product generation (AI-assisted)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X7f3546b06e1ec56ff68c6891f31be823b8faad9"/>
    <w:p>
      <w:pPr>
        <w:pStyle w:val="Heading2"/>
      </w:pPr>
      <w:r>
        <w:t xml:space="preserve">5. Quality Attributes and NFRs</w:t>
      </w:r>
    </w:p>
    <w:bookmarkStart w:id="65" w:name="Xab0ffe7ff3d1f2725fe9b055a53010c972e9f1f"/>
    <w:p>
      <w:pPr>
        <w:pStyle w:val="Heading3"/>
      </w:pPr>
      <w:r>
        <w:t xml:space="preserve">5.1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Latency</w:t>
            </w:r>
          </w:p>
        </w:tc>
        <w:tc>
          <w:tcPr/>
          <w:p>
            <w:pPr>
              <w:pStyle w:val="Compact"/>
            </w:pPr>
            <w:r>
              <w:t xml:space="preserve">&lt; 100ms (p95)</w:t>
            </w:r>
          </w:p>
        </w:tc>
        <w:tc>
          <w:tcPr/>
          <w:p>
            <w:pPr>
              <w:pStyle w:val="Compact"/>
            </w:pPr>
            <w:r>
              <w:t xml:space="preserve">Per data product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Refresh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  <w:tc>
          <w:tcPr/>
          <w:p>
            <w:pPr>
              <w:pStyle w:val="Compact"/>
            </w:pPr>
            <w:r>
              <w:t xml:space="preserve">Time from source update to data product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 Search</w:t>
            </w:r>
          </w:p>
        </w:tc>
        <w:tc>
          <w:tcPr/>
          <w:p>
            <w:pPr>
              <w:pStyle w:val="Compact"/>
            </w:pPr>
            <w:r>
              <w:t xml:space="preserve">&lt; 2 seconds</w:t>
            </w:r>
          </w:p>
        </w:tc>
        <w:tc>
          <w:tcPr/>
          <w:p>
            <w:pPr>
              <w:pStyle w:val="Compact"/>
            </w:pPr>
            <w:r>
              <w:t xml:space="preserve">Time to search and retrieve data product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 Latency</w:t>
            </w:r>
          </w:p>
        </w:tc>
        <w:tc>
          <w:tcPr/>
          <w:p>
            <w:pPr>
              <w:pStyle w:val="Compact"/>
            </w:pPr>
            <w:r>
              <w:t xml:space="preserve">&lt; 1 second</w:t>
            </w:r>
          </w:p>
        </w:tc>
        <w:tc>
          <w:tcPr/>
          <w:p>
            <w:pPr>
              <w:pStyle w:val="Compact"/>
            </w:pPr>
            <w:r>
              <w:t xml:space="preserve">End-to-end latency for streaming data products</w:t>
            </w:r>
          </w:p>
        </w:tc>
      </w:tr>
    </w:tbl>
    <w:bookmarkEnd w:id="65"/>
    <w:bookmarkStart w:id="66" w:name="X6117bbf201dbae86377284ab29978943b51606c"/>
    <w:p>
      <w:pPr>
        <w:pStyle w:val="Heading3"/>
      </w:pPr>
      <w:r>
        <w:t xml:space="preserve">5.2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Uptime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Per data product SLA (measured monthly)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Catalog Availability</w:t>
            </w:r>
          </w:p>
        </w:tc>
        <w:tc>
          <w:tcPr/>
          <w:p>
            <w:pPr>
              <w:pStyle w:val="Compact"/>
            </w:pPr>
            <w:r>
              <w:t xml:space="preserve">99.95%</w:t>
            </w:r>
          </w:p>
        </w:tc>
        <w:tc>
          <w:tcPr/>
          <w:p>
            <w:pPr>
              <w:pStyle w:val="Compact"/>
            </w:pPr>
            <w:r>
              <w:t xml:space="preserve">Catalog search and metadata APIs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Availability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Self-serve platform tools and infrastructure</w:t>
            </w:r>
          </w:p>
        </w:tc>
      </w:tr>
    </w:tbl>
    <w:bookmarkEnd w:id="66"/>
    <w:bookmarkStart w:id="67" w:name="X20302ced093c0cb188d3ef6f0c8c02a01b4882d"/>
    <w:p>
      <w:pPr>
        <w:pStyle w:val="Heading3"/>
      </w:pPr>
      <w:r>
        <w:t xml:space="preserve">5.3 Scalability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Data Products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t xml:space="preserve">Horizontal scaling of catalog and API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Consumers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API gateway auto-scaling, caching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Volume</w:t>
            </w:r>
          </w:p>
        </w:tc>
        <w:tc>
          <w:tcPr/>
          <w:p>
            <w:pPr>
              <w:pStyle w:val="Compact"/>
            </w:pPr>
            <w:r>
              <w:t xml:space="preserve">100TB+ per domain</w:t>
            </w:r>
          </w:p>
        </w:tc>
        <w:tc>
          <w:tcPr/>
          <w:p>
            <w:pPr>
              <w:pStyle w:val="Compact"/>
            </w:pPr>
            <w:r>
              <w:t xml:space="preserve">Distributed storage (S3, ADLS), partitioning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Throughput</w:t>
            </w:r>
          </w:p>
        </w:tc>
        <w:tc>
          <w:tcPr/>
          <w:p>
            <w:pPr>
              <w:pStyle w:val="Compact"/>
            </w:pPr>
            <w:r>
              <w:t xml:space="preserve">10,000 queries/sec</w:t>
            </w:r>
          </w:p>
        </w:tc>
        <w:tc>
          <w:tcPr/>
          <w:p>
            <w:pPr>
              <w:pStyle w:val="Compact"/>
            </w:pPr>
            <w:r>
              <w:t xml:space="preserve">Load balancing, read replicas, caching</w:t>
            </w:r>
          </w:p>
        </w:tc>
      </w:tr>
    </w:tbl>
    <w:bookmarkEnd w:id="67"/>
    <w:bookmarkStart w:id="68" w:name="X6e6c4c80e32b77a206e9b5a9ab2f9f350bca83e"/>
    <w:p>
      <w:pPr>
        <w:pStyle w:val="Heading3"/>
      </w:pPr>
      <w:r>
        <w:t xml:space="preserve">5.4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OAuth 2.0, JWT tokens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RBAC via API Gateway</w:t>
            </w:r>
          </w:p>
        </w:tc>
        <w:tc>
          <w:tcPr/>
          <w:p>
            <w:pPr>
              <w:pStyle w:val="Compact"/>
            </w:pPr>
            <w:r>
              <w:t xml:space="preserve">Least privilege principle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FIPS 140-2 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in Transit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Industry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Automated PII/sensitive data detection</w:t>
            </w:r>
          </w:p>
        </w:tc>
        <w:tc>
          <w:tcPr/>
          <w:p>
            <w:pPr>
              <w:pStyle w:val="Compact"/>
            </w:pPr>
            <w:r>
              <w:t xml:space="preserve">GDPR, CCPA compliance</w:t>
            </w:r>
          </w:p>
        </w:tc>
      </w:tr>
    </w:tbl>
    <w:bookmarkEnd w:id="68"/>
    <w:bookmarkStart w:id="69" w:name="X572bd54ef876711e1d4904b61d6c4e2647968ba"/>
    <w:p>
      <w:pPr>
        <w:pStyle w:val="Heading3"/>
      </w:pPr>
      <w:r>
        <w:t xml:space="preserve">5.5 Data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99% (no missing critical fields)</w:t>
            </w:r>
          </w:p>
        </w:tc>
        <w:tc>
          <w:tcPr/>
          <w:p>
            <w:pPr>
              <w:pStyle w:val="Compact"/>
            </w:pPr>
            <w:r>
              <w:t xml:space="preserve">Automated Great Expectations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99% (validated against source)</w:t>
            </w:r>
          </w:p>
        </w:tc>
        <w:tc>
          <w:tcPr/>
          <w:p>
            <w:pPr>
              <w:pStyle w:val="Compact"/>
            </w:pPr>
            <w:r>
              <w:t xml:space="preserve">Sample-based validation, anomaly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Timeliness</w:t>
            </w:r>
          </w:p>
        </w:tc>
        <w:tc>
          <w:tcPr/>
          <w:p>
            <w:pPr>
              <w:pStyle w:val="Compact"/>
            </w:pPr>
            <w:r>
              <w:t xml:space="preserve">&lt; 1 hour lag from source</w:t>
            </w:r>
          </w:p>
        </w:tc>
        <w:tc>
          <w:tcPr/>
          <w:p>
            <w:pPr>
              <w:pStyle w:val="Compact"/>
            </w:pPr>
            <w:r>
              <w:t xml:space="preserve">SLA monitoring, alerting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100% (referential integrity)</w:t>
            </w:r>
          </w:p>
        </w:tc>
        <w:tc>
          <w:tcPr/>
          <w:p>
            <w:pPr>
              <w:pStyle w:val="Compact"/>
            </w:pPr>
            <w:r>
              <w:t xml:space="preserve">Cross-domain data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3" w:name="Xf6280ac37a3f7e147cb310beee68ff012360f2d"/>
    <w:p>
      <w:pPr>
        <w:pStyle w:val="Heading2"/>
      </w:pPr>
      <w:r>
        <w:t xml:space="preserve">6. Risks and Mitigations</w:t>
      </w:r>
    </w:p>
    <w:bookmarkStart w:id="71" w:name="X918a83701a1f09829cfd94077c8362686a2e571"/>
    <w:p>
      <w:pPr>
        <w:pStyle w:val="Heading3"/>
      </w:pPr>
      <w:r>
        <w:t xml:space="preserve">6.1 Key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teams lack data engineering skills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Provide training, templates, and platform team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inconsistency across domains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Automated policy enforcement via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duplication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Catalog search, discovery workshops, governance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violations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Automated monitoring, alerting, escalation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complexity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Simplify with low-code tools, guided workflows,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Cross-domain data products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Clear ownership model, shared responsibility agreements</w:t>
            </w:r>
          </w:p>
        </w:tc>
      </w:tr>
    </w:tbl>
    <w:bookmarkEnd w:id="71"/>
    <w:bookmarkStart w:id="72" w:name="Xda76f45bdd68edbc43a2eea4f51af3611e1bf08"/>
    <w:p>
      <w:pPr>
        <w:pStyle w:val="Heading3"/>
      </w:pPr>
      <w:r>
        <w:t xml:space="preserve">6.2 Change Management</w:t>
      </w:r>
    </w:p>
    <w:p>
      <w:pPr>
        <w:pStyle w:val="FirstParagraph"/>
      </w:pPr>
      <w:r>
        <w:rPr>
          <w:b/>
          <w:bCs/>
        </w:rPr>
        <w:t xml:space="preserve">Organizational Change</w:t>
      </w:r>
      <w:r>
        <w:t xml:space="preserve">:</w:t>
      </w:r>
    </w:p>
    <w:p>
      <w:pPr>
        <w:numPr>
          <w:ilvl w:val="0"/>
          <w:numId w:val="1055"/>
        </w:numPr>
      </w:pPr>
      <w:r>
        <w:t xml:space="preserve">Shift from centralized to decentralized mindset (biggest challenge)</w:t>
      </w:r>
    </w:p>
    <w:p>
      <w:pPr>
        <w:numPr>
          <w:ilvl w:val="0"/>
          <w:numId w:val="1055"/>
        </w:numPr>
      </w:pPr>
      <w:r>
        <w:t xml:space="preserve">Domain teams now accountable for data product quality and support</w:t>
      </w:r>
    </w:p>
    <w:p>
      <w:pPr>
        <w:numPr>
          <w:ilvl w:val="0"/>
          <w:numId w:val="1055"/>
        </w:numPr>
      </w:pPr>
      <w:r>
        <w:t xml:space="preserve">Central team transitions from "doers" to "enablers"</w:t>
      </w:r>
    </w:p>
    <w:p>
      <w:pPr>
        <w:pStyle w:val="FirstParagraph"/>
      </w:pPr>
      <w:r>
        <w:rPr>
          <w:b/>
          <w:bCs/>
        </w:rPr>
        <w:t xml:space="preserve">Training Requirements</w:t>
      </w:r>
      <w:r>
        <w:t xml:space="preserve">:</w:t>
      </w:r>
    </w:p>
    <w:p>
      <w:pPr>
        <w:numPr>
          <w:ilvl w:val="0"/>
          <w:numId w:val="1056"/>
        </w:numPr>
      </w:pPr>
      <w:r>
        <w:t xml:space="preserve">Domain teams: Data product thinking, dbt, Airflow, data quality (2-week training)</w:t>
      </w:r>
    </w:p>
    <w:p>
      <w:pPr>
        <w:numPr>
          <w:ilvl w:val="0"/>
          <w:numId w:val="1056"/>
        </w:numPr>
      </w:pPr>
      <w:r>
        <w:t xml:space="preserve">Platform team: Infrastructure-as-code, Kubernetes, API gateway (4-week training)</w:t>
      </w:r>
    </w:p>
    <w:p>
      <w:pPr>
        <w:numPr>
          <w:ilvl w:val="0"/>
          <w:numId w:val="1056"/>
        </w:numPr>
      </w:pPr>
      <w:r>
        <w:t xml:space="preserve">Consumers: Catalog search, API consumption, data contracts (1-day training)</w:t>
      </w:r>
    </w:p>
    <w:p>
      <w:pPr>
        <w:pStyle w:val="FirstParagraph"/>
      </w:pPr>
      <w:r>
        <w:rPr>
          <w:b/>
          <w:bCs/>
        </w:rPr>
        <w:t xml:space="preserve">Communication Plan</w:t>
      </w:r>
      <w:r>
        <w:t xml:space="preserve">:</w:t>
      </w:r>
    </w:p>
    <w:p>
      <w:pPr>
        <w:numPr>
          <w:ilvl w:val="0"/>
          <w:numId w:val="1057"/>
        </w:numPr>
      </w:pPr>
      <w:r>
        <w:t xml:space="preserve">Executive sponsorship: Secure buy-in from domain leaders</w:t>
      </w:r>
    </w:p>
    <w:p>
      <w:pPr>
        <w:numPr>
          <w:ilvl w:val="0"/>
          <w:numId w:val="1057"/>
        </w:numPr>
      </w:pPr>
      <w:r>
        <w:t xml:space="preserve">Quarterly showcases: Highlight successful data products</w:t>
      </w:r>
    </w:p>
    <w:p>
      <w:pPr>
        <w:numPr>
          <w:ilvl w:val="0"/>
          <w:numId w:val="1057"/>
        </w:numPr>
      </w:pPr>
      <w:r>
        <w:t xml:space="preserve">Monthly community of practice: Domain teams share lessons learned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X08b75523cc0386349822e662697569ca20b737d"/>
    <w:p>
      <w:pPr>
        <w:pStyle w:val="Heading2"/>
      </w:pPr>
      <w:r>
        <w:t xml:space="preserve">7. Success Metrics</w:t>
      </w:r>
    </w:p>
    <w:bookmarkStart w:id="74" w:name="Xe641f142c7c0af3bf84187bb2df89a29660995e"/>
    <w:p>
      <w:pPr>
        <w:pStyle w:val="Heading3"/>
      </w:pPr>
      <w:r>
        <w:t xml:space="preserve">7.1 Leading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 of Data Products</w:t>
            </w:r>
          </w:p>
        </w:tc>
        <w:tc>
          <w:tcPr/>
          <w:p>
            <w:pPr>
              <w:pStyle w:val="Compact"/>
            </w:pPr>
            <w:r>
              <w:t xml:space="preserve">50 by Year 1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Adoption Rate</w:t>
            </w:r>
          </w:p>
        </w:tc>
        <w:tc>
          <w:tcPr/>
          <w:p>
            <w:pPr>
              <w:pStyle w:val="Compact"/>
            </w:pPr>
            <w:r>
              <w:t xml:space="preserve">80% of AI use cases consuming data products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Publish Data Product</w:t>
            </w:r>
          </w:p>
        </w:tc>
        <w:tc>
          <w:tcPr/>
          <w:p>
            <w:pPr>
              <w:pStyle w:val="Compact"/>
            </w:pPr>
            <w:r>
              <w:t xml:space="preserve">&lt; 2 weeks (from idea to production)</w:t>
            </w:r>
          </w:p>
        </w:tc>
        <w:tc>
          <w:tcPr/>
          <w:p>
            <w:pPr>
              <w:pStyle w:val="Compact"/>
            </w:pPr>
            <w:r>
              <w:t xml:space="preserve">Per data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 Team Satisfaction</w:t>
            </w:r>
          </w:p>
        </w:tc>
        <w:tc>
          <w:tcPr/>
          <w:p>
            <w:pPr>
              <w:pStyle w:val="Compact"/>
            </w:pPr>
            <w:r>
              <w:t xml:space="preserve">4.0/5.0 (self-serve platform ease of use)</w:t>
            </w:r>
          </w:p>
        </w:tc>
        <w:tc>
          <w:tcPr/>
          <w:p>
            <w:pPr>
              <w:pStyle w:val="Compact"/>
            </w:pPr>
            <w:r>
              <w:t xml:space="preserve">Quarterly survey</w:t>
            </w:r>
          </w:p>
        </w:tc>
      </w:tr>
    </w:tbl>
    <w:bookmarkEnd w:id="74"/>
    <w:bookmarkStart w:id="75" w:name="Xec5db8206755fa84eba86516837bfce831615ab"/>
    <w:p>
      <w:pPr>
        <w:pStyle w:val="Heading3"/>
      </w:pPr>
      <w:r>
        <w:t xml:space="preserve">7.2 Lagging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 Frequency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to Data Access</w:t>
            </w:r>
          </w:p>
        </w:tc>
        <w:tc>
          <w:tcPr/>
          <w:p>
            <w:pPr>
              <w:pStyle w:val="Compact"/>
            </w:pPr>
            <w:r>
              <w:t xml:space="preserve">Reduced from 4 weeks to &lt; 1 week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Incidents</w:t>
            </w:r>
          </w:p>
        </w:tc>
        <w:tc>
          <w:tcPr/>
          <w:p>
            <w:pPr>
              <w:pStyle w:val="Compact"/>
            </w:pPr>
            <w:r>
              <w:t xml:space="preserve">&lt; 5 per month across all data products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 SLA Compliance</w:t>
            </w:r>
          </w:p>
        </w:tc>
        <w:tc>
          <w:tcPr/>
          <w:p>
            <w:pPr>
              <w:pStyle w:val="Compact"/>
            </w:pPr>
            <w:r>
              <w:t xml:space="preserve">95% of data products meet SLA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 Satisfaction</w:t>
            </w:r>
          </w:p>
        </w:tc>
        <w:tc>
          <w:tcPr/>
          <w:p>
            <w:pPr>
              <w:pStyle w:val="Compact"/>
            </w:pPr>
            <w:r>
              <w:t xml:space="preserve">4.2/5.0 (data product quality and usability)</w:t>
            </w:r>
          </w:p>
        </w:tc>
        <w:tc>
          <w:tcPr/>
          <w:p>
            <w:pPr>
              <w:pStyle w:val="Compact"/>
            </w:pPr>
            <w:r>
              <w:t xml:space="preserve">Quarterly survey</w:t>
            </w:r>
          </w:p>
        </w:tc>
      </w:tr>
    </w:tbl>
    <w:bookmarkEnd w:id="75"/>
    <w:bookmarkStart w:id="76" w:name="X9019a0c3450b18134dc892e87c0f00e8274080b"/>
    <w:p>
      <w:pPr>
        <w:pStyle w:val="Heading3"/>
      </w:pPr>
      <w:r>
        <w:t xml:space="preserve">7.3 Business Outcomes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Reduced Time to Insights</w:t>
            </w:r>
          </w:p>
        </w:tc>
        <w:tc>
          <w:tcPr/>
          <w:p>
            <w:pPr>
              <w:pStyle w:val="Compact"/>
            </w:pPr>
            <w:r>
              <w:t xml:space="preserve">50% reduction in time from data request to insight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Increased Data Reuse</w:t>
            </w:r>
          </w:p>
        </w:tc>
        <w:tc>
          <w:tcPr/>
          <w:p>
            <w:pPr>
              <w:pStyle w:val="Compact"/>
            </w:pPr>
            <w:r>
              <w:t xml:space="preserve">3x increase in data reuse across domains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Savings</w:t>
            </w:r>
          </w:p>
        </w:tc>
        <w:tc>
          <w:tcPr/>
          <w:p>
            <w:pPr>
              <w:pStyle w:val="Compact"/>
            </w:pPr>
            <w:r>
              <w:t xml:space="preserve">30% reduction in data engineering costs (via self-serve)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Use Case Velocity</w:t>
            </w:r>
          </w:p>
        </w:tc>
        <w:tc>
          <w:tcPr/>
          <w:p>
            <w:pPr>
              <w:pStyle w:val="Compact"/>
            </w:pPr>
            <w:r>
              <w:t xml:space="preserve">2x increase in AI use cases deployed (via faster data access)</w:t>
            </w: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95" w:name="X1b387db7631c2968899eb92db5c65bb489179d0"/>
    <w:p>
      <w:pPr>
        <w:pStyle w:val="Heading2"/>
      </w:pPr>
      <w:r>
        <w:t xml:space="preserve">8. References and Resources</w:t>
      </w:r>
    </w:p>
    <w:bookmarkStart w:id="80" w:name="X4fa3bbc132a8d20e81df7d5d8ca4ab44422dfd8"/>
    <w:p>
      <w:pPr>
        <w:pStyle w:val="Heading3"/>
      </w:pPr>
      <w:r>
        <w:t xml:space="preserve">8.1 Related 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 ID</w:t>
            </w:r>
          </w:p>
        </w:tc>
        <w:tc>
          <w:tcPr/>
          <w:p>
            <w:pPr>
              <w:pStyle w:val="Compact"/>
            </w:pPr>
            <w:r>
              <w:t xml:space="preserve">Pattern Name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PT-001</w:t>
            </w:r>
          </w:p>
        </w:tc>
        <w:tc>
          <w:tcPr/>
          <w:p>
            <w:pPr>
              <w:pStyle w:val="Compact"/>
            </w:pPr>
            <w:r>
              <w:t xml:space="preserve">Enterprise AI Governance</w:t>
            </w:r>
          </w:p>
        </w:tc>
        <w:tc>
          <w:tcPr/>
          <w:p>
            <w:pPr>
              <w:pStyle w:val="Compact"/>
            </w:pPr>
            <w:r>
              <w:t xml:space="preserve">Federated governance applied to data products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PT-001-Enterprise-AI-Governance-v1.0.0.md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PT-003</w:t>
            </w:r>
          </w:p>
        </w:tc>
        <w:tc>
          <w:tcPr/>
          <w:p>
            <w:pPr>
              <w:pStyle w:val="Compact"/>
            </w:pPr>
            <w:r>
              <w:t xml:space="preserve">Feature Store</w:t>
            </w:r>
          </w:p>
        </w:tc>
        <w:tc>
          <w:tcPr/>
          <w:p>
            <w:pPr>
              <w:pStyle w:val="Compact"/>
            </w:pPr>
            <w:r>
              <w:t xml:space="preserve">Data products feed feature store as curated data sources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PT-003-Feature-Store-v1.0.0.md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PT-005</w:t>
            </w:r>
          </w:p>
        </w:tc>
        <w:tc>
          <w:tcPr/>
          <w:p>
            <w:pPr>
              <w:pStyle w:val="Compact"/>
            </w:pPr>
            <w:r>
              <w:t xml:space="preserve">MLOps Pipeline</w:t>
            </w:r>
          </w:p>
        </w:tc>
        <w:tc>
          <w:tcPr/>
          <w:p>
            <w:pPr>
              <w:pStyle w:val="Compact"/>
            </w:pPr>
            <w:r>
              <w:t xml:space="preserve">ML models consume data products for training/inference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PT-007</w:t>
            </w:r>
          </w:p>
        </w:tc>
        <w:tc>
          <w:tcPr/>
          <w:p>
            <w:pPr>
              <w:pStyle w:val="Compact"/>
            </w:pPr>
            <w:r>
              <w:t xml:space="preserve">Real-Time Streaming</w:t>
            </w:r>
          </w:p>
        </w:tc>
        <w:tc>
          <w:tcPr/>
          <w:p>
            <w:pPr>
              <w:pStyle w:val="Compact"/>
            </w:pPr>
            <w:r>
              <w:t xml:space="preserve">Streaming data products enable real-time AI use cases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bookmarkEnd w:id="80"/>
    <w:bookmarkStart w:id="81" w:name="Xb6eb8d8676730824faecce99b482f34d5da5fbb"/>
    <w:p>
      <w:pPr>
        <w:pStyle w:val="Heading3"/>
      </w:pPr>
      <w:r>
        <w:t xml:space="preserve">8.2 Related ABBs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 ID</w:t>
            </w:r>
          </w:p>
        </w:tc>
        <w:tc>
          <w:tcPr/>
          <w:p>
            <w:pPr>
              <w:pStyle w:val="Compact"/>
            </w:pPr>
            <w:r>
              <w:t xml:space="preserve">ABB Name</w:t>
            </w:r>
          </w:p>
        </w:tc>
        <w:tc>
          <w:tcPr/>
          <w:p>
            <w:pPr>
              <w:pStyle w:val="Compact"/>
            </w:pPr>
            <w:r>
              <w:t xml:space="preserve">Document Link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AB-043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Product Catalog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AB-043-Data-Product-Catalog-v1.0.0.md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AB-044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Data Platform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AB-044-Domain-Data-Platform-v1.0.0.md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AB-011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AB-011-API-Gateway-v1.0.0.md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AB-018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Quality Validator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AB-018-Data-Quality-Validator-v1.0.0.md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AB-070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Lineage Tracker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AB-070-Data-Lineage-Tracker-v1.0.0.md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AB-104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Quality Monitor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AB-104-Data-Quality-Monitor-v1.0.0.md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AB-045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Contract Registry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AB-045-Data-Contract-Registry-v1.0.0.md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AB-038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AB-038-Data-Lake-v1.0.0.md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AB-060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Governance Platform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AB-060-AI-Model-Registry-v1.0.0.md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AB-112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&amp; Identity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AB-112-Data-Encryption-Service-v1.0.0.md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AB-096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Observability Platform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AB-096-Observability-Platform-v1.0.0.md</w:t>
              </w:r>
            </w:hyperlink>
          </w:p>
        </w:tc>
      </w:tr>
    </w:tbl>
    <w:bookmarkEnd w:id="81"/>
    <w:bookmarkStart w:id="83" w:name="X47b79302011af47df3df65268fe10aa60f90baa"/>
    <w:p>
      <w:pPr>
        <w:pStyle w:val="Heading3"/>
      </w:pPr>
      <w:r>
        <w:t xml:space="preserve">8.3 Standards and Guidelines</w:t>
      </w:r>
    </w:p>
    <w:p>
      <w:pPr>
        <w:pStyle w:val="FirstParagraph"/>
      </w:pPr>
      <w:r>
        <w:rPr>
          <w:b/>
          <w:bCs/>
        </w:rPr>
        <w:t xml:space="preserve">Internal BNZ Standards</w:t>
      </w:r>
      <w:r>
        <w:t xml:space="preserve">:</w:t>
      </w:r>
    </w:p>
    <w:p>
      <w:pPr>
        <w:numPr>
          <w:ilvl w:val="0"/>
          <w:numId w:val="1058"/>
        </w:numPr>
      </w:pPr>
      <w:r>
        <w:t xml:space="preserve">BNZ Data Governance Standard (TBD)</w:t>
      </w:r>
    </w:p>
    <w:p>
      <w:pPr>
        <w:numPr>
          <w:ilvl w:val="0"/>
          <w:numId w:val="1058"/>
        </w:numPr>
      </w:pPr>
      <w:r>
        <w:t xml:space="preserve">BNZ API Design Standard (TBD)</w:t>
      </w:r>
    </w:p>
    <w:p>
      <w:pPr>
        <w:numPr>
          <w:ilvl w:val="0"/>
          <w:numId w:val="1058"/>
        </w:numPr>
      </w:pPr>
      <w:r>
        <w:t xml:space="preserve">BNZ Data Classification Policy (TBD)</w:t>
      </w:r>
    </w:p>
    <w:p>
      <w:pPr>
        <w:numPr>
          <w:ilvl w:val="0"/>
          <w:numId w:val="1058"/>
        </w:numPr>
      </w:pPr>
      <w:r>
        <w:t xml:space="preserve">BNZ Visual Design Standard:</w:t>
      </w:r>
      <w:r>
        <w:t xml:space="preserve"> </w:t>
      </w:r>
      <w:hyperlink r:id="rId82">
        <w:r>
          <w:rPr>
            <w:rStyle w:val="Hyperlink"/>
          </w:rPr>
          <w:t xml:space="preserve">05-governance/standards/visual-design/visual-design-standard.md</w:t>
        </w:r>
      </w:hyperlink>
    </w:p>
    <w:p>
      <w:pPr>
        <w:pStyle w:val="FirstParagraph"/>
      </w:pPr>
      <w:r>
        <w:rPr>
          <w:b/>
          <w:bCs/>
        </w:rPr>
        <w:t xml:space="preserve">Industry Standards</w:t>
      </w:r>
      <w:r>
        <w:t xml:space="preserve">:</w:t>
      </w:r>
    </w:p>
    <w:p>
      <w:pPr>
        <w:numPr>
          <w:ilvl w:val="0"/>
          <w:numId w:val="1059"/>
        </w:numPr>
      </w:pPr>
      <w:r>
        <w:t xml:space="preserve">ISO 8000: Data Quality Standard</w:t>
      </w:r>
    </w:p>
    <w:p>
      <w:pPr>
        <w:numPr>
          <w:ilvl w:val="0"/>
          <w:numId w:val="1059"/>
        </w:numPr>
      </w:pPr>
      <w:r>
        <w:t xml:space="preserve">DAMA-DMBOK: Data Management Body of Knowledge</w:t>
      </w:r>
    </w:p>
    <w:p>
      <w:pPr>
        <w:numPr>
          <w:ilvl w:val="0"/>
          <w:numId w:val="1059"/>
        </w:numPr>
      </w:pPr>
      <w:r>
        <w:t xml:space="preserve">TOGAF 10: Enterprise Architecture Framework</w:t>
      </w:r>
    </w:p>
    <w:p>
      <w:pPr>
        <w:numPr>
          <w:ilvl w:val="0"/>
          <w:numId w:val="1059"/>
        </w:numPr>
      </w:pPr>
      <w:r>
        <w:t xml:space="preserve">OpenLineage: Open Standard for Data Lineage</w:t>
      </w:r>
    </w:p>
    <w:p>
      <w:pPr>
        <w:pStyle w:val="FirstParagraph"/>
      </w:pPr>
      <w:r>
        <w:rPr>
          <w:b/>
          <w:bCs/>
        </w:rPr>
        <w:t xml:space="preserve">Regulatory Compliance</w:t>
      </w:r>
      <w:r>
        <w:t xml:space="preserve">:</w:t>
      </w:r>
    </w:p>
    <w:p>
      <w:pPr>
        <w:numPr>
          <w:ilvl w:val="0"/>
          <w:numId w:val="1060"/>
        </w:numPr>
      </w:pPr>
      <w:r>
        <w:t xml:space="preserve">GDPR: General Data Protection Regulation</w:t>
      </w:r>
    </w:p>
    <w:p>
      <w:pPr>
        <w:numPr>
          <w:ilvl w:val="0"/>
          <w:numId w:val="1060"/>
        </w:numPr>
      </w:pPr>
      <w:r>
        <w:t xml:space="preserve">CCPA: California Consumer Privacy Act</w:t>
      </w:r>
    </w:p>
    <w:p>
      <w:pPr>
        <w:numPr>
          <w:ilvl w:val="0"/>
          <w:numId w:val="1060"/>
        </w:numPr>
      </w:pPr>
      <w:r>
        <w:t xml:space="preserve">RBNZ: Reserve Bank of New Zealand Data Governance Requirements</w:t>
      </w:r>
    </w:p>
    <w:bookmarkEnd w:id="83"/>
    <w:bookmarkStart w:id="94" w:name="X974205ba356ce67b7cbd70d5b0a2de2ab6f1ace"/>
    <w:p>
      <w:pPr>
        <w:pStyle w:val="Heading3"/>
      </w:pPr>
      <w:r>
        <w:t xml:space="preserve">8.4 External References</w:t>
      </w:r>
    </w:p>
    <w:p>
      <w:pPr>
        <w:pStyle w:val="FirstParagraph"/>
      </w:pPr>
      <w:r>
        <w:rPr>
          <w:b/>
          <w:bCs/>
        </w:rPr>
        <w:t xml:space="preserve">Industry Research</w:t>
      </w:r>
      <w:r>
        <w:t xml:space="preserve">:</w:t>
      </w:r>
    </w:p>
    <w:p>
      <w:pPr>
        <w:numPr>
          <w:ilvl w:val="0"/>
          <w:numId w:val="1061"/>
        </w:numPr>
      </w:pPr>
      <w:r>
        <w:t xml:space="preserve">Zhamak Dehghani: "Data Mesh Principles and Logical Architecture" (2024-2025 evolution) -</w:t>
      </w:r>
      <w:r>
        <w:t xml:space="preserve"> </w:t>
      </w:r>
      <w:hyperlink r:id="rId84">
        <w:r>
          <w:rPr>
            <w:rStyle w:val="Hyperlink"/>
          </w:rPr>
          <w:t xml:space="preserve">https://martinfowler.com/articles/data-mesh-principles.html</w:t>
        </w:r>
      </w:hyperlink>
    </w:p>
    <w:p>
      <w:pPr>
        <w:numPr>
          <w:ilvl w:val="0"/>
          <w:numId w:val="1061"/>
        </w:numPr>
      </w:pPr>
      <w:r>
        <w:t xml:space="preserve">ThoughtWorks: "Data Mesh in Practice" Technology Radar (2025) -</w:t>
      </w:r>
      <w:r>
        <w:t xml:space="preserve"> </w:t>
      </w:r>
      <w:hyperlink r:id="rId85">
        <w:r>
          <w:rPr>
            <w:rStyle w:val="Hyperlink"/>
          </w:rPr>
          <w:t xml:space="preserve">https://www.thoughtworks.com/radar</w:t>
        </w:r>
      </w:hyperlink>
    </w:p>
    <w:p>
      <w:pPr>
        <w:numPr>
          <w:ilvl w:val="0"/>
          <w:numId w:val="1061"/>
        </w:numPr>
      </w:pPr>
      <w:r>
        <w:t xml:space="preserve">Gartner: "Market Guide for Data Catalogs" (2025) -</w:t>
      </w:r>
      <w:r>
        <w:t xml:space="preserve"> </w:t>
      </w:r>
      <w:hyperlink r:id="rId86">
        <w:r>
          <w:rPr>
            <w:rStyle w:val="Hyperlink"/>
          </w:rPr>
          <w:t xml:space="preserve">https://www.gartner.com</w:t>
        </w:r>
      </w:hyperlink>
    </w:p>
    <w:p>
      <w:pPr>
        <w:pStyle w:val="FirstParagraph"/>
      </w:pPr>
      <w:r>
        <w:rPr>
          <w:b/>
          <w:bCs/>
        </w:rPr>
        <w:t xml:space="preserve">Technology Documentation</w:t>
      </w:r>
      <w:r>
        <w:t xml:space="preserve">:</w:t>
      </w:r>
    </w:p>
    <w:p>
      <w:pPr>
        <w:numPr>
          <w:ilvl w:val="0"/>
          <w:numId w:val="1062"/>
        </w:numPr>
      </w:pPr>
      <w:r>
        <w:t xml:space="preserve">DataHub:</w:t>
      </w:r>
      <w:r>
        <w:t xml:space="preserve"> </w:t>
      </w:r>
      <w:hyperlink r:id="rId87">
        <w:r>
          <w:rPr>
            <w:rStyle w:val="Hyperlink"/>
          </w:rPr>
          <w:t xml:space="preserve">https://datahubproject.io/</w:t>
        </w:r>
      </w:hyperlink>
    </w:p>
    <w:p>
      <w:pPr>
        <w:numPr>
          <w:ilvl w:val="0"/>
          <w:numId w:val="1062"/>
        </w:numPr>
      </w:pPr>
      <w:r>
        <w:t xml:space="preserve">Amundsen:</w:t>
      </w:r>
      <w:r>
        <w:t xml:space="preserve"> </w:t>
      </w:r>
      <w:hyperlink r:id="rId88">
        <w:r>
          <w:rPr>
            <w:rStyle w:val="Hyperlink"/>
          </w:rPr>
          <w:t xml:space="preserve">https://www.amundsen.io/</w:t>
        </w:r>
      </w:hyperlink>
    </w:p>
    <w:p>
      <w:pPr>
        <w:numPr>
          <w:ilvl w:val="0"/>
          <w:numId w:val="1062"/>
        </w:numPr>
      </w:pPr>
      <w:r>
        <w:t xml:space="preserve">dbt:</w:t>
      </w:r>
      <w:r>
        <w:t xml:space="preserve"> </w:t>
      </w:r>
      <w:hyperlink r:id="rId89">
        <w:r>
          <w:rPr>
            <w:rStyle w:val="Hyperlink"/>
          </w:rPr>
          <w:t xml:space="preserve">https://docs.getdbt.com/</w:t>
        </w:r>
      </w:hyperlink>
    </w:p>
    <w:p>
      <w:pPr>
        <w:numPr>
          <w:ilvl w:val="0"/>
          <w:numId w:val="1062"/>
        </w:numPr>
      </w:pPr>
      <w:r>
        <w:t xml:space="preserve">Great Expectations:</w:t>
      </w:r>
      <w:r>
        <w:t xml:space="preserve"> </w:t>
      </w:r>
      <w:hyperlink r:id="rId90">
        <w:r>
          <w:rPr>
            <w:rStyle w:val="Hyperlink"/>
          </w:rPr>
          <w:t xml:space="preserve">https://greatexpectations.io/</w:t>
        </w:r>
      </w:hyperlink>
    </w:p>
    <w:p>
      <w:pPr>
        <w:pStyle w:val="FirstParagraph"/>
      </w:pPr>
      <w:r>
        <w:rPr>
          <w:b/>
          <w:bCs/>
        </w:rPr>
        <w:t xml:space="preserve">Vendor Resources</w:t>
      </w:r>
      <w:r>
        <w:t xml:space="preserve">:</w:t>
      </w:r>
    </w:p>
    <w:p>
      <w:pPr>
        <w:numPr>
          <w:ilvl w:val="0"/>
          <w:numId w:val="1063"/>
        </w:numPr>
      </w:pPr>
      <w:r>
        <w:t xml:space="preserve">Databricks: "Data Mesh Architecture on Databricks" -</w:t>
      </w:r>
      <w:r>
        <w:t xml:space="preserve"> </w:t>
      </w:r>
      <w:hyperlink r:id="rId91">
        <w:r>
          <w:rPr>
            <w:rStyle w:val="Hyperlink"/>
          </w:rPr>
          <w:t xml:space="preserve">https://www.databricks.com/solutions/data-mesh</w:t>
        </w:r>
      </w:hyperlink>
    </w:p>
    <w:p>
      <w:pPr>
        <w:numPr>
          <w:ilvl w:val="0"/>
          <w:numId w:val="1063"/>
        </w:numPr>
      </w:pPr>
      <w:r>
        <w:t xml:space="preserve">Snowflake: "Building a Data Mesh with Snowflake" -</w:t>
      </w:r>
      <w:r>
        <w:t xml:space="preserve"> </w:t>
      </w:r>
      <w:hyperlink r:id="rId92">
        <w:r>
          <w:rPr>
            <w:rStyle w:val="Hyperlink"/>
          </w:rPr>
          <w:t xml:space="preserve">https://www.snowflake.com/guides/data-mesh</w:t>
        </w:r>
      </w:hyperlink>
    </w:p>
    <w:p>
      <w:pPr>
        <w:numPr>
          <w:ilvl w:val="0"/>
          <w:numId w:val="1063"/>
        </w:numPr>
      </w:pPr>
      <w:r>
        <w:t xml:space="preserve">AWS: "Implementing Data Mesh on AWS" -</w:t>
      </w:r>
      <w:r>
        <w:t xml:space="preserve"> </w:t>
      </w:r>
      <w:hyperlink r:id="rId93">
        <w:r>
          <w:rPr>
            <w:rStyle w:val="Hyperlink"/>
          </w:rPr>
          <w:t xml:space="preserve">https://aws.amazon.com/big-data/datalakes-and-analytics/data-mesh/</w:t>
        </w:r>
      </w:hyperlink>
    </w:p>
    <w:p>
      <w:pPr>
        <w:pStyle w:val="FirstParagraph"/>
      </w:pPr>
      <w:r>
        <w:rPr>
          <w:b/>
          <w:bCs/>
        </w:rPr>
        <w:t xml:space="preserve">Books</w:t>
      </w:r>
      <w:r>
        <w:t xml:space="preserve">:</w:t>
      </w:r>
    </w:p>
    <w:p>
      <w:pPr>
        <w:numPr>
          <w:ilvl w:val="0"/>
          <w:numId w:val="1064"/>
        </w:numPr>
      </w:pPr>
      <w:r>
        <w:t xml:space="preserve">"Data Mesh: Delivering Data-Driven Value at Scale" by Zhamak Dehghani (O'Reilly, 2022)</w:t>
      </w:r>
    </w:p>
    <w:p>
      <w:pPr>
        <w:numPr>
          <w:ilvl w:val="0"/>
          <w:numId w:val="1064"/>
        </w:numPr>
      </w:pPr>
      <w:r>
        <w:t xml:space="preserve">"Fundamentals of Data Engineering" by Joe Reis and Matt Housley (O'Reilly, 2022)</w:t>
      </w:r>
    </w:p>
    <w:bookmarkEnd w:id="94"/>
    <w:bookmarkEnd w:id="95"/>
    <w:bookmarkStart w:id="96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Mesh</w:t>
            </w:r>
          </w:p>
        </w:tc>
        <w:tc>
          <w:tcPr/>
          <w:p>
            <w:pPr>
              <w:pStyle w:val="Compact"/>
            </w:pPr>
            <w:r>
              <w:t xml:space="preserve">Decentralized data architecture paradigm where domain teams own and publish data as products with federated 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Product</w:t>
            </w:r>
          </w:p>
        </w:tc>
        <w:tc>
          <w:tcPr/>
          <w:p>
            <w:pPr>
              <w:pStyle w:val="Compact"/>
            </w:pPr>
            <w:r>
              <w:t xml:space="preserve">A self-contained, discoverable data asset with clear ownership, SLAs, and quality 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Business capability area with clear boundaries (e.g., Retail Banking, Corporate Banking)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Federated Governance</w:t>
            </w:r>
          </w:p>
        </w:tc>
        <w:tc>
          <w:tcPr/>
          <w:p>
            <w:pPr>
              <w:pStyle w:val="Compact"/>
            </w:pPr>
            <w:r>
              <w:t xml:space="preserve">Governance model combining centralized policies with decentralized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Self-Serve Platform</w:t>
            </w:r>
          </w:p>
        </w:tc>
        <w:tc>
          <w:tcPr/>
          <w:p>
            <w:pPr>
              <w:pStyle w:val="Compact"/>
            </w:pPr>
            <w:r>
              <w:t xml:space="preserve">Infrastructure and tools enabling domain teams to build data products independently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t xml:space="preserve">Formal agreement between data producer and consumers specifying schema, SLA, and support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Agreement: Commitment on data product quality, latency, and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Lineage</w:t>
            </w:r>
          </w:p>
        </w:tc>
        <w:tc>
          <w:tcPr/>
          <w:p>
            <w:pPr>
              <w:pStyle w:val="Compact"/>
            </w:pPr>
            <w:r>
              <w:t xml:space="preserve">Tracking of data origin, transformations, and consumption across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Catalog</w:t>
            </w:r>
          </w:p>
        </w:tc>
        <w:tc>
          <w:tcPr/>
          <w:p>
            <w:pPr>
              <w:pStyle w:val="Compact"/>
            </w:pPr>
            <w:r>
              <w:t xml:space="preserve">Centralized repository for discovering and understanding data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</w:t>
            </w:r>
          </w:p>
        </w:tc>
        <w:tc>
          <w:tcPr/>
          <w:p>
            <w:pPr>
              <w:pStyle w:val="Compact"/>
            </w:pPr>
            <w:r>
              <w:t xml:space="preserve">Measure of data's fitness for purpose (completeness, accuracy, timeliness, consistency)</w:t>
            </w:r>
          </w:p>
        </w:tc>
      </w:tr>
    </w:tbl>
    <w:bookmarkEnd w:id="96"/>
    <w:bookmarkStart w:id="97" w:name="appendix-b-change-history"/>
    <w:p>
      <w:pPr>
        <w:pStyle w:val="Heading2"/>
      </w:pPr>
      <w:r>
        <w:t xml:space="preserve">Appendix B: 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2025-12-05</w:t>
            </w:r>
          </w:p>
        </w:tc>
        <w:tc>
          <w:tcPr/>
          <w:p>
            <w:pPr>
              <w:pStyle w:val="Compact"/>
            </w:pPr>
            <w:r>
              <w:t xml:space="preserve">BNZ Enterprise Architecture</w:t>
            </w:r>
          </w:p>
        </w:tc>
        <w:tc>
          <w:tcPr/>
          <w:p>
            <w:pPr>
              <w:pStyle w:val="Compact"/>
            </w:pPr>
            <w:r>
              <w:t xml:space="preserve">Initial version - comprehensive Data Mesh pattern based on 2025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2025-12-07</w:t>
            </w:r>
          </w:p>
        </w:tc>
        <w:tc>
          <w:tcPr/>
          <w:p>
            <w:pPr>
              <w:pStyle w:val="Compact"/>
            </w:pPr>
            <w:r>
              <w:t xml:space="preserve">BNZ Enterprise Architecture</w:t>
            </w:r>
          </w:p>
        </w:tc>
        <w:tc>
          <w:tcPr/>
          <w:p>
            <w:pPr>
              <w:pStyle w:val="Compact"/>
            </w:pPr>
            <w:r>
              <w:t xml:space="preserve">Updated ABB references from legacy ABB-DATA-### format to standard AB-### format to align with diagram</w:t>
            </w:r>
          </w:p>
        </w:tc>
      </w:tr>
    </w:tbl>
    <w:bookmarkEnd w:id="97"/>
    <w:bookmarkStart w:id="98" w:name="appendix-c-review-and-approval"/>
    <w:p>
      <w:pPr>
        <w:pStyle w:val="Heading2"/>
      </w:pPr>
      <w:r>
        <w:t xml:space="preserve">Appendix C: Review and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Author</w:t>
            </w:r>
          </w:p>
        </w:tc>
        <w:tc>
          <w:tcPr/>
          <w:p>
            <w:pPr>
              <w:pStyle w:val="Compact"/>
            </w:pPr>
            <w:r>
              <w:t xml:space="preserve">BNZ Enterprise Architecture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2025-12-05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TAF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8"/>
    <w:bookmarkStart w:id="99" w:name="appendix-d-implementation-checklist"/>
    <w:p>
      <w:pPr>
        <w:pStyle w:val="Heading2"/>
      </w:pPr>
      <w:r>
        <w:t xml:space="preserve">Appendix D: Implementation Checklist</w:t>
      </w:r>
    </w:p>
    <w:p>
      <w:pPr>
        <w:pStyle w:val="FirstParagraph"/>
      </w:pPr>
      <w:r>
        <w:t xml:space="preserve">Use this checklist when implementing Data Mesh pattern at BNZ:</w:t>
      </w:r>
    </w:p>
    <w:p>
      <w:pPr>
        <w:pStyle w:val="BodyText"/>
      </w:pPr>
      <w:r>
        <w:rPr>
          <w:b/>
          <w:bCs/>
        </w:rPr>
        <w:t xml:space="preserve">Phase 1: Foundation</w:t>
      </w:r>
    </w:p>
    <w:p>
      <w:pPr>
        <w:numPr>
          <w:ilvl w:val="0"/>
          <w:numId w:val="1065"/>
        </w:numPr>
      </w:pPr>
      <w:r>
        <w:t xml:space="preserve">Select 1-2 pilot domains (recommend: Retail Banking, Corporate Banking)</w:t>
      </w:r>
    </w:p>
    <w:p>
      <w:pPr>
        <w:numPr>
          <w:ilvl w:val="0"/>
          <w:numId w:val="1066"/>
        </w:numPr>
      </w:pPr>
      <w:r>
        <w:t xml:space="preserve">Deploy self-serve data platform (Databricks or Snowflake)</w:t>
      </w:r>
    </w:p>
    <w:p>
      <w:pPr>
        <w:numPr>
          <w:ilvl w:val="0"/>
          <w:numId w:val="1067"/>
        </w:numPr>
      </w:pPr>
      <w:r>
        <w:t xml:space="preserve">Deploy data product catalog (DataHub or Amundsen)</w:t>
      </w:r>
    </w:p>
    <w:p>
      <w:pPr>
        <w:numPr>
          <w:ilvl w:val="0"/>
          <w:numId w:val="1068"/>
        </w:numPr>
      </w:pPr>
      <w:r>
        <w:t xml:space="preserve">Deploy data quality framework (Great Expectations)</w:t>
      </w:r>
    </w:p>
    <w:p>
      <w:pPr>
        <w:numPr>
          <w:ilvl w:val="0"/>
          <w:numId w:val="1069"/>
        </w:numPr>
      </w:pPr>
      <w:r>
        <w:t xml:space="preserve">Define data product standards (SLA template, quality checks, API patterns)</w:t>
      </w:r>
    </w:p>
    <w:p>
      <w:pPr>
        <w:numPr>
          <w:ilvl w:val="0"/>
          <w:numId w:val="1070"/>
        </w:numPr>
      </w:pPr>
      <w:r>
        <w:t xml:space="preserve">Define federated governance policies (classification, retention, privacy)</w:t>
      </w:r>
    </w:p>
    <w:p>
      <w:pPr>
        <w:numPr>
          <w:ilvl w:val="0"/>
          <w:numId w:val="1071"/>
        </w:numPr>
      </w:pPr>
      <w:r>
        <w:t xml:space="preserve">Train domain teams on data product thinking and platform tools</w:t>
      </w:r>
    </w:p>
    <w:p>
      <w:pPr>
        <w:pStyle w:val="FirstParagraph"/>
      </w:pPr>
      <w:r>
        <w:rPr>
          <w:b/>
          <w:bCs/>
        </w:rPr>
        <w:t xml:space="preserve">Phase 2: Pilot</w:t>
      </w:r>
    </w:p>
    <w:p>
      <w:pPr>
        <w:numPr>
          <w:ilvl w:val="0"/>
          <w:numId w:val="1072"/>
        </w:numPr>
      </w:pPr>
      <w:r>
        <w:t xml:space="preserve">Build 3-5 high-value data products per pilot domain</w:t>
      </w:r>
    </w:p>
    <w:p>
      <w:pPr>
        <w:numPr>
          <w:ilvl w:val="0"/>
          <w:numId w:val="1073"/>
        </w:numPr>
      </w:pPr>
      <w:r>
        <w:t xml:space="preserve">Register data products in catalog with full metadata</w:t>
      </w:r>
    </w:p>
    <w:p>
      <w:pPr>
        <w:numPr>
          <w:ilvl w:val="0"/>
          <w:numId w:val="1074"/>
        </w:numPr>
      </w:pPr>
      <w:r>
        <w:t xml:space="preserve">Implement automated data quality checks</w:t>
      </w:r>
    </w:p>
    <w:p>
      <w:pPr>
        <w:numPr>
          <w:ilvl w:val="0"/>
          <w:numId w:val="1075"/>
        </w:numPr>
      </w:pPr>
      <w:r>
        <w:t xml:space="preserve">Implement data lineage tracking</w:t>
      </w:r>
    </w:p>
    <w:p>
      <w:pPr>
        <w:numPr>
          <w:ilvl w:val="0"/>
          <w:numId w:val="1076"/>
        </w:numPr>
      </w:pPr>
      <w:r>
        <w:t xml:space="preserve">Deploy API Gateway for data product access</w:t>
      </w:r>
    </w:p>
    <w:p>
      <w:pPr>
        <w:numPr>
          <w:ilvl w:val="0"/>
          <w:numId w:val="1077"/>
        </w:numPr>
      </w:pPr>
      <w:r>
        <w:t xml:space="preserve">Onboard 5-10 consumer use cases</w:t>
      </w:r>
    </w:p>
    <w:p>
      <w:pPr>
        <w:numPr>
          <w:ilvl w:val="0"/>
          <w:numId w:val="1078"/>
        </w:numPr>
      </w:pPr>
      <w:r>
        <w:t xml:space="preserve">Collect feedback and iterate on platform/standards</w:t>
      </w:r>
    </w:p>
    <w:p>
      <w:pPr>
        <w:pStyle w:val="FirstParagraph"/>
      </w:pPr>
      <w:r>
        <w:rPr>
          <w:b/>
          <w:bCs/>
        </w:rPr>
        <w:t xml:space="preserve">Phase 3: Scale</w:t>
      </w:r>
    </w:p>
    <w:p>
      <w:pPr>
        <w:numPr>
          <w:ilvl w:val="0"/>
          <w:numId w:val="1079"/>
        </w:numPr>
      </w:pPr>
      <w:r>
        <w:t xml:space="preserve">Expand to 3-5 additional domains</w:t>
      </w:r>
    </w:p>
    <w:p>
      <w:pPr>
        <w:numPr>
          <w:ilvl w:val="0"/>
          <w:numId w:val="1080"/>
        </w:numPr>
      </w:pPr>
      <w:r>
        <w:t xml:space="preserve">Transition existing centralized pipelines to data mesh model</w:t>
      </w:r>
    </w:p>
    <w:p>
      <w:pPr>
        <w:numPr>
          <w:ilvl w:val="0"/>
          <w:numId w:val="1081"/>
        </w:numPr>
      </w:pPr>
      <w:r>
        <w:t xml:space="preserve">Build 20-30 total data products</w:t>
      </w:r>
    </w:p>
    <w:p>
      <w:pPr>
        <w:numPr>
          <w:ilvl w:val="0"/>
          <w:numId w:val="1082"/>
        </w:numPr>
      </w:pPr>
      <w:r>
        <w:t xml:space="preserve">Implement data product SLA monitoring and alerting</w:t>
      </w:r>
    </w:p>
    <w:p>
      <w:pPr>
        <w:numPr>
          <w:ilvl w:val="0"/>
          <w:numId w:val="1083"/>
        </w:numPr>
      </w:pPr>
      <w:r>
        <w:t xml:space="preserve">Establish data product support model (domain-owned)</w:t>
      </w:r>
    </w:p>
    <w:p>
      <w:pPr>
        <w:numPr>
          <w:ilvl w:val="0"/>
          <w:numId w:val="1084"/>
        </w:numPr>
      </w:pPr>
      <w:r>
        <w:t xml:space="preserve">Deploy data marketplace (optional - for discovery and billing)</w:t>
      </w:r>
    </w:p>
    <w:p>
      <w:pPr>
        <w:pStyle w:val="FirstParagraph"/>
      </w:pPr>
      <w:r>
        <w:rPr>
          <w:b/>
          <w:bCs/>
        </w:rPr>
        <w:t xml:space="preserve">Phase 4: Optimize</w:t>
      </w:r>
    </w:p>
    <w:p>
      <w:pPr>
        <w:numPr>
          <w:ilvl w:val="0"/>
          <w:numId w:val="1085"/>
        </w:numPr>
      </w:pPr>
      <w:r>
        <w:t xml:space="preserve">Implement advanced data quality (anomaly detection, profiling)</w:t>
      </w:r>
    </w:p>
    <w:p>
      <w:pPr>
        <w:numPr>
          <w:ilvl w:val="0"/>
          <w:numId w:val="1086"/>
        </w:numPr>
      </w:pPr>
      <w:r>
        <w:t xml:space="preserve">Implement data contracts for critical data products</w:t>
      </w:r>
    </w:p>
    <w:p>
      <w:pPr>
        <w:numPr>
          <w:ilvl w:val="0"/>
          <w:numId w:val="1087"/>
        </w:numPr>
      </w:pPr>
      <w:r>
        <w:t xml:space="preserve">Enable cross-domain data products (shared ownership)</w:t>
      </w:r>
    </w:p>
    <w:p>
      <w:pPr>
        <w:numPr>
          <w:ilvl w:val="0"/>
          <w:numId w:val="1088"/>
        </w:numPr>
      </w:pPr>
      <w:r>
        <w:t xml:space="preserve">Optimize costs (usage-based chargeback, resource optimization)</w:t>
      </w:r>
    </w:p>
    <w:p>
      <w:pPr>
        <w:numPr>
          <w:ilvl w:val="0"/>
          <w:numId w:val="1089"/>
        </w:numPr>
      </w:pPr>
      <w:r>
        <w:t xml:space="preserve">Continuous improvement based on consumer satisfaction surveys</w:t>
      </w:r>
    </w:p>
    <w:p>
      <w:pPr>
        <w:numPr>
          <w:ilvl w:val="0"/>
          <w:numId w:val="1090"/>
        </w:numPr>
      </w:pPr>
      <w:r>
        <w:t xml:space="preserve">Explore AI-assisted data product generation</w:t>
      </w:r>
    </w:p>
    <w:p>
      <w:pPr>
        <w:pStyle w:val="FirstParagraph"/>
      </w:pPr>
      <w:r>
        <w:rPr>
          <w:b/>
          <w:bCs/>
        </w:rPr>
        <w:t xml:space="preserve">Ongoing Governance</w:t>
      </w:r>
    </w:p>
    <w:p>
      <w:pPr>
        <w:numPr>
          <w:ilvl w:val="0"/>
          <w:numId w:val="1091"/>
        </w:numPr>
      </w:pPr>
      <w:r>
        <w:t xml:space="preserve">Monthly data product health reviews</w:t>
      </w:r>
    </w:p>
    <w:p>
      <w:pPr>
        <w:numPr>
          <w:ilvl w:val="0"/>
          <w:numId w:val="1092"/>
        </w:numPr>
      </w:pPr>
      <w:r>
        <w:t xml:space="preserve">Quarterly governance policy reviews</w:t>
      </w:r>
    </w:p>
    <w:p>
      <w:pPr>
        <w:numPr>
          <w:ilvl w:val="0"/>
          <w:numId w:val="1093"/>
        </w:numPr>
      </w:pPr>
      <w:r>
        <w:t xml:space="preserve">Quarterly domain team community of practice</w:t>
      </w:r>
    </w:p>
    <w:p>
      <w:pPr>
        <w:numPr>
          <w:ilvl w:val="0"/>
          <w:numId w:val="1094"/>
        </w:numPr>
      </w:pPr>
      <w:r>
        <w:t xml:space="preserve">Annual data mesh maturity assessment</w:t>
      </w:r>
    </w:p>
    <w:bookmarkEnd w:id="99"/>
    <w:bookmarkEnd w:id="100"/>
    <w:sectPr w:rsidR="008400DD" w:rsidSect="00473E06">
      <w:headerReference r:id="rId10" w:type="first"/>
      <w:pgSz w:code="1"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HostTable-Borderless"/>
      <w:tblpPr w:leftFromText="180" w:rightFromText="180" w:vertAnchor="page" w:horzAnchor="page" w:tblpX="721" w:tblpY="1081"/>
      <w:tblW w:w="6796" w:type="dxa"/>
      <w:tblLook w:val="04A0" w:firstRow="1" w:lastRow="0" w:firstColumn="1" w:lastColumn="0" w:noHBand="0" w:noVBand="1"/>
    </w:tblPr>
    <w:tblGrid>
      <w:gridCol w:w="6796"/>
    </w:tblGrid>
    <w:tr w:rsidR="00D856DE" w14:paraId="30D263A2" w14:textId="77777777" w:rsidTr="00D856DE">
      <w:tc>
        <w:tcPr>
          <w:tcW w:w="6796" w:type="dxa"/>
        </w:tcPr>
        <w:p w14:paraId="4EC32E41" w14:textId="77777777" w:rsidR="00D856DE" w:rsidRDefault="00D856DE" w:rsidP="00D856DE">
          <w:pPr>
            <w:pStyle w:val="Header-Right"/>
            <w:tabs>
              <w:tab w:val="left" w:pos="6616"/>
              <w:tab w:val="left" w:pos="6706"/>
            </w:tabs>
            <w:jc w:val="left"/>
          </w:pPr>
        </w:p>
      </w:tc>
    </w:tr>
  </w:tbl>
  <w:p w14:paraId="12450689" w14:textId="77777777" w:rsidR="008400DD" w:rsidRDefault="008400DD" w:rsidP="00305A73">
    <w:pPr>
      <w:pStyle w:val="Header"/>
      <w:jc w:val="left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0E264374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AB28BA0A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6C3CAA96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E3AE2F1C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C9EC1DAC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DDCAB82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EBE6F34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8754420C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2B82932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F7EC7CC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52200D5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1">
    <w:nsid w:val="0000A991"/>
    <w:multiLevelType w:val="multilevel"/>
    <w:tmpl w:val="287C8FE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2">
    <w:nsid w:val="00A99411"/>
    <w:multiLevelType w:val="multilevel"/>
    <w:tmpl w:val="5E16072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13">
    <w:nsid w:val="38A56187"/>
    <w:multiLevelType w:val="multilevel"/>
    <w:tmpl w:val="040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4">
    <w:nsid w:val="54C54A71"/>
    <w:multiLevelType w:val="multilevel"/>
    <w:tmpl w:val="15ACE3F6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15:restartNumberingAfterBreak="0" w:abstractNumId="15">
    <w:nsid w:val="5C3D6BC3"/>
    <w:multiLevelType w:val="multilevel"/>
    <w:tmpl w:val="870C78B2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942641520" w:numId="1">
    <w:abstractNumId w:val="9"/>
  </w:num>
  <w:num w16cid:durableId="1079596789" w:numId="2">
    <w:abstractNumId w:val="7"/>
  </w:num>
  <w:num w16cid:durableId="1972593696" w:numId="3">
    <w:abstractNumId w:val="6"/>
  </w:num>
  <w:num w16cid:durableId="1822116672" w:numId="4">
    <w:abstractNumId w:val="5"/>
  </w:num>
  <w:num w16cid:durableId="741945495" w:numId="5">
    <w:abstractNumId w:val="4"/>
  </w:num>
  <w:num w16cid:durableId="460539238" w:numId="6">
    <w:abstractNumId w:val="8"/>
  </w:num>
  <w:num w16cid:durableId="1684866311" w:numId="7">
    <w:abstractNumId w:val="3"/>
  </w:num>
  <w:num w16cid:durableId="142308582" w:numId="8">
    <w:abstractNumId w:val="2"/>
  </w:num>
  <w:num w16cid:durableId="126047504" w:numId="9">
    <w:abstractNumId w:val="1"/>
  </w:num>
  <w:num w16cid:durableId="1884824208" w:numId="10">
    <w:abstractNumId w:val="0"/>
  </w:num>
  <w:num w16cid:durableId="332536578" w:numId="11">
    <w:abstractNumId w:val="15"/>
  </w:num>
  <w:num w16cid:durableId="139228684" w:numId="12">
    <w:abstractNumId w:val="13"/>
  </w:num>
  <w:num w16cid:durableId="76632148" w:numId="13">
    <w:abstractNumId w:val="14"/>
  </w:num>
  <w:num w16cid:durableId="1525945315"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7841599"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04678140"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15124353"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10904094"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46827826"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45357815"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34310219" w:numId="21">
    <w:abstractNumId w:val="10"/>
  </w:num>
  <w:num w16cid:durableId="1264998256" w:numId="22">
    <w:abstractNumId w:val="11"/>
  </w:num>
  <w:num w16cid:durableId="1839418859" w:numId="23">
    <w:abstractNumId w:val="11"/>
  </w:num>
  <w:num w16cid:durableId="16393172" w:numId="24">
    <w:abstractNumId w:val="11"/>
  </w:num>
  <w:num w16cid:durableId="1898005063"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49890488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402AE"/>
    <w:rsid w:val="000823F2"/>
    <w:rsid w:val="001B7A3B"/>
    <w:rsid w:val="00255ABB"/>
    <w:rsid w:val="00305A73"/>
    <w:rsid w:val="00473E06"/>
    <w:rsid w:val="004E29B3"/>
    <w:rsid w:val="00527C64"/>
    <w:rsid w:val="00590D07"/>
    <w:rsid w:val="00763A2F"/>
    <w:rsid w:val="00784D58"/>
    <w:rsid w:val="008400DD"/>
    <w:rsid w:val="00855A6E"/>
    <w:rsid w:val="008D6863"/>
    <w:rsid w:val="00937A99"/>
    <w:rsid w:val="00A3704D"/>
    <w:rsid w:val="00B86B75"/>
    <w:rsid w:val="00BC48D5"/>
    <w:rsid w:val="00C36279"/>
    <w:rsid w:val="00D856DE"/>
    <w:rsid w:val="00DF3A4E"/>
    <w:rsid w:val="00E315A3"/>
    <w:rsid w:val="00E5633B"/>
    <w:rsid w:val="00EA489D"/>
    <w:rsid w:val="00F0577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sid w:val="00255ABB"/>
    <w:pPr>
      <w:spacing w:before="120"/>
    </w:pPr>
    <w:rPr>
      <w:rFonts w:ascii="Aptos" w:hAnsi="Aptos"/>
    </w:rPr>
  </w:style>
  <w:style w:styleId="Heading1" w:type="paragraph">
    <w:name w:val="heading 1"/>
    <w:basedOn w:val="Normal"/>
    <w:next w:val="Normal"/>
    <w:link w:val="Heading1Char"/>
    <w:qFormat/>
    <w:rsid w:val="00D9070B"/>
    <w:pPr>
      <w:keepNext/>
      <w:keepLines/>
      <w:numPr>
        <w:numId w:val="11"/>
      </w:numPr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styleId="Heading2" w:type="paragraph">
    <w:name w:val="heading 2"/>
    <w:basedOn w:val="Normal"/>
    <w:next w:val="Normal"/>
    <w:link w:val="Heading2Char"/>
    <w:unhideWhenUsed/>
    <w:qFormat/>
    <w:rsid w:val="00D9070B"/>
    <w:pPr>
      <w:keepNext/>
      <w:keepLines/>
      <w:numPr>
        <w:ilvl w:val="1"/>
        <w:numId w:val="11"/>
      </w:numPr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styleId="Heading3" w:type="paragraph">
    <w:name w:val="heading 3"/>
    <w:basedOn w:val="Normal"/>
    <w:next w:val="Normal"/>
    <w:link w:val="Heading3Char"/>
    <w:unhideWhenUsed/>
    <w:qFormat/>
    <w:rsid w:val="00D9070B"/>
    <w:pPr>
      <w:keepNext/>
      <w:keepLines/>
      <w:numPr>
        <w:ilvl w:val="2"/>
        <w:numId w:val="11"/>
      </w:numPr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663366"/>
    </w:rPr>
  </w:style>
  <w:style w:styleId="Heading4" w:type="paragraph">
    <w:name w:val="heading 4"/>
    <w:basedOn w:val="Normal"/>
    <w:next w:val="Normal"/>
    <w:link w:val="Heading4Char"/>
    <w:semiHidden/>
    <w:unhideWhenUsed/>
    <w:qFormat/>
    <w:rsid w:val="00D9070B"/>
    <w:pPr>
      <w:keepNext/>
      <w:keepLines/>
      <w:numPr>
        <w:ilvl w:val="3"/>
        <w:numId w:val="11"/>
      </w:numPr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663366"/>
    </w:rPr>
  </w:style>
  <w:style w:styleId="Heading5" w:type="paragraph">
    <w:name w:val="heading 5"/>
    <w:basedOn w:val="Normal"/>
    <w:next w:val="Normal"/>
    <w:link w:val="Heading5Char"/>
    <w:semiHidden/>
    <w:unhideWhenUsed/>
    <w:qFormat/>
    <w:rsid w:val="00D9070B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321932"/>
    </w:rPr>
  </w:style>
  <w:style w:styleId="Heading6" w:type="paragraph">
    <w:name w:val="heading 6"/>
    <w:basedOn w:val="Normal"/>
    <w:next w:val="Normal"/>
    <w:link w:val="Heading6Char"/>
    <w:semiHidden/>
    <w:unhideWhenUsed/>
    <w:qFormat/>
    <w:rsid w:val="00D9070B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321932"/>
    </w:rPr>
  </w:style>
  <w:style w:styleId="Heading7" w:type="paragraph">
    <w:name w:val="heading 7"/>
    <w:basedOn w:val="Normal"/>
    <w:next w:val="Normal"/>
    <w:link w:val="Heading7Char"/>
    <w:semiHidden/>
    <w:unhideWhenUsed/>
    <w:qFormat/>
    <w:rsid w:val="00D9070B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semiHidden/>
    <w:unhideWhenUsed/>
    <w:qFormat/>
    <w:rsid w:val="00D9070B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semiHidden/>
    <w:unhideWhenUsed/>
    <w:qFormat/>
    <w:rsid w:val="00D9070B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rsid w:val="005C4041"/>
    <w:pPr>
      <w:tabs>
        <w:tab w:pos="4680" w:val="center"/>
        <w:tab w:pos="9360" w:val="right"/>
      </w:tabs>
      <w:spacing w:after="200" w:before="40"/>
      <w:jc w:val="right"/>
    </w:pPr>
    <w:rPr>
      <w:color w:themeColor="text1" w:val="000000"/>
      <w:sz w:val="24"/>
      <w:szCs w:val="24"/>
    </w:rPr>
  </w:style>
  <w:style w:customStyle="1" w:styleId="HeaderChar" w:type="character">
    <w:name w:val="Header Char"/>
    <w:basedOn w:val="DefaultParagraphFont"/>
    <w:link w:val="Header"/>
    <w:rsid w:val="005C4041"/>
    <w:rPr>
      <w:color w:themeColor="text1" w:val="000000"/>
      <w:sz w:val="24"/>
      <w:szCs w:val="24"/>
    </w:rPr>
  </w:style>
  <w:style w:customStyle="1" w:styleId="Contact" w:type="paragraph">
    <w:name w:val="Contact"/>
    <w:basedOn w:val="Normal"/>
    <w:rsid w:val="005C4041"/>
    <w:pPr>
      <w:spacing w:line="200" w:lineRule="exact"/>
    </w:pPr>
    <w:rPr>
      <w:color w:themeColor="accent1" w:val="663366"/>
      <w:sz w:val="14"/>
      <w:szCs w:val="14"/>
    </w:rPr>
  </w:style>
  <w:style w:customStyle="1" w:styleId="Header-Left" w:type="paragraph">
    <w:name w:val="Header-Left"/>
    <w:basedOn w:val="Normal"/>
    <w:rsid w:val="005C4041"/>
    <w:pPr>
      <w:spacing w:after="200"/>
      <w:ind w:left="43"/>
    </w:pPr>
    <w:rPr>
      <w:rFonts w:asciiTheme="majorHAnsi" w:cstheme="majorBidi" w:eastAsiaTheme="majorEastAsia" w:hAnsiTheme="majorHAnsi"/>
      <w:color w:themeColor="accent1" w:val="663366"/>
      <w:sz w:val="48"/>
    </w:rPr>
  </w:style>
  <w:style w:customStyle="1" w:styleId="Header-Right" w:type="paragraph">
    <w:name w:val="Header-Right"/>
    <w:basedOn w:val="Normal"/>
    <w:rsid w:val="005C4041"/>
    <w:pPr>
      <w:spacing w:after="200"/>
      <w:ind w:right="43"/>
      <w:jc w:val="right"/>
    </w:pPr>
    <w:rPr>
      <w:color w:themeColor="accent1" w:val="663366"/>
      <w:sz w:val="36"/>
    </w:rPr>
  </w:style>
  <w:style w:customStyle="1" w:styleId="HostTable-Borderless" w:type="table">
    <w:name w:val="Host Table - Borderless"/>
    <w:basedOn w:val="TableNormal"/>
    <w:rsid w:val="005C4041"/>
    <w:tblPr>
      <w:tblCellMar>
        <w:left w:type="dxa" w:w="0"/>
        <w:right w:type="dxa" w:w="0"/>
      </w:tblCellMar>
    </w:tblPr>
  </w:style>
  <w:style w:styleId="BodyText" w:type="paragraph">
    <w:name w:val="Body Text"/>
    <w:basedOn w:val="Normal"/>
    <w:link w:val="BodyTextChar"/>
    <w:rsid w:val="005C4041"/>
    <w:pPr>
      <w:spacing w:after="200"/>
    </w:pPr>
    <w:rPr>
      <w:color w:themeColor="text1" w:themeTint="BF" w:val="404040"/>
      <w:szCs w:val="20"/>
    </w:rPr>
  </w:style>
  <w:style w:customStyle="1" w:styleId="BodyTextChar" w:type="character">
    <w:name w:val="Body Text Char"/>
    <w:basedOn w:val="DefaultParagraphFont"/>
    <w:link w:val="BodyText"/>
    <w:rsid w:val="005C4041"/>
    <w:rPr>
      <w:color w:themeColor="text1" w:themeTint="BF" w:val="404040"/>
      <w:sz w:val="18"/>
      <w:szCs w:val="20"/>
    </w:rPr>
  </w:style>
  <w:style w:customStyle="1" w:styleId="Plus" w:type="character">
    <w:name w:val="Plus"/>
    <w:basedOn w:val="DefaultParagraphFont"/>
    <w:rsid w:val="005C4041"/>
    <w:rPr>
      <w:b/>
      <w:color w:themeColor="accent1" w:themeTint="99" w:val="B770B7"/>
      <w:spacing w:val="-80"/>
      <w:position w:val="24"/>
      <w:sz w:val="60"/>
    </w:rPr>
  </w:style>
  <w:style w:customStyle="1" w:styleId="DateandRecipient" w:type="paragraph">
    <w:name w:val="Date and Recipient"/>
    <w:basedOn w:val="Normal"/>
    <w:rsid w:val="005C4041"/>
    <w:pPr>
      <w:spacing w:after="480"/>
    </w:pPr>
    <w:rPr>
      <w:color w:themeColor="text1" w:themeTint="BF" w:val="404040"/>
    </w:rPr>
  </w:style>
  <w:style w:styleId="Signature" w:type="paragraph">
    <w:name w:val="Signature"/>
    <w:basedOn w:val="Normal"/>
    <w:link w:val="SignatureChar"/>
    <w:rsid w:val="005C4041"/>
    <w:pPr>
      <w:spacing w:after="720"/>
    </w:pPr>
    <w:rPr>
      <w:color w:themeColor="text1" w:themeTint="BF" w:val="404040"/>
    </w:rPr>
  </w:style>
  <w:style w:customStyle="1" w:styleId="SignatureChar" w:type="character">
    <w:name w:val="Signature Char"/>
    <w:basedOn w:val="DefaultParagraphFont"/>
    <w:link w:val="Signature"/>
    <w:rsid w:val="005C4041"/>
    <w:rPr>
      <w:color w:themeColor="text1" w:themeTint="BF" w:val="404040"/>
      <w:sz w:val="18"/>
    </w:rPr>
  </w:style>
  <w:style w:styleId="BalloonText" w:type="paragraph">
    <w:name w:val="Balloon Text"/>
    <w:basedOn w:val="Normal"/>
    <w:link w:val="BalloonTextChar"/>
    <w:semiHidden/>
    <w:unhideWhenUsed/>
    <w:rsid w:val="005C4041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semiHidden/>
    <w:rsid w:val="005C4041"/>
    <w:rPr>
      <w:rFonts w:ascii="Tahoma" w:cs="Tahoma" w:hAnsi="Tahoma"/>
      <w:sz w:val="16"/>
      <w:szCs w:val="16"/>
    </w:rPr>
  </w:style>
  <w:style w:styleId="Bibliography" w:type="paragraph">
    <w:name w:val="Bibliography"/>
    <w:basedOn w:val="Normal"/>
    <w:next w:val="Normal"/>
    <w:semiHidden/>
    <w:unhideWhenUsed/>
    <w:rsid w:val="005C4041"/>
  </w:style>
  <w:style w:styleId="BlockText" w:type="paragraph">
    <w:name w:val="Block Text"/>
    <w:basedOn w:val="Normal"/>
    <w:semiHidden/>
    <w:unhideWhenUsed/>
    <w:rsid w:val="005C4041"/>
    <w:pPr>
      <w:pBdr>
        <w:top w:color="663366" w:shadow="1" w:space="10" w:sz="2" w:themeColor="accent1" w:val="single"/>
        <w:left w:color="663366" w:shadow="1" w:space="10" w:sz="2" w:themeColor="accent1" w:val="single"/>
        <w:bottom w:color="663366" w:shadow="1" w:space="10" w:sz="2" w:themeColor="accent1" w:val="single"/>
        <w:right w:color="663366" w:shadow="1" w:space="10" w:sz="2" w:themeColor="accent1" w:val="single"/>
      </w:pBdr>
      <w:ind w:left="1152" w:right="1152"/>
    </w:pPr>
    <w:rPr>
      <w:i/>
      <w:iCs/>
      <w:color w:themeColor="accent1" w:val="663366"/>
    </w:rPr>
  </w:style>
  <w:style w:styleId="BodyText2" w:type="paragraph">
    <w:name w:val="Body Text 2"/>
    <w:basedOn w:val="Normal"/>
    <w:link w:val="BodyText2Char"/>
    <w:semiHidden/>
    <w:unhideWhenUsed/>
    <w:rsid w:val="005C4041"/>
    <w:pPr>
      <w:spacing w:after="120"/>
      <w:ind w:left="360"/>
    </w:pPr>
  </w:style>
  <w:style w:styleId="BodyText3" w:type="paragraph">
    <w:name w:val="Body Text 3"/>
    <w:basedOn w:val="Normal"/>
    <w:link w:val="BodyText3Char"/>
    <w:semiHidden/>
    <w:unhideWhenUsed/>
    <w:rsid w:val="005C4041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semiHidden/>
    <w:rsid w:val="005C4041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semiHidden/>
    <w:unhideWhenUsed/>
    <w:rsid w:val="005C4041"/>
    <w:pPr>
      <w:spacing w:after="0"/>
      <w:ind w:firstLine="360"/>
    </w:pPr>
    <w:rPr>
      <w:color w:val="auto"/>
      <w:szCs w:val="22"/>
    </w:rPr>
  </w:style>
  <w:style w:customStyle="1" w:styleId="BodyTextFirstIndentChar" w:type="character">
    <w:name w:val="Body Text First Indent Char"/>
    <w:basedOn w:val="BodyTextChar"/>
    <w:link w:val="BodyTextFirstIndent"/>
    <w:semiHidden/>
    <w:rsid w:val="005C4041"/>
    <w:rPr>
      <w:color w:themeColor="text1" w:themeTint="BF" w:val="404040"/>
      <w:sz w:val="18"/>
      <w:szCs w:val="20"/>
    </w:rPr>
  </w:style>
  <w:style w:customStyle="1" w:styleId="BodyText2Char" w:type="character">
    <w:name w:val="Body Text 2 Char"/>
    <w:basedOn w:val="DefaultParagraphFont"/>
    <w:link w:val="BodyText2"/>
    <w:semiHidden/>
    <w:rsid w:val="005C4041"/>
    <w:rPr>
      <w:sz w:val="18"/>
    </w:rPr>
  </w:style>
  <w:style w:styleId="BodyTextFirstIndent2" w:type="paragraph">
    <w:name w:val="Body Text First Indent 2"/>
    <w:basedOn w:val="BodyText2"/>
    <w:link w:val="BodyTextFirstIndent2Char"/>
    <w:semiHidden/>
    <w:unhideWhenUsed/>
    <w:rsid w:val="005C4041"/>
    <w:pPr>
      <w:spacing w:after="0"/>
      <w:ind w:firstLine="360"/>
    </w:pPr>
  </w:style>
  <w:style w:customStyle="1" w:styleId="BodyTextFirstIndent2Char" w:type="character">
    <w:name w:val="Body Text First Indent 2 Char"/>
    <w:basedOn w:val="BodyText2Char"/>
    <w:link w:val="BodyTextFirstIndent2"/>
    <w:semiHidden/>
    <w:rsid w:val="005C4041"/>
    <w:rPr>
      <w:sz w:val="18"/>
    </w:rPr>
  </w:style>
  <w:style w:styleId="BodyTextIndent2" w:type="paragraph">
    <w:name w:val="Body Text Indent 2"/>
    <w:basedOn w:val="Normal"/>
    <w:link w:val="BodyTextIndent2Char"/>
    <w:semiHidden/>
    <w:unhideWhenUsed/>
    <w:rsid w:val="005C4041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semiHidden/>
    <w:rsid w:val="005C4041"/>
    <w:rPr>
      <w:sz w:val="18"/>
    </w:rPr>
  </w:style>
  <w:style w:styleId="BodyTextIndent3" w:type="paragraph">
    <w:name w:val="Body Text Indent 3"/>
    <w:basedOn w:val="Normal"/>
    <w:link w:val="BodyTextIndent3Char"/>
    <w:semiHidden/>
    <w:unhideWhenUsed/>
    <w:rsid w:val="005C4041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semiHidden/>
    <w:rsid w:val="005C4041"/>
    <w:rPr>
      <w:sz w:val="16"/>
      <w:szCs w:val="16"/>
    </w:rPr>
  </w:style>
  <w:style w:styleId="Caption" w:type="paragraph">
    <w:name w:val="caption"/>
    <w:basedOn w:val="Normal"/>
    <w:next w:val="Normal"/>
    <w:semiHidden/>
    <w:unhideWhenUsed/>
    <w:qFormat/>
    <w:rsid w:val="005C4041"/>
    <w:pPr>
      <w:spacing w:after="200"/>
    </w:pPr>
    <w:rPr>
      <w:b/>
      <w:bCs/>
      <w:color w:themeColor="accent1" w:val="663366"/>
      <w:szCs w:val="18"/>
    </w:rPr>
  </w:style>
  <w:style w:styleId="Closing" w:type="paragraph">
    <w:name w:val="Closing"/>
    <w:basedOn w:val="Normal"/>
    <w:link w:val="ClosingChar"/>
    <w:semiHidden/>
    <w:unhideWhenUsed/>
    <w:rsid w:val="005C4041"/>
    <w:pPr>
      <w:ind w:left="4320"/>
    </w:pPr>
  </w:style>
  <w:style w:customStyle="1" w:styleId="ClosingChar" w:type="character">
    <w:name w:val="Closing Char"/>
    <w:basedOn w:val="DefaultParagraphFont"/>
    <w:link w:val="Closing"/>
    <w:semiHidden/>
    <w:rsid w:val="005C4041"/>
    <w:rPr>
      <w:sz w:val="18"/>
    </w:rPr>
  </w:style>
  <w:style w:styleId="CommentText" w:type="paragraph">
    <w:name w:val="annotation text"/>
    <w:basedOn w:val="Normal"/>
    <w:link w:val="CommentTextChar"/>
    <w:semiHidden/>
    <w:unhideWhenUsed/>
    <w:rsid w:val="005C4041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5C4041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5C4041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5C4041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semiHidden/>
    <w:unhideWhenUsed/>
    <w:rsid w:val="005C4041"/>
  </w:style>
  <w:style w:customStyle="1" w:styleId="DateChar" w:type="character">
    <w:name w:val="Date Char"/>
    <w:basedOn w:val="DefaultParagraphFont"/>
    <w:link w:val="Date"/>
    <w:semiHidden/>
    <w:rsid w:val="005C4041"/>
    <w:rPr>
      <w:sz w:val="18"/>
    </w:rPr>
  </w:style>
  <w:style w:styleId="DocumentMap" w:type="paragraph">
    <w:name w:val="Document Map"/>
    <w:basedOn w:val="Normal"/>
    <w:link w:val="DocumentMapChar"/>
    <w:semiHidden/>
    <w:unhideWhenUsed/>
    <w:rsid w:val="005C4041"/>
    <w:rPr>
      <w:rFonts w:ascii="Tahoma" w:cs="Tahoma" w:hAnsi="Tahoma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semiHidden/>
    <w:rsid w:val="005C4041"/>
    <w:rPr>
      <w:rFonts w:ascii="Tahoma" w:cs="Tahoma" w:hAnsi="Tahoma"/>
      <w:sz w:val="16"/>
      <w:szCs w:val="16"/>
    </w:rPr>
  </w:style>
  <w:style w:styleId="E-mailSignature" w:type="paragraph">
    <w:name w:val="E-mail Signature"/>
    <w:basedOn w:val="Normal"/>
    <w:link w:val="E-mailSignatureChar"/>
    <w:semiHidden/>
    <w:unhideWhenUsed/>
    <w:rsid w:val="005C4041"/>
  </w:style>
  <w:style w:customStyle="1" w:styleId="E-mailSignatureChar" w:type="character">
    <w:name w:val="E-mail Signature Char"/>
    <w:basedOn w:val="DefaultParagraphFont"/>
    <w:link w:val="E-mailSignature"/>
    <w:semiHidden/>
    <w:rsid w:val="005C4041"/>
    <w:rPr>
      <w:sz w:val="18"/>
    </w:rPr>
  </w:style>
  <w:style w:styleId="EndnoteText" w:type="paragraph">
    <w:name w:val="endnote text"/>
    <w:basedOn w:val="Normal"/>
    <w:link w:val="EndnoteTextChar"/>
    <w:semiHidden/>
    <w:unhideWhenUsed/>
    <w:rsid w:val="005C4041"/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semiHidden/>
    <w:rsid w:val="005C4041"/>
    <w:rPr>
      <w:sz w:val="20"/>
      <w:szCs w:val="20"/>
    </w:rPr>
  </w:style>
  <w:style w:styleId="EnvelopeAddress" w:type="paragraph">
    <w:name w:val="envelope address"/>
    <w:basedOn w:val="Normal"/>
    <w:semiHidden/>
    <w:unhideWhenUsed/>
    <w:rsid w:val="005C4041"/>
    <w:pPr>
      <w:framePr w:h="1980" w:hAnchor="page" w:hRule="exact" w:hSpace="180" w:w="7920" w:wrap="auto" w:xAlign="center" w:yAlign="bottom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semiHidden/>
    <w:unhideWhenUsed/>
    <w:rsid w:val="005C4041"/>
    <w:rPr>
      <w:rFonts w:asciiTheme="majorHAnsi" w:cstheme="majorBidi" w:eastAsiaTheme="majorEastAsia" w:hAnsiTheme="majorHAnsi"/>
      <w:sz w:val="20"/>
      <w:szCs w:val="20"/>
    </w:rPr>
  </w:style>
  <w:style w:styleId="Footer" w:type="paragraph">
    <w:name w:val="footer"/>
    <w:basedOn w:val="Normal"/>
    <w:link w:val="FooterChar"/>
    <w:unhideWhenUsed/>
    <w:rsid w:val="005C4041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5C4041"/>
    <w:rPr>
      <w:sz w:val="18"/>
    </w:rPr>
  </w:style>
  <w:style w:styleId="FootnoteText" w:type="paragraph">
    <w:name w:val="footnote text"/>
    <w:basedOn w:val="Normal"/>
    <w:link w:val="FootnoteTextChar"/>
    <w:unhideWhenUsed/>
    <w:rsid w:val="005C4041"/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rsid w:val="005C4041"/>
    <w:rPr>
      <w:sz w:val="20"/>
      <w:szCs w:val="20"/>
    </w:rPr>
  </w:style>
  <w:style w:customStyle="1" w:styleId="Heading1Char" w:type="character">
    <w:name w:val="Heading 1 Char"/>
    <w:basedOn w:val="DefaultParagraphFont"/>
    <w:link w:val="Heading1"/>
    <w:rsid w:val="00D9070B"/>
    <w:rPr>
      <w:rFonts w:asciiTheme="majorHAnsi" w:cstheme="majorBidi" w:eastAsiaTheme="majorEastAsia" w:hAnsiTheme="majorHAnsi"/>
      <w:b/>
      <w:bCs/>
      <w:color w:themeColor="accent1" w:themeShade="BF" w:val="4C264C"/>
      <w:sz w:val="28"/>
      <w:szCs w:val="28"/>
    </w:rPr>
  </w:style>
  <w:style w:customStyle="1" w:styleId="Heading2Char" w:type="character">
    <w:name w:val="Heading 2 Char"/>
    <w:basedOn w:val="DefaultParagraphFont"/>
    <w:link w:val="Heading2"/>
    <w:rsid w:val="00D9070B"/>
    <w:rPr>
      <w:rFonts w:asciiTheme="majorHAnsi" w:cstheme="majorBidi" w:eastAsiaTheme="majorEastAsia" w:hAnsiTheme="majorHAnsi"/>
      <w:b/>
      <w:bCs/>
      <w:color w:themeColor="accent1" w:val="663366"/>
      <w:sz w:val="26"/>
      <w:szCs w:val="26"/>
    </w:rPr>
  </w:style>
  <w:style w:customStyle="1" w:styleId="Heading3Char" w:type="character">
    <w:name w:val="Heading 3 Char"/>
    <w:basedOn w:val="DefaultParagraphFont"/>
    <w:link w:val="Heading3"/>
    <w:rsid w:val="00D9070B"/>
    <w:rPr>
      <w:rFonts w:asciiTheme="majorHAnsi" w:cstheme="majorBidi" w:eastAsiaTheme="majorEastAsia" w:hAnsiTheme="majorHAnsi"/>
      <w:b/>
      <w:bCs/>
      <w:color w:themeColor="accent1" w:val="663366"/>
      <w:sz w:val="18"/>
    </w:rPr>
  </w:style>
  <w:style w:customStyle="1" w:styleId="Heading4Char" w:type="character">
    <w:name w:val="Heading 4 Char"/>
    <w:basedOn w:val="DefaultParagraphFont"/>
    <w:link w:val="Heading4"/>
    <w:semiHidden/>
    <w:rsid w:val="00D9070B"/>
    <w:rPr>
      <w:rFonts w:asciiTheme="majorHAnsi" w:cstheme="majorBidi" w:eastAsiaTheme="majorEastAsia" w:hAnsiTheme="majorHAnsi"/>
      <w:b/>
      <w:bCs/>
      <w:i/>
      <w:iCs/>
      <w:color w:themeColor="accent1" w:val="663366"/>
      <w:sz w:val="18"/>
    </w:rPr>
  </w:style>
  <w:style w:customStyle="1" w:styleId="Heading5Char" w:type="character">
    <w:name w:val="Heading 5 Char"/>
    <w:basedOn w:val="DefaultParagraphFont"/>
    <w:link w:val="Heading5"/>
    <w:semiHidden/>
    <w:rsid w:val="00D9070B"/>
    <w:rPr>
      <w:rFonts w:asciiTheme="majorHAnsi" w:cstheme="majorBidi" w:eastAsiaTheme="majorEastAsia" w:hAnsiTheme="majorHAnsi"/>
      <w:color w:themeColor="accent1" w:themeShade="7F" w:val="321932"/>
      <w:sz w:val="18"/>
    </w:rPr>
  </w:style>
  <w:style w:customStyle="1" w:styleId="Heading6Char" w:type="character">
    <w:name w:val="Heading 6 Char"/>
    <w:basedOn w:val="DefaultParagraphFont"/>
    <w:link w:val="Heading6"/>
    <w:semiHidden/>
    <w:rsid w:val="00D9070B"/>
    <w:rPr>
      <w:rFonts w:asciiTheme="majorHAnsi" w:cstheme="majorBidi" w:eastAsiaTheme="majorEastAsia" w:hAnsiTheme="majorHAnsi"/>
      <w:i/>
      <w:iCs/>
      <w:color w:themeColor="accent1" w:themeShade="7F" w:val="321932"/>
      <w:sz w:val="18"/>
    </w:rPr>
  </w:style>
  <w:style w:customStyle="1" w:styleId="Heading7Char" w:type="character">
    <w:name w:val="Heading 7 Char"/>
    <w:basedOn w:val="DefaultParagraphFont"/>
    <w:link w:val="Heading7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18"/>
    </w:rPr>
  </w:style>
  <w:style w:customStyle="1" w:styleId="Heading8Char" w:type="character">
    <w:name w:val="Heading 8 Char"/>
    <w:basedOn w:val="DefaultParagraphFont"/>
    <w:link w:val="Heading8"/>
    <w:semiHidden/>
    <w:rsid w:val="00D9070B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Heading9Char" w:type="character">
    <w:name w:val="Heading 9 Char"/>
    <w:basedOn w:val="DefaultParagraphFont"/>
    <w:link w:val="Heading9"/>
    <w:semiHidden/>
    <w:rsid w:val="00D9070B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HTMLAddress" w:type="paragraph">
    <w:name w:val="HTML Address"/>
    <w:basedOn w:val="Normal"/>
    <w:link w:val="HTMLAddressChar"/>
    <w:semiHidden/>
    <w:unhideWhenUsed/>
    <w:rsid w:val="005C4041"/>
    <w:rPr>
      <w:i/>
      <w:iCs/>
    </w:rPr>
  </w:style>
  <w:style w:customStyle="1" w:styleId="HTMLAddressChar" w:type="character">
    <w:name w:val="HTML Address Char"/>
    <w:basedOn w:val="DefaultParagraphFont"/>
    <w:link w:val="HTMLAddress"/>
    <w:semiHidden/>
    <w:rsid w:val="005C4041"/>
    <w:rPr>
      <w:i/>
      <w:iCs/>
      <w:sz w:val="18"/>
    </w:rPr>
  </w:style>
  <w:style w:styleId="HTMLPreformatted" w:type="paragraph">
    <w:name w:val="HTML Preformatted"/>
    <w:basedOn w:val="Normal"/>
    <w:link w:val="HTMLPreformattedChar"/>
    <w:semiHidden/>
    <w:unhideWhenUsed/>
    <w:rsid w:val="005C4041"/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semiHidden/>
    <w:rsid w:val="005C4041"/>
    <w:rPr>
      <w:rFonts w:ascii="Consolas" w:hAnsi="Consolas"/>
      <w:sz w:val="20"/>
      <w:szCs w:val="20"/>
    </w:rPr>
  </w:style>
  <w:style w:styleId="Index1" w:type="paragraph">
    <w:name w:val="index 1"/>
    <w:basedOn w:val="Normal"/>
    <w:next w:val="Normal"/>
    <w:autoRedefine/>
    <w:semiHidden/>
    <w:unhideWhenUsed/>
    <w:rsid w:val="005C4041"/>
    <w:pPr>
      <w:ind w:hanging="180" w:left="180"/>
    </w:pPr>
  </w:style>
  <w:style w:styleId="Index2" w:type="paragraph">
    <w:name w:val="index 2"/>
    <w:basedOn w:val="Normal"/>
    <w:next w:val="Normal"/>
    <w:autoRedefine/>
    <w:semiHidden/>
    <w:unhideWhenUsed/>
    <w:rsid w:val="005C4041"/>
    <w:pPr>
      <w:ind w:hanging="180" w:left="360"/>
    </w:pPr>
  </w:style>
  <w:style w:styleId="Index3" w:type="paragraph">
    <w:name w:val="index 3"/>
    <w:basedOn w:val="Normal"/>
    <w:next w:val="Normal"/>
    <w:autoRedefine/>
    <w:semiHidden/>
    <w:unhideWhenUsed/>
    <w:rsid w:val="005C4041"/>
    <w:pPr>
      <w:ind w:hanging="180" w:left="540"/>
    </w:pPr>
  </w:style>
  <w:style w:styleId="Index4" w:type="paragraph">
    <w:name w:val="index 4"/>
    <w:basedOn w:val="Normal"/>
    <w:next w:val="Normal"/>
    <w:autoRedefine/>
    <w:semiHidden/>
    <w:unhideWhenUsed/>
    <w:rsid w:val="005C4041"/>
    <w:pPr>
      <w:ind w:hanging="180" w:left="720"/>
    </w:pPr>
  </w:style>
  <w:style w:styleId="Index5" w:type="paragraph">
    <w:name w:val="index 5"/>
    <w:basedOn w:val="Normal"/>
    <w:next w:val="Normal"/>
    <w:autoRedefine/>
    <w:semiHidden/>
    <w:unhideWhenUsed/>
    <w:rsid w:val="005C4041"/>
    <w:pPr>
      <w:ind w:hanging="180" w:left="900"/>
    </w:pPr>
  </w:style>
  <w:style w:styleId="Index6" w:type="paragraph">
    <w:name w:val="index 6"/>
    <w:basedOn w:val="Normal"/>
    <w:next w:val="Normal"/>
    <w:autoRedefine/>
    <w:semiHidden/>
    <w:unhideWhenUsed/>
    <w:rsid w:val="005C4041"/>
    <w:pPr>
      <w:ind w:hanging="180" w:left="1080"/>
    </w:pPr>
  </w:style>
  <w:style w:styleId="Index7" w:type="paragraph">
    <w:name w:val="index 7"/>
    <w:basedOn w:val="Normal"/>
    <w:next w:val="Normal"/>
    <w:autoRedefine/>
    <w:semiHidden/>
    <w:unhideWhenUsed/>
    <w:rsid w:val="005C4041"/>
    <w:pPr>
      <w:ind w:hanging="180" w:left="1260"/>
    </w:pPr>
  </w:style>
  <w:style w:styleId="Index8" w:type="paragraph">
    <w:name w:val="index 8"/>
    <w:basedOn w:val="Normal"/>
    <w:next w:val="Normal"/>
    <w:autoRedefine/>
    <w:semiHidden/>
    <w:unhideWhenUsed/>
    <w:rsid w:val="005C4041"/>
    <w:pPr>
      <w:ind w:hanging="180" w:left="1440"/>
    </w:pPr>
  </w:style>
  <w:style w:styleId="Index9" w:type="paragraph">
    <w:name w:val="index 9"/>
    <w:basedOn w:val="Normal"/>
    <w:next w:val="Normal"/>
    <w:autoRedefine/>
    <w:semiHidden/>
    <w:unhideWhenUsed/>
    <w:rsid w:val="005C4041"/>
    <w:pPr>
      <w:ind w:hanging="180" w:left="1620"/>
    </w:pPr>
  </w:style>
  <w:style w:styleId="IndexHeading" w:type="paragraph">
    <w:name w:val="index heading"/>
    <w:basedOn w:val="Normal"/>
    <w:next w:val="Index1"/>
    <w:semiHidden/>
    <w:unhideWhenUsed/>
    <w:rsid w:val="005C4041"/>
    <w:rPr>
      <w:rFonts w:asciiTheme="majorHAnsi" w:cstheme="majorBidi" w:eastAsiaTheme="majorEastAsia" w:hAnsiTheme="majorHAnsi"/>
      <w:b/>
      <w:bCs/>
    </w:rPr>
  </w:style>
  <w:style w:styleId="IntenseQuote" w:type="paragraph">
    <w:name w:val="Intense Quote"/>
    <w:basedOn w:val="Normal"/>
    <w:next w:val="Normal"/>
    <w:link w:val="IntenseQuoteChar"/>
    <w:qFormat/>
    <w:rsid w:val="005C4041"/>
    <w:pPr>
      <w:pBdr>
        <w:bottom w:color="663366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663366"/>
    </w:rPr>
  </w:style>
  <w:style w:customStyle="1" w:styleId="IntenseQuoteChar" w:type="character">
    <w:name w:val="Intense Quote Char"/>
    <w:basedOn w:val="DefaultParagraphFont"/>
    <w:link w:val="IntenseQuote"/>
    <w:rsid w:val="005C4041"/>
    <w:rPr>
      <w:b/>
      <w:bCs/>
      <w:i/>
      <w:iCs/>
      <w:color w:themeColor="accent1" w:val="663366"/>
      <w:sz w:val="18"/>
    </w:rPr>
  </w:style>
  <w:style w:styleId="List" w:type="paragraph">
    <w:name w:val="List"/>
    <w:basedOn w:val="Normal"/>
    <w:semiHidden/>
    <w:unhideWhenUsed/>
    <w:rsid w:val="005C4041"/>
    <w:pPr>
      <w:ind w:hanging="360" w:left="360"/>
      <w:contextualSpacing/>
    </w:pPr>
  </w:style>
  <w:style w:styleId="List2" w:type="paragraph">
    <w:name w:val="List 2"/>
    <w:basedOn w:val="Normal"/>
    <w:semiHidden/>
    <w:unhideWhenUsed/>
    <w:rsid w:val="005C4041"/>
    <w:pPr>
      <w:ind w:hanging="360" w:left="720"/>
      <w:contextualSpacing/>
    </w:pPr>
  </w:style>
  <w:style w:styleId="List3" w:type="paragraph">
    <w:name w:val="List 3"/>
    <w:basedOn w:val="Normal"/>
    <w:semiHidden/>
    <w:unhideWhenUsed/>
    <w:rsid w:val="005C4041"/>
    <w:pPr>
      <w:ind w:hanging="360" w:left="1080"/>
      <w:contextualSpacing/>
    </w:pPr>
  </w:style>
  <w:style w:styleId="List4" w:type="paragraph">
    <w:name w:val="List 4"/>
    <w:basedOn w:val="Normal"/>
    <w:semiHidden/>
    <w:unhideWhenUsed/>
    <w:rsid w:val="005C4041"/>
    <w:pPr>
      <w:ind w:hanging="360" w:left="1440"/>
      <w:contextualSpacing/>
    </w:pPr>
  </w:style>
  <w:style w:styleId="List5" w:type="paragraph">
    <w:name w:val="List 5"/>
    <w:basedOn w:val="Normal"/>
    <w:semiHidden/>
    <w:unhideWhenUsed/>
    <w:rsid w:val="005C4041"/>
    <w:pPr>
      <w:ind w:hanging="360" w:left="1800"/>
      <w:contextualSpacing/>
    </w:pPr>
  </w:style>
  <w:style w:styleId="ListBullet" w:type="paragraph">
    <w:name w:val="List Bullet"/>
    <w:basedOn w:val="Normal"/>
    <w:semiHidden/>
    <w:unhideWhenUsed/>
    <w:rsid w:val="005C4041"/>
    <w:pPr>
      <w:numPr>
        <w:numId w:val="1"/>
      </w:numPr>
      <w:contextualSpacing/>
    </w:pPr>
  </w:style>
  <w:style w:styleId="ListBullet2" w:type="paragraph">
    <w:name w:val="List Bullet 2"/>
    <w:basedOn w:val="Normal"/>
    <w:semiHidden/>
    <w:unhideWhenUsed/>
    <w:rsid w:val="005C4041"/>
    <w:pPr>
      <w:numPr>
        <w:numId w:val="2"/>
      </w:numPr>
      <w:contextualSpacing/>
    </w:pPr>
  </w:style>
  <w:style w:styleId="ListBullet3" w:type="paragraph">
    <w:name w:val="List Bullet 3"/>
    <w:basedOn w:val="Normal"/>
    <w:semiHidden/>
    <w:unhideWhenUsed/>
    <w:rsid w:val="005C4041"/>
    <w:pPr>
      <w:numPr>
        <w:numId w:val="3"/>
      </w:numPr>
      <w:contextualSpacing/>
    </w:pPr>
  </w:style>
  <w:style w:styleId="ListBullet4" w:type="paragraph">
    <w:name w:val="List Bullet 4"/>
    <w:basedOn w:val="Normal"/>
    <w:semiHidden/>
    <w:unhideWhenUsed/>
    <w:rsid w:val="005C4041"/>
    <w:pPr>
      <w:numPr>
        <w:numId w:val="4"/>
      </w:numPr>
      <w:contextualSpacing/>
    </w:pPr>
  </w:style>
  <w:style w:styleId="ListBullet5" w:type="paragraph">
    <w:name w:val="List Bullet 5"/>
    <w:basedOn w:val="Normal"/>
    <w:semiHidden/>
    <w:unhideWhenUsed/>
    <w:rsid w:val="005C4041"/>
    <w:pPr>
      <w:numPr>
        <w:numId w:val="5"/>
      </w:numPr>
      <w:contextualSpacing/>
    </w:pPr>
  </w:style>
  <w:style w:styleId="ListContinue" w:type="paragraph">
    <w:name w:val="List Continue"/>
    <w:basedOn w:val="Normal"/>
    <w:semiHidden/>
    <w:unhideWhenUsed/>
    <w:rsid w:val="005C4041"/>
    <w:pPr>
      <w:spacing w:after="120"/>
      <w:ind w:left="360"/>
      <w:contextualSpacing/>
    </w:pPr>
  </w:style>
  <w:style w:styleId="ListContinue2" w:type="paragraph">
    <w:name w:val="List Continue 2"/>
    <w:basedOn w:val="Normal"/>
    <w:semiHidden/>
    <w:unhideWhenUsed/>
    <w:rsid w:val="005C4041"/>
    <w:pPr>
      <w:spacing w:after="120"/>
      <w:ind w:left="720"/>
      <w:contextualSpacing/>
    </w:pPr>
  </w:style>
  <w:style w:styleId="ListContinue3" w:type="paragraph">
    <w:name w:val="List Continue 3"/>
    <w:basedOn w:val="Normal"/>
    <w:semiHidden/>
    <w:unhideWhenUsed/>
    <w:rsid w:val="005C4041"/>
    <w:pPr>
      <w:spacing w:after="120"/>
      <w:ind w:left="1080"/>
      <w:contextualSpacing/>
    </w:pPr>
  </w:style>
  <w:style w:styleId="ListContinue4" w:type="paragraph">
    <w:name w:val="List Continue 4"/>
    <w:basedOn w:val="Normal"/>
    <w:semiHidden/>
    <w:unhideWhenUsed/>
    <w:rsid w:val="005C4041"/>
    <w:pPr>
      <w:spacing w:after="120"/>
      <w:ind w:left="1440"/>
      <w:contextualSpacing/>
    </w:pPr>
  </w:style>
  <w:style w:styleId="ListContinue5" w:type="paragraph">
    <w:name w:val="List Continue 5"/>
    <w:basedOn w:val="Normal"/>
    <w:semiHidden/>
    <w:unhideWhenUsed/>
    <w:rsid w:val="005C4041"/>
    <w:pPr>
      <w:spacing w:after="120"/>
      <w:ind w:left="1800"/>
      <w:contextualSpacing/>
    </w:pPr>
  </w:style>
  <w:style w:styleId="ListNumber" w:type="paragraph">
    <w:name w:val="List Number"/>
    <w:basedOn w:val="Normal"/>
    <w:semiHidden/>
    <w:unhideWhenUsed/>
    <w:rsid w:val="005C4041"/>
    <w:pPr>
      <w:numPr>
        <w:numId w:val="6"/>
      </w:numPr>
      <w:contextualSpacing/>
    </w:pPr>
  </w:style>
  <w:style w:styleId="ListNumber2" w:type="paragraph">
    <w:name w:val="List Number 2"/>
    <w:basedOn w:val="Normal"/>
    <w:semiHidden/>
    <w:unhideWhenUsed/>
    <w:rsid w:val="005C4041"/>
    <w:pPr>
      <w:numPr>
        <w:numId w:val="7"/>
      </w:numPr>
      <w:contextualSpacing/>
    </w:pPr>
  </w:style>
  <w:style w:styleId="ListNumber3" w:type="paragraph">
    <w:name w:val="List Number 3"/>
    <w:basedOn w:val="Normal"/>
    <w:semiHidden/>
    <w:unhideWhenUsed/>
    <w:rsid w:val="005C4041"/>
    <w:pPr>
      <w:numPr>
        <w:numId w:val="8"/>
      </w:numPr>
      <w:contextualSpacing/>
    </w:pPr>
  </w:style>
  <w:style w:styleId="ListNumber4" w:type="paragraph">
    <w:name w:val="List Number 4"/>
    <w:basedOn w:val="Normal"/>
    <w:semiHidden/>
    <w:unhideWhenUsed/>
    <w:rsid w:val="005C4041"/>
    <w:pPr>
      <w:numPr>
        <w:numId w:val="9"/>
      </w:numPr>
      <w:contextualSpacing/>
    </w:pPr>
  </w:style>
  <w:style w:styleId="ListNumber5" w:type="paragraph">
    <w:name w:val="List Number 5"/>
    <w:basedOn w:val="Normal"/>
    <w:semiHidden/>
    <w:unhideWhenUsed/>
    <w:rsid w:val="005C4041"/>
    <w:pPr>
      <w:numPr>
        <w:numId w:val="10"/>
      </w:numPr>
      <w:contextualSpacing/>
    </w:pPr>
  </w:style>
  <w:style w:styleId="ListParagraph" w:type="paragraph">
    <w:name w:val="List Paragraph"/>
    <w:basedOn w:val="Normal"/>
    <w:qFormat/>
    <w:rsid w:val="005C4041"/>
    <w:pPr>
      <w:ind w:left="720"/>
      <w:contextualSpacing/>
    </w:pPr>
  </w:style>
  <w:style w:styleId="MacroText" w:type="paragraph">
    <w:name w:val="macro"/>
    <w:link w:val="MacroTextChar"/>
    <w:semiHidden/>
    <w:unhideWhenUsed/>
    <w:rsid w:val="005C404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semiHidden/>
    <w:rsid w:val="005C4041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semiHidden/>
    <w:unhideWhenUsed/>
    <w:rsid w:val="005C404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semiHidden/>
    <w:rsid w:val="005C404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Spacing" w:type="paragraph">
    <w:name w:val="No Spacing"/>
    <w:qFormat/>
    <w:rsid w:val="005C4041"/>
    <w:rPr>
      <w:sz w:val="18"/>
    </w:rPr>
  </w:style>
  <w:style w:styleId="NormalWeb" w:type="paragraph">
    <w:name w:val="Normal (Web)"/>
    <w:basedOn w:val="Normal"/>
    <w:semiHidden/>
    <w:unhideWhenUsed/>
    <w:rsid w:val="005C404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semiHidden/>
    <w:unhideWhenUsed/>
    <w:rsid w:val="005C4041"/>
    <w:pPr>
      <w:ind w:left="720"/>
    </w:pPr>
  </w:style>
  <w:style w:styleId="NoteHeading" w:type="paragraph">
    <w:name w:val="Note Heading"/>
    <w:basedOn w:val="Normal"/>
    <w:next w:val="Normal"/>
    <w:link w:val="NoteHeadingChar"/>
    <w:semiHidden/>
    <w:unhideWhenUsed/>
    <w:rsid w:val="005C4041"/>
  </w:style>
  <w:style w:customStyle="1" w:styleId="NoteHeadingChar" w:type="character">
    <w:name w:val="Note Heading Char"/>
    <w:basedOn w:val="DefaultParagraphFont"/>
    <w:link w:val="NoteHeading"/>
    <w:semiHidden/>
    <w:rsid w:val="005C4041"/>
    <w:rPr>
      <w:sz w:val="18"/>
    </w:rPr>
  </w:style>
  <w:style w:styleId="PlainText" w:type="paragraph">
    <w:name w:val="Plain Text"/>
    <w:basedOn w:val="Normal"/>
    <w:link w:val="PlainTextChar"/>
    <w:semiHidden/>
    <w:unhideWhenUsed/>
    <w:rsid w:val="005C4041"/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semiHidden/>
    <w:rsid w:val="005C4041"/>
    <w:rPr>
      <w:rFonts w:ascii="Consolas" w:hAnsi="Consolas"/>
      <w:sz w:val="21"/>
      <w:szCs w:val="21"/>
    </w:rPr>
  </w:style>
  <w:style w:styleId="Quote" w:type="paragraph">
    <w:name w:val="Quote"/>
    <w:basedOn w:val="Normal"/>
    <w:next w:val="Normal"/>
    <w:link w:val="QuoteChar"/>
    <w:qFormat/>
    <w:rsid w:val="005C404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rsid w:val="005C4041"/>
    <w:rPr>
      <w:i/>
      <w:iCs/>
      <w:color w:themeColor="text1" w:val="000000"/>
      <w:sz w:val="18"/>
    </w:rPr>
  </w:style>
  <w:style w:styleId="Salutation" w:type="paragraph">
    <w:name w:val="Salutation"/>
    <w:basedOn w:val="Normal"/>
    <w:next w:val="Normal"/>
    <w:link w:val="SalutationChar"/>
    <w:semiHidden/>
    <w:unhideWhenUsed/>
    <w:rsid w:val="005C4041"/>
  </w:style>
  <w:style w:customStyle="1" w:styleId="SalutationChar" w:type="character">
    <w:name w:val="Salutation Char"/>
    <w:basedOn w:val="DefaultParagraphFont"/>
    <w:link w:val="Salutation"/>
    <w:semiHidden/>
    <w:rsid w:val="005C4041"/>
    <w:rPr>
      <w:sz w:val="18"/>
    </w:rPr>
  </w:style>
  <w:style w:styleId="Subtitle" w:type="paragraph">
    <w:name w:val="Subtitle"/>
    <w:basedOn w:val="Normal"/>
    <w:next w:val="Normal"/>
    <w:link w:val="SubtitleChar"/>
    <w:qFormat/>
    <w:rsid w:val="005C4041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rsid w:val="005C4041"/>
    <w:rPr>
      <w:rFonts w:asciiTheme="majorHAnsi" w:cstheme="majorBidi" w:eastAsiaTheme="majorEastAsia" w:hAnsiTheme="majorHAnsi"/>
      <w:i/>
      <w:iCs/>
      <w:color w:themeColor="accent1" w:val="663366"/>
      <w:spacing w:val="15"/>
      <w:sz w:val="24"/>
      <w:szCs w:val="24"/>
    </w:rPr>
  </w:style>
  <w:style w:styleId="TableofAuthorities" w:type="paragraph">
    <w:name w:val="table of authorities"/>
    <w:basedOn w:val="Normal"/>
    <w:next w:val="Normal"/>
    <w:semiHidden/>
    <w:unhideWhenUsed/>
    <w:rsid w:val="005C4041"/>
    <w:pPr>
      <w:ind w:hanging="180" w:left="180"/>
    </w:pPr>
  </w:style>
  <w:style w:styleId="TableofFigures" w:type="paragraph">
    <w:name w:val="table of figures"/>
    <w:basedOn w:val="Normal"/>
    <w:next w:val="Normal"/>
    <w:semiHidden/>
    <w:unhideWhenUsed/>
    <w:rsid w:val="005C4041"/>
  </w:style>
  <w:style w:styleId="Title" w:type="paragraph">
    <w:name w:val="Title"/>
    <w:basedOn w:val="Normal"/>
    <w:next w:val="Normal"/>
    <w:link w:val="TitleChar"/>
    <w:qFormat/>
    <w:rsid w:val="000823F2"/>
    <w:pPr>
      <w:pBdr>
        <w:bottom w:color="663366" w:space="4" w:sz="8" w:themeColor="accent1" w:val="single"/>
      </w:pBdr>
      <w:spacing w:after="300"/>
      <w:contextualSpacing/>
    </w:pPr>
    <w:rPr>
      <w:rFonts w:cstheme="majorBidi" w:eastAsiaTheme="majorEastAsia"/>
      <w:color w:themeColor="text2" w:themeShade="BF" w:val="200F21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rsid w:val="000823F2"/>
    <w:rPr>
      <w:rFonts w:ascii="Aptos" w:cstheme="majorBidi" w:eastAsiaTheme="majorEastAsia" w:hAnsi="Aptos"/>
      <w:color w:themeColor="text2" w:themeShade="BF" w:val="200F21"/>
      <w:spacing w:val="5"/>
      <w:kern w:val="28"/>
      <w:sz w:val="52"/>
      <w:szCs w:val="52"/>
    </w:rPr>
  </w:style>
  <w:style w:styleId="TOAHeading" w:type="paragraph">
    <w:name w:val="toa heading"/>
    <w:basedOn w:val="Normal"/>
    <w:next w:val="Normal"/>
    <w:semiHidden/>
    <w:unhideWhenUsed/>
    <w:rsid w:val="005C4041"/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semiHidden/>
    <w:unhideWhenUsed/>
    <w:rsid w:val="005C4041"/>
    <w:pPr>
      <w:spacing w:after="100"/>
    </w:pPr>
  </w:style>
  <w:style w:styleId="TOC2" w:type="paragraph">
    <w:name w:val="toc 2"/>
    <w:basedOn w:val="Normal"/>
    <w:next w:val="Normal"/>
    <w:autoRedefine/>
    <w:semiHidden/>
    <w:unhideWhenUsed/>
    <w:rsid w:val="005C4041"/>
    <w:pPr>
      <w:spacing w:after="100"/>
      <w:ind w:left="180"/>
    </w:pPr>
  </w:style>
  <w:style w:styleId="TOC3" w:type="paragraph">
    <w:name w:val="toc 3"/>
    <w:basedOn w:val="Normal"/>
    <w:next w:val="Normal"/>
    <w:autoRedefine/>
    <w:semiHidden/>
    <w:unhideWhenUsed/>
    <w:rsid w:val="005C4041"/>
    <w:pPr>
      <w:spacing w:after="100"/>
      <w:ind w:left="360"/>
    </w:pPr>
  </w:style>
  <w:style w:styleId="TOC4" w:type="paragraph">
    <w:name w:val="toc 4"/>
    <w:basedOn w:val="Normal"/>
    <w:next w:val="Normal"/>
    <w:autoRedefine/>
    <w:semiHidden/>
    <w:unhideWhenUsed/>
    <w:rsid w:val="005C4041"/>
    <w:pPr>
      <w:spacing w:after="100"/>
      <w:ind w:left="540"/>
    </w:pPr>
  </w:style>
  <w:style w:styleId="TOC5" w:type="paragraph">
    <w:name w:val="toc 5"/>
    <w:basedOn w:val="Normal"/>
    <w:next w:val="Normal"/>
    <w:autoRedefine/>
    <w:semiHidden/>
    <w:unhideWhenUsed/>
    <w:rsid w:val="005C4041"/>
    <w:pPr>
      <w:spacing w:after="100"/>
      <w:ind w:left="720"/>
    </w:pPr>
  </w:style>
  <w:style w:styleId="TOC6" w:type="paragraph">
    <w:name w:val="toc 6"/>
    <w:basedOn w:val="Normal"/>
    <w:next w:val="Normal"/>
    <w:autoRedefine/>
    <w:semiHidden/>
    <w:unhideWhenUsed/>
    <w:rsid w:val="005C4041"/>
    <w:pPr>
      <w:spacing w:after="100"/>
      <w:ind w:left="900"/>
    </w:pPr>
  </w:style>
  <w:style w:styleId="TOC7" w:type="paragraph">
    <w:name w:val="toc 7"/>
    <w:basedOn w:val="Normal"/>
    <w:next w:val="Normal"/>
    <w:autoRedefine/>
    <w:semiHidden/>
    <w:unhideWhenUsed/>
    <w:rsid w:val="005C4041"/>
    <w:pPr>
      <w:spacing w:after="100"/>
      <w:ind w:left="1080"/>
    </w:pPr>
  </w:style>
  <w:style w:styleId="TOC8" w:type="paragraph">
    <w:name w:val="toc 8"/>
    <w:basedOn w:val="Normal"/>
    <w:next w:val="Normal"/>
    <w:autoRedefine/>
    <w:semiHidden/>
    <w:unhideWhenUsed/>
    <w:rsid w:val="005C4041"/>
    <w:pPr>
      <w:spacing w:after="100"/>
      <w:ind w:left="1260"/>
    </w:pPr>
  </w:style>
  <w:style w:styleId="TOC9" w:type="paragraph">
    <w:name w:val="toc 9"/>
    <w:basedOn w:val="Normal"/>
    <w:next w:val="Normal"/>
    <w:autoRedefine/>
    <w:semiHidden/>
    <w:unhideWhenUsed/>
    <w:rsid w:val="005C4041"/>
    <w:pPr>
      <w:spacing w:after="100"/>
      <w:ind w:left="1440"/>
    </w:pPr>
  </w:style>
  <w:style w:styleId="TOCHeading" w:type="paragraph">
    <w:name w:val="TOC Heading"/>
    <w:basedOn w:val="Heading1"/>
    <w:next w:val="Normal"/>
    <w:semiHidden/>
    <w:unhideWhenUsed/>
    <w:qFormat/>
    <w:rsid w:val="005C4041"/>
    <w:pPr>
      <w:outlineLvl w:val="9"/>
    </w:pPr>
  </w:style>
  <w:style w:customStyle="1" w:styleId="SourceCode" w:type="paragraph">
    <w:name w:val="Source Code"/>
    <w:basedOn w:val="Normal"/>
    <w:rsid w:val="00D856DE"/>
    <w:pPr>
      <w:wordWrap w:val="0"/>
      <w:spacing w:after="120"/>
    </w:pPr>
    <w:rPr>
      <w:rFonts w:ascii="Andale Mono" w:hAnsi="Andale Mono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harTok" w:type="character">
    <w:name w:val="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CommentTok" w:type="character">
    <w:name w:val="CommentTok"/>
    <w:rPr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AlertTok" w:type="character">
    <w:name w:val="AlertTok"/>
    <w:rPr>
      <w:b/>
      <w:color w:val="FF0000"/>
    </w:rPr>
  </w:style>
  <w:style w:customStyle="1" w:styleId="FunctionTok" w:type="character">
    <w:name w:val="FunctionTok"/>
    <w:rPr>
      <w:color w:val="06287E"/>
    </w:rPr>
  </w:style>
  <w:style w:customStyle="1" w:styleId="RegionMarkerTok" w:type="character">
    <w:name w:val="RegionMarkerTok"/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ConstantTok" w:type="character">
    <w:name w:val="ConstantTok"/>
    <w:rPr>
      <w:color w:val="880000"/>
    </w:rPr>
  </w:style>
  <w:style w:customStyle="1" w:styleId="SpecialCharTok" w:type="character">
    <w:name w:val="SpecialChar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styleId="ListTable3-Accent3" w:type="table">
    <w:name w:val="List Table 3 Accent 3"/>
    <w:basedOn w:val="TableNormal"/>
    <w:uiPriority w:val="48"/>
    <w:rsid w:val="000823F2"/>
    <w:tblPr>
      <w:tblStyleRowBandSize w:val="1"/>
      <w:tblStyleColBandSize w:val="1"/>
      <w:tblBorders>
        <w:top w:color="666699" w:space="0" w:sz="4" w:themeColor="accent3" w:val="single"/>
        <w:left w:color="666699" w:space="0" w:sz="4" w:themeColor="accent3" w:val="single"/>
        <w:bottom w:color="666699" w:space="0" w:sz="4" w:themeColor="accent3" w:val="single"/>
        <w:right w:color="666699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666699" w:themeFill="accent3" w:val="clear"/>
      </w:tcPr>
    </w:tblStylePr>
    <w:tblStylePr w:type="lastRow">
      <w:rPr>
        <w:b/>
        <w:bCs/>
      </w:rPr>
      <w:tblPr/>
      <w:tcPr>
        <w:tcBorders>
          <w:top w:color="666699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66699" w:space="0" w:sz="4" w:themeColor="accent3" w:val="single"/>
          <w:right w:color="666699" w:space="0" w:sz="4" w:themeColor="accent3" w:val="single"/>
        </w:tcBorders>
      </w:tcPr>
    </w:tblStylePr>
    <w:tblStylePr w:type="band1Horz">
      <w:tblPr/>
      <w:tcPr>
        <w:tcBorders>
          <w:top w:color="666699" w:space="0" w:sz="4" w:themeColor="accent3" w:val="single"/>
          <w:bottom w:color="666699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666699" w:space="0" w:sz="4" w:themeColor="accent3" w:val="double"/>
          <w:left w:val="nil"/>
        </w:tcBorders>
      </w:tcPr>
    </w:tblStylePr>
    <w:tblStylePr w:type="swCell">
      <w:tblPr/>
      <w:tcPr>
        <w:tcBorders>
          <w:top w:color="666699" w:space="0" w:sz="4" w:themeColor="accent3" w:val="double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10" Target="header1.xml" Type="http://schemas.openxmlformats.org/officeDocument/2006/relationships/header" /><Relationship Id="rId9" Target="media/image3.png" Type="http://schemas.openxmlformats.org/officeDocument/2006/relationships/image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82" Target="../../../../05-governance/standards/visual-design/visual-design-standard.md" TargetMode="External" /><Relationship Type="http://schemas.openxmlformats.org/officeDocument/2006/relationships/hyperlink" Id="rId59" Target="../../../01-motivation/03-use-cases/use-cases/UC-001/UC-001-FrontLine-Partnership-Banking-v1.0.0.md" TargetMode="External" /><Relationship Type="http://schemas.openxmlformats.org/officeDocument/2006/relationships/hyperlink" Id="rId55" Target="../../../01-motivation/03-use-cases/use-cases/UC-003/UC-003-Analytics-and-Reporting-v1.0.0.md" TargetMode="External" /><Relationship Type="http://schemas.openxmlformats.org/officeDocument/2006/relationships/hyperlink" Id="rId56" Target="../../../01-motivation/03-use-cases/use-cases/UC-006/UC-006-HyperPersonalization-v1.0.0.md" TargetMode="External" /><Relationship Type="http://schemas.openxmlformats.org/officeDocument/2006/relationships/hyperlink" Id="rId54" Target="../../../01-motivation/03-use-cases/use-cases/UC-009/UC-009-Data-Products-v1.0.0.md" TargetMode="External" /><Relationship Type="http://schemas.openxmlformats.org/officeDocument/2006/relationships/hyperlink" Id="rId57" Target="../../../01-motivation/03-use-cases/use-cases/UC-010/UC-010-SDLC-v1.0.0.md" TargetMode="External" /><Relationship Type="http://schemas.openxmlformats.org/officeDocument/2006/relationships/hyperlink" Id="rId58" Target="../../../01-motivation/03-use-cases/use-cases/UC-015/UC-015-Risk-Functions-v1.0.0.md" TargetMode="External" /><Relationship Type="http://schemas.openxmlformats.org/officeDocument/2006/relationships/hyperlink" Id="rId26" Target="../../architecture-building-blocks/abbs/AB-011/AB-011-API-Gateway-v1.0.0.md" TargetMode="External" /><Relationship Type="http://schemas.openxmlformats.org/officeDocument/2006/relationships/hyperlink" Id="rId27" Target="../../architecture-building-blocks/abbs/AB-018/AB-018-Data-Quality-Validator-v1.0.0.md" TargetMode="External" /><Relationship Type="http://schemas.openxmlformats.org/officeDocument/2006/relationships/hyperlink" Id="rId31" Target="../../architecture-building-blocks/abbs/AB-038/AB-038-Data-Lake-v1.0.0.md" TargetMode="External" /><Relationship Type="http://schemas.openxmlformats.org/officeDocument/2006/relationships/hyperlink" Id="rId32" Target="../../architecture-building-blocks/abbs/AB-039/AB-039-Data-Versioning-Service-v1.0.0.md" TargetMode="External" /><Relationship Type="http://schemas.openxmlformats.org/officeDocument/2006/relationships/hyperlink" Id="rId24" Target="../../architecture-building-blocks/abbs/AB-043/AB-043-Data-Product-Catalog-v1.0.0.md" TargetMode="External" /><Relationship Type="http://schemas.openxmlformats.org/officeDocument/2006/relationships/hyperlink" Id="rId25" Target="../../architecture-building-blocks/abbs/AB-044/AB-044-Domain-Data-Platform-v1.0.0.md" TargetMode="External" /><Relationship Type="http://schemas.openxmlformats.org/officeDocument/2006/relationships/hyperlink" Id="rId30" Target="../../architecture-building-blocks/abbs/AB-045/AB-045-Data-Contract-Registry-v1.0.0.md" TargetMode="External" /><Relationship Type="http://schemas.openxmlformats.org/officeDocument/2006/relationships/hyperlink" Id="rId33" Target="../../architecture-building-blocks/abbs/AB-060/AB-060-AI-Model-Registry-v1.0.0.md" TargetMode="External" /><Relationship Type="http://schemas.openxmlformats.org/officeDocument/2006/relationships/hyperlink" Id="rId28" Target="../../architecture-building-blocks/abbs/AB-070/AB-070-Data-Lineage-Tracker-v1.0.0.md" TargetMode="External" /><Relationship Type="http://schemas.openxmlformats.org/officeDocument/2006/relationships/hyperlink" Id="rId35" Target="../../architecture-building-blocks/abbs/AB-096/AB-096-Observability-Platform-v1.0.0.md" TargetMode="External" /><Relationship Type="http://schemas.openxmlformats.org/officeDocument/2006/relationships/hyperlink" Id="rId29" Target="../../architecture-building-blocks/abbs/AB-104/AB-104-Data-Quality-Monitor-v1.0.0.md" TargetMode="External" /><Relationship Type="http://schemas.openxmlformats.org/officeDocument/2006/relationships/hyperlink" Id="rId34" Target="../../architecture-building-blocks/abbs/AB-112/AB-112-Data-Encryption-Service-v1.0.0.md" TargetMode="External" /><Relationship Type="http://schemas.openxmlformats.org/officeDocument/2006/relationships/hyperlink" Id="rId78" Target="PT-001-Enterprise-AI-Governance-v1.0.0.md" TargetMode="External" /><Relationship Type="http://schemas.openxmlformats.org/officeDocument/2006/relationships/hyperlink" Id="rId79" Target="PT-003-Feature-Store-v1.0.0.md" TargetMode="External" /><Relationship Type="http://schemas.openxmlformats.org/officeDocument/2006/relationships/hyperlink" Id="rId93" Target="https://aws.amazon.com/big-data/datalakes-and-analytics/data-mesh/" TargetMode="External" /><Relationship Type="http://schemas.openxmlformats.org/officeDocument/2006/relationships/hyperlink" Id="rId87" Target="https://datahubproject.io/" TargetMode="External" /><Relationship Type="http://schemas.openxmlformats.org/officeDocument/2006/relationships/hyperlink" Id="rId89" Target="https://docs.getdbt.com/" TargetMode="External" /><Relationship Type="http://schemas.openxmlformats.org/officeDocument/2006/relationships/hyperlink" Id="rId90" Target="https://greatexpectations.io/" TargetMode="External" /><Relationship Type="http://schemas.openxmlformats.org/officeDocument/2006/relationships/hyperlink" Id="rId84" Target="https://martinfowler.com/articles/data-mesh-principles.html" TargetMode="External" /><Relationship Type="http://schemas.openxmlformats.org/officeDocument/2006/relationships/hyperlink" Id="rId88" Target="https://www.amundsen.io/" TargetMode="External" /><Relationship Type="http://schemas.openxmlformats.org/officeDocument/2006/relationships/hyperlink" Id="rId91" Target="https://www.databricks.com/solutions/data-mesh" TargetMode="External" /><Relationship Type="http://schemas.openxmlformats.org/officeDocument/2006/relationships/hyperlink" Id="rId86" Target="https://www.gartner.com" TargetMode="External" /><Relationship Type="http://schemas.openxmlformats.org/officeDocument/2006/relationships/hyperlink" Id="rId92" Target="https://www.snowflake.com/guides/data-mesh" TargetMode="External" /><Relationship Type="http://schemas.openxmlformats.org/officeDocument/2006/relationships/hyperlink" Id="rId85" Target="https://www.thoughtworks.com/radar" TargetMode="External" /><Relationship Type="http://schemas.openxmlformats.org/officeDocument/2006/relationships/hyperlink" Id="rId51" Target="mailto:retail-data@bnz.co.n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../../../../05-governance/standards/visual-design/visual-design-standard.md" TargetMode="External" /><Relationship Type="http://schemas.openxmlformats.org/officeDocument/2006/relationships/hyperlink" Id="rId59" Target="../../../01-motivation/03-use-cases/use-cases/UC-001/UC-001-FrontLine-Partnership-Banking-v1.0.0.md" TargetMode="External" /><Relationship Type="http://schemas.openxmlformats.org/officeDocument/2006/relationships/hyperlink" Id="rId55" Target="../../../01-motivation/03-use-cases/use-cases/UC-003/UC-003-Analytics-and-Reporting-v1.0.0.md" TargetMode="External" /><Relationship Type="http://schemas.openxmlformats.org/officeDocument/2006/relationships/hyperlink" Id="rId56" Target="../../../01-motivation/03-use-cases/use-cases/UC-006/UC-006-HyperPersonalization-v1.0.0.md" TargetMode="External" /><Relationship Type="http://schemas.openxmlformats.org/officeDocument/2006/relationships/hyperlink" Id="rId54" Target="../../../01-motivation/03-use-cases/use-cases/UC-009/UC-009-Data-Products-v1.0.0.md" TargetMode="External" /><Relationship Type="http://schemas.openxmlformats.org/officeDocument/2006/relationships/hyperlink" Id="rId57" Target="../../../01-motivation/03-use-cases/use-cases/UC-010/UC-010-SDLC-v1.0.0.md" TargetMode="External" /><Relationship Type="http://schemas.openxmlformats.org/officeDocument/2006/relationships/hyperlink" Id="rId58" Target="../../../01-motivation/03-use-cases/use-cases/UC-015/UC-015-Risk-Functions-v1.0.0.md" TargetMode="External" /><Relationship Type="http://schemas.openxmlformats.org/officeDocument/2006/relationships/hyperlink" Id="rId26" Target="../../architecture-building-blocks/abbs/AB-011/AB-011-API-Gateway-v1.0.0.md" TargetMode="External" /><Relationship Type="http://schemas.openxmlformats.org/officeDocument/2006/relationships/hyperlink" Id="rId27" Target="../../architecture-building-blocks/abbs/AB-018/AB-018-Data-Quality-Validator-v1.0.0.md" TargetMode="External" /><Relationship Type="http://schemas.openxmlformats.org/officeDocument/2006/relationships/hyperlink" Id="rId31" Target="../../architecture-building-blocks/abbs/AB-038/AB-038-Data-Lake-v1.0.0.md" TargetMode="External" /><Relationship Type="http://schemas.openxmlformats.org/officeDocument/2006/relationships/hyperlink" Id="rId32" Target="../../architecture-building-blocks/abbs/AB-039/AB-039-Data-Versioning-Service-v1.0.0.md" TargetMode="External" /><Relationship Type="http://schemas.openxmlformats.org/officeDocument/2006/relationships/hyperlink" Id="rId24" Target="../../architecture-building-blocks/abbs/AB-043/AB-043-Data-Product-Catalog-v1.0.0.md" TargetMode="External" /><Relationship Type="http://schemas.openxmlformats.org/officeDocument/2006/relationships/hyperlink" Id="rId25" Target="../../architecture-building-blocks/abbs/AB-044/AB-044-Domain-Data-Platform-v1.0.0.md" TargetMode="External" /><Relationship Type="http://schemas.openxmlformats.org/officeDocument/2006/relationships/hyperlink" Id="rId30" Target="../../architecture-building-blocks/abbs/AB-045/AB-045-Data-Contract-Registry-v1.0.0.md" TargetMode="External" /><Relationship Type="http://schemas.openxmlformats.org/officeDocument/2006/relationships/hyperlink" Id="rId33" Target="../../architecture-building-blocks/abbs/AB-060/AB-060-AI-Model-Registry-v1.0.0.md" TargetMode="External" /><Relationship Type="http://schemas.openxmlformats.org/officeDocument/2006/relationships/hyperlink" Id="rId28" Target="../../architecture-building-blocks/abbs/AB-070/AB-070-Data-Lineage-Tracker-v1.0.0.md" TargetMode="External" /><Relationship Type="http://schemas.openxmlformats.org/officeDocument/2006/relationships/hyperlink" Id="rId35" Target="../../architecture-building-blocks/abbs/AB-096/AB-096-Observability-Platform-v1.0.0.md" TargetMode="External" /><Relationship Type="http://schemas.openxmlformats.org/officeDocument/2006/relationships/hyperlink" Id="rId29" Target="../../architecture-building-blocks/abbs/AB-104/AB-104-Data-Quality-Monitor-v1.0.0.md" TargetMode="External" /><Relationship Type="http://schemas.openxmlformats.org/officeDocument/2006/relationships/hyperlink" Id="rId34" Target="../../architecture-building-blocks/abbs/AB-112/AB-112-Data-Encryption-Service-v1.0.0.md" TargetMode="External" /><Relationship Type="http://schemas.openxmlformats.org/officeDocument/2006/relationships/hyperlink" Id="rId78" Target="PT-001-Enterprise-AI-Governance-v1.0.0.md" TargetMode="External" /><Relationship Type="http://schemas.openxmlformats.org/officeDocument/2006/relationships/hyperlink" Id="rId79" Target="PT-003-Feature-Store-v1.0.0.md" TargetMode="External" /><Relationship Type="http://schemas.openxmlformats.org/officeDocument/2006/relationships/hyperlink" Id="rId93" Target="https://aws.amazon.com/big-data/datalakes-and-analytics/data-mesh/" TargetMode="External" /><Relationship Type="http://schemas.openxmlformats.org/officeDocument/2006/relationships/hyperlink" Id="rId87" Target="https://datahubproject.io/" TargetMode="External" /><Relationship Type="http://schemas.openxmlformats.org/officeDocument/2006/relationships/hyperlink" Id="rId89" Target="https://docs.getdbt.com/" TargetMode="External" /><Relationship Type="http://schemas.openxmlformats.org/officeDocument/2006/relationships/hyperlink" Id="rId90" Target="https://greatexpectations.io/" TargetMode="External" /><Relationship Type="http://schemas.openxmlformats.org/officeDocument/2006/relationships/hyperlink" Id="rId84" Target="https://martinfowler.com/articles/data-mesh-principles.html" TargetMode="External" /><Relationship Type="http://schemas.openxmlformats.org/officeDocument/2006/relationships/hyperlink" Id="rId88" Target="https://www.amundsen.io/" TargetMode="External" /><Relationship Type="http://schemas.openxmlformats.org/officeDocument/2006/relationships/hyperlink" Id="rId91" Target="https://www.databricks.com/solutions/data-mesh" TargetMode="External" /><Relationship Type="http://schemas.openxmlformats.org/officeDocument/2006/relationships/hyperlink" Id="rId86" Target="https://www.gartner.com" TargetMode="External" /><Relationship Type="http://schemas.openxmlformats.org/officeDocument/2006/relationships/hyperlink" Id="rId92" Target="https://www.snowflake.com/guides/data-mesh" TargetMode="External" /><Relationship Type="http://schemas.openxmlformats.org/officeDocument/2006/relationships/hyperlink" Id="rId85" Target="https://www.thoughtworks.com/radar" TargetMode="External" /><Relationship Type="http://schemas.openxmlformats.org/officeDocument/2006/relationships/hyperlink" Id="rId51" Target="mailto:retail-data@bnz.co.nz" TargetMode="External" /></Relationships>
</file>

<file path=word/theme/theme1.xml><?xml version="1.0" encoding="utf-8"?>
<a:theme xmlns:a="http://schemas.openxmlformats.org/drawingml/2006/main" name="Advantage">
  <a:themeElements>
    <a:clrScheme name="Advantage">
      <a:dk1>
        <a:sysClr val="windowText" lastClr="000000"/>
      </a:dk1>
      <a:lt1>
        <a:sysClr val="window" lastClr="FFFFFF"/>
      </a:lt1>
      <a:dk2>
        <a:srgbClr val="2B142D"/>
      </a:dk2>
      <a:lt2>
        <a:srgbClr val="C3AFCC"/>
      </a:lt2>
      <a:accent1>
        <a:srgbClr val="663366"/>
      </a:accent1>
      <a:accent2>
        <a:srgbClr val="330F42"/>
      </a:accent2>
      <a:accent3>
        <a:srgbClr val="666699"/>
      </a:accent3>
      <a:accent4>
        <a:srgbClr val="999966"/>
      </a:accent4>
      <a:accent5>
        <a:srgbClr val="F7901E"/>
      </a:accent5>
      <a:accent6>
        <a:srgbClr val="A3A101"/>
      </a:accent6>
      <a:hlink>
        <a:srgbClr val="BC5FBC"/>
      </a:hlink>
      <a:folHlink>
        <a:srgbClr val="9775A7"/>
      </a:folHlink>
    </a:clrScheme>
    <a:fontScheme name="Advantage">
      <a:majorFont>
        <a:latin typeface="Rockwell"/>
        <a:ea typeface=""/>
        <a:cs typeface=""/>
        <a:font script="Jpan" typeface="ＭＳ ゴシック"/>
      </a:majorFont>
      <a:minorFont>
        <a:latin typeface="Rockwell"/>
        <a:ea typeface=""/>
        <a:cs typeface=""/>
        <a:font script="Jpan" typeface="ＭＳ ゴシック"/>
      </a:minorFont>
    </a:fontScheme>
    <a:fmtScheme name="Advantage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6000000" scaled="1"/>
        </a:gradFill>
        <a:gradFill rotWithShape="1">
          <a:gsLst>
            <a:gs pos="0">
              <a:schemeClr val="phClr">
                <a:shade val="40000"/>
                <a:alpha val="100000"/>
                <a:satMod val="150000"/>
                <a:lumMod val="100000"/>
              </a:schemeClr>
            </a:gs>
            <a:gs pos="100000">
              <a:schemeClr val="phClr">
                <a:tint val="70000"/>
                <a:shade val="100000"/>
                <a:alpha val="100000"/>
                <a:satMod val="200000"/>
                <a:lumMod val="100000"/>
              </a:schemeClr>
            </a:gs>
          </a:gsLst>
          <a:lin ang="5400000" scaled="1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FFFFFF">
                <a:alpha val="75000"/>
              </a:srgbClr>
            </a:innerShdw>
            <a:outerShdw blurRad="63500" dist="25400" dir="5400000" rotWithShape="0">
              <a:srgbClr val="808080">
                <a:alpha val="75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twoPt" dir="tl">
              <a:rot lat="0" lon="0" rev="4500000"/>
            </a:lightRig>
          </a:scene3d>
          <a:sp3d>
            <a:bevelT w="635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1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2364</Words>
  <Characters>13476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2025-12-07T10:39:00Z</dcterms:created>
  <dcterms:modified xsi:type="dcterms:W3CDTF">2025-12-07T10:39:00Z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