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DDB15" w14:textId="07B4A9C0" w:rsidR="00FF583E" w:rsidRDefault="000067B2">
      <w:r>
        <w:t xml:space="preserve">Correlation between light sensitivity score, visually evoked </w:t>
      </w:r>
      <w:proofErr w:type="gramStart"/>
      <w:r>
        <w:t>signs</w:t>
      </w:r>
      <w:proofErr w:type="gramEnd"/>
      <w:r>
        <w:t xml:space="preserve"> and symptoms, and VEP in youth following concussion</w:t>
      </w:r>
    </w:p>
    <w:p w14:paraId="6F407618" w14:textId="77777777" w:rsidR="00452624" w:rsidRDefault="00452624"/>
    <w:p w14:paraId="1E3F70CD" w14:textId="2779177A" w:rsidR="00B77DDB" w:rsidRDefault="00452624">
      <w:r>
        <w:t xml:space="preserve">Preregistration </w:t>
      </w:r>
      <w:r w:rsidR="00153CDE">
        <w:t>4/</w:t>
      </w:r>
      <w:r w:rsidR="00C37BAD">
        <w:t>2</w:t>
      </w:r>
      <w:r w:rsidR="0019534B">
        <w:t>9</w:t>
      </w:r>
      <w:r w:rsidR="00153CDE">
        <w:t>/21</w:t>
      </w:r>
    </w:p>
    <w:p w14:paraId="157B2288" w14:textId="77777777" w:rsidR="008C76FD" w:rsidRDefault="008C76FD"/>
    <w:p w14:paraId="511C72EF" w14:textId="7098DCF0" w:rsidR="00B77DDB" w:rsidRDefault="00452624">
      <w:r w:rsidRPr="00452624">
        <w:rPr>
          <w:b/>
          <w:bCs/>
          <w:u w:val="single"/>
        </w:rPr>
        <w:t>HYPOTHESIS:</w:t>
      </w:r>
      <w:r w:rsidR="004C2320">
        <w:t xml:space="preserve"> </w:t>
      </w:r>
      <w:r w:rsidR="000067B2">
        <w:t>Increasing light sensitivity will correlate with increased visual</w:t>
      </w:r>
      <w:r w:rsidR="002F4A62">
        <w:t>ly evoked</w:t>
      </w:r>
      <w:r w:rsidR="000067B2">
        <w:t xml:space="preserve"> signs and symptoms, </w:t>
      </w:r>
      <w:r w:rsidR="002F4A62">
        <w:t>and with a</w:t>
      </w:r>
      <w:r w:rsidR="00FE6F71">
        <w:t xml:space="preserve"> broadening and enlargement of the P100 peak as captured by an increased PC3 and decreased PC1</w:t>
      </w:r>
      <w:r w:rsidR="002F4A62">
        <w:t xml:space="preserve"> coefficient of the VEP PCA model.</w:t>
      </w:r>
    </w:p>
    <w:p w14:paraId="108A51DA" w14:textId="6ADC74DC" w:rsidR="00310E4B" w:rsidRDefault="00310E4B"/>
    <w:p w14:paraId="267C0AE4" w14:textId="6F80F2DD" w:rsidR="00452624" w:rsidRDefault="00452624">
      <w:pPr>
        <w:rPr>
          <w:b/>
          <w:bCs/>
          <w:u w:val="single"/>
        </w:rPr>
      </w:pPr>
      <w:r w:rsidRPr="00452624">
        <w:rPr>
          <w:b/>
          <w:bCs/>
          <w:u w:val="single"/>
        </w:rPr>
        <w:t>STUDY DESIGN</w:t>
      </w:r>
    </w:p>
    <w:p w14:paraId="40F1FF32" w14:textId="77777777" w:rsidR="00452624" w:rsidRPr="00452624" w:rsidRDefault="00452624">
      <w:pPr>
        <w:rPr>
          <w:b/>
          <w:bCs/>
          <w:u w:val="single"/>
        </w:rPr>
      </w:pPr>
    </w:p>
    <w:p w14:paraId="3F1A679B" w14:textId="26F385E0" w:rsidR="007C00A4" w:rsidRDefault="007C00A4" w:rsidP="002F4A62">
      <w:proofErr w:type="gramStart"/>
      <w:r>
        <w:t>Subjects</w:t>
      </w:r>
      <w:proofErr w:type="gramEnd"/>
      <w:r>
        <w:t xml:space="preserve"> </w:t>
      </w:r>
      <w:r w:rsidR="002F4A62">
        <w:t>age 11-21 of any biological sex</w:t>
      </w:r>
      <w:r w:rsidR="002F4A62">
        <w:t xml:space="preserve"> and race/ethnicity </w:t>
      </w:r>
      <w:r>
        <w:t>will be included who were recruited as part of the Minds Matter concussion research program</w:t>
      </w:r>
      <w:r w:rsidR="002F4A62">
        <w:t xml:space="preserve"> who sustained a concussion. Recordings that occurred within 1 year of the concussion will be included. </w:t>
      </w:r>
      <w:r w:rsidR="00730D6F">
        <w:t xml:space="preserve">Subjects have normal or corrected to normal visual acuity in both eyes. </w:t>
      </w:r>
      <w:r w:rsidR="009C3C05">
        <w:t>Subjects will have recorded VEP</w:t>
      </w:r>
      <w:r w:rsidR="00086E94">
        <w:t xml:space="preserve"> based on ISCEV standards</w:t>
      </w:r>
      <w:r w:rsidR="00086E94">
        <w:fldChar w:fldCharType="begin" w:fldLock="1"/>
      </w:r>
      <w:r w:rsidR="00086E94">
        <w:instrText>ADDIN CSL_CITATION {"citationItems":[{"id":"ITEM-1","itemData":{"DOI":"10.1007/s10633-016-9553-y","ISSN":"15732622","PMID":"27443562","abstract":"Visual evoked potentials (VEPs) can provide important diagnostic information regarding the functional integrity of the visual system. This document updates the ISCEV standard for clinical VEP testing and supersedes the 2009 standard. The main changes in this revision are the acknowledgment that pattern stimuli can be produced using a variety of technologies with an emphasis on the need for manufacturers to ensure that there is no luminance change during pattern reversal or pattern onset/offset. The document is also edited to bring the VEP standard into closer harmony with other ISCEV standards. The ISCEV standard VEP is based on a subset of stimulus and recording conditions that provide core clinical information and can be performed by most clinical electrophysiology laboratories throughout the world. These are: (1) Pattern-reversal VEPs elicited by checkerboard stimuli with large 1 degree (°) and small 0.25° checks. (2) Pattern onset/offset VEPs elicited by checkerboard stimuli with large 1° and small 0.25° checks. (3) Flash VEPs elicited by a flash (brief luminance increment) which subtends a visual field of at least 20°. The ISCEV standard VEP protocols are defined for a single recording channel with a midline occipital active electrode. These protocols are intended for assessment of the eye and/or optic nerves anterior to the optic chiasm. Extended, multi-channel protocols are required to evaluate postchiasmal lesions.","author":[{"dropping-particle":"","family":"Odom","given":"J. Vernon","non-dropping-particle":"","parse-names":false,"suffix":""},{"dropping-particle":"","family":"Bach","given":"Michael","non-dropping-particle":"","parse-names":false,"suffix":""},{"dropping-particle":"","family":"Brigell","given":"Mitchell","non-dropping-particle":"","parse-names":false,"suffix":""},{"dropping-particle":"","family":"Holder","given":"Graham E.","non-dropping-particle":"","parse-names":false,"suffix":""},{"dropping-particle":"","family":"McCulloch","given":"Daphne L.","non-dropping-particle":"","parse-names":false,"suffix":""},{"dropping-particle":"","family":"Mizota","given":"Atsushi","non-dropping-particle":"","parse-names":false,"suffix":""},{"dropping-particle":"","family":"Tormene","given":"Alma Patrizia","non-dropping-particle":"","parse-names":false,"suffix":""}],"container-title":"Documenta Ophthalmologica","id":"ITEM-1","issue":"1","issued":{"date-parts":[["2016"]]},"page":"1-9","title":"ISCEV standard for clinical visual evoked potentials: (2016 update)","type":"article-journal","volume":"133"},"uris":["http://www.mendeley.com/documents/?uuid=5f48962d-6d43-4c16-95c7-00cd8d039488"]}],"mendeley":{"formattedCitation":"&lt;sup&gt;1&lt;/sup&gt;","plainTextFormattedCitation":"1"},"properties":{"noteIndex":0},"schema":"https://github.com/citation-style-language/schema/raw/master/csl-citation.json"}</w:instrText>
      </w:r>
      <w:r w:rsidR="00086E94">
        <w:fldChar w:fldCharType="separate"/>
      </w:r>
      <w:r w:rsidR="00086E94" w:rsidRPr="00086E94">
        <w:rPr>
          <w:noProof/>
          <w:vertAlign w:val="superscript"/>
        </w:rPr>
        <w:t>1</w:t>
      </w:r>
      <w:r w:rsidR="00086E94">
        <w:fldChar w:fldCharType="end"/>
      </w:r>
      <w:r w:rsidR="009C3C05">
        <w:t xml:space="preserve">, signs and symptoms during VEP recording (headache, eye </w:t>
      </w:r>
      <w:r w:rsidR="002F4A62">
        <w:t>fatigue</w:t>
      </w:r>
      <w:r w:rsidR="009C3C05">
        <w:t>, etc.), and Post-concussion symptom inventory (PCSI)</w:t>
      </w:r>
      <w:r w:rsidR="009C3C05">
        <w:fldChar w:fldCharType="begin" w:fldLock="1"/>
      </w:r>
      <w:r w:rsidR="00086E94">
        <w:instrText>ADDIN CSL_CITATION {"citationItems":[{"id":"ITEM-1","itemData":{"DOI":"10.1542/peds.2009-0925","ISSN":"0031-4005","abstract":"BACKGROUND: Much disagreement exists as to whether postconcussion syndrome (PCS) is attributable to brain injury or to other factors such as trauma alone, preexisting psychosocial problems, or medicolegal issues. We investigated the epidemiology and natural history of PCS symptoms in a large cohort of children with a mild traumatic brain injury (mTBI) and compared them with children with an extracranial injury (ECI).\\n\\nMETHODS: This investigation was a prospective, consecutive controlled-cohort study of 670 children who presented to a tertiary referral emergency department with mTBI and 197 children who presented with ECI. For all participants, data were collected by use of a telephone interview of a parent 7 to 10 days after injury. If a change from preinjury symptoms was reported by a parent, follow-up continued monthly until symptom resolution. Outcomes were measured by using the Post Concussion Symptom Inventory, Rivermead Postconcussion Symptom Questionnaire, Brief Symptom Inventory, and Family Assessment Device.\\n\\nRESULTS: There was a significant difference between the mTBI and ECI groups in their survival curves for time to symptom resolution (log rank [Mantel-Cox] 11.15, P &lt; .001). Three months after injury, 11% of the children in the mTBI group were symptomatic (13.7% of children older than 6 years) compared with 0.5% of the children in the ECI group. The prevalence of persistent symptoms at 1 year was 2.3% in the mTBI group and 0.01% in the ECI group. Family functioning and maternal adjustment did not differ between groups.\\n\\nCONCLUSIONS: Among school-aged children with mTBI, 13.7% were symptomatic 3 months after injury. This finding could not be explained by trauma, family dysfunction, or maternal psychological adjustment. The results of this study provide clear support for the validity of the diagnosis of PCS in children.","author":[{"dropping-particle":"","family":"Barlow","given":"K. M.","non-dropping-particle":"","parse-names":false,"suffix":""},{"dropping-particle":"","family":"Crawford","given":"S.","non-dropping-particle":"","parse-names":false,"suffix":""},{"dropping-particle":"","family":"Stevenson","given":"A.","non-dropping-particle":"","parse-names":false,"suffix":""},{"dropping-particle":"","family":"Sandhu","given":"S. S.","non-dropping-particle":"","parse-names":false,"suffix":""},{"dropping-particle":"","family":"Belanger","given":"F.","non-dropping-particle":"","parse-names":false,"suffix":""},{"dropping-particle":"","family":"Dewey","given":"D.","non-dropping-particle":"","parse-names":false,"suffix":""}],"container-title":"PEDIATRICS","id":"ITEM-1","issued":{"date-parts":[["2010"]]},"title":"Epidemiology of Postconcussion Syndrome in Pediatric Mild Traumatic Brain Injury","type":"article-journal"},"uris":["http://www.mendeley.com/documents/?uuid=1e81b873-2cd9-4ac9-a158-d6f946d6ff69"]}],"mendeley":{"formattedCitation":"&lt;sup&gt;2&lt;/sup&gt;","plainTextFormattedCitation":"2","previouslyFormattedCitation":"&lt;sup&gt;1&lt;/sup&gt;"},"properties":{"noteIndex":0},"schema":"https://github.com/citation-style-language/schema/raw/master/csl-citation.json"}</w:instrText>
      </w:r>
      <w:r w:rsidR="009C3C05">
        <w:fldChar w:fldCharType="separate"/>
      </w:r>
      <w:r w:rsidR="00086E94" w:rsidRPr="00086E94">
        <w:rPr>
          <w:noProof/>
          <w:vertAlign w:val="superscript"/>
        </w:rPr>
        <w:t>2</w:t>
      </w:r>
      <w:r w:rsidR="009C3C05">
        <w:fldChar w:fldCharType="end"/>
      </w:r>
      <w:r w:rsidR="009C3C05">
        <w:t xml:space="preserve"> scores recorded. </w:t>
      </w:r>
      <w:r w:rsidR="002F4A62">
        <w:t>This includes 78 subjects with 140 VEP recording sessions that were recorded from February 2018 – February 2020. An ongoing data pull from February 2020 – April 2021 will be added for the final analysis.</w:t>
      </w:r>
    </w:p>
    <w:p w14:paraId="65A56152" w14:textId="77777777" w:rsidR="007C00A4" w:rsidRDefault="007C00A4" w:rsidP="007C00A4"/>
    <w:p w14:paraId="4CA7B4C0" w14:textId="721DEEF4" w:rsidR="00452624" w:rsidRPr="00452624" w:rsidRDefault="00452624">
      <w:pPr>
        <w:rPr>
          <w:b/>
          <w:bCs/>
          <w:u w:val="single"/>
        </w:rPr>
      </w:pPr>
      <w:r w:rsidRPr="00452624">
        <w:rPr>
          <w:b/>
          <w:bCs/>
          <w:u w:val="single"/>
        </w:rPr>
        <w:t>ANALYSIS</w:t>
      </w:r>
    </w:p>
    <w:p w14:paraId="0E80FE86" w14:textId="3B19BCF1" w:rsidR="009C3C05" w:rsidRDefault="009C3C05" w:rsidP="000A623E"/>
    <w:p w14:paraId="65723A3F" w14:textId="7A7ACA4C" w:rsidR="002F4A62" w:rsidRDefault="002F4A62" w:rsidP="000A623E">
      <w:r>
        <w:t xml:space="preserve">VEP timeseries data will be fit to </w:t>
      </w:r>
      <w:r w:rsidR="003C2132">
        <w:t>our</w:t>
      </w:r>
      <w:r>
        <w:t xml:space="preserve"> previously described PCA model</w:t>
      </w:r>
      <w:r w:rsidR="00FE1FEF">
        <w:fldChar w:fldCharType="begin" w:fldLock="1"/>
      </w:r>
      <w:r w:rsidR="00086E94">
        <w:instrText>ADDIN CSL_CITATION {"citationItems":[{"id":"ITEM-1","itemData":{"DOI":"10.1167/tvst.10.4.1","ISSN":"2164-2591","author":[{"dropping-particle":"","family":"Patterson Gentile","given":"Carlyn","non-dropping-particle":"","parse-names":false,"suffix":""},{"dropping-particle":"","family":"Joshi","given":"Nabin R.","non-dropping-particle":"","parse-names":false,"suffix":""},{"dropping-particle":"","family":"Ciuffreda","given":"Kenneth J.","non-dropping-particle":"","parse-names":false,"suffix":""},{"dropping-particle":"","family":"Arbogast","given":"Kristy B.","non-dropping-particle":"","parse-names":false,"suffix":""},{"dropping-particle":"","family":"Master","given":"Christina","non-dropping-particle":"","parse-names":false,"suffix":""},{"dropping-particle":"","family":"Aguirre","given":"Geoffrey K.","non-dropping-particle":"","parse-names":false,"suffix":""}],"container-title":"Translational Vision Science &amp; Technology","id":"ITEM-1","issue":"4","issued":{"date-parts":[["2021","4","1"]]},"title":"Developmental Effects on Pattern Visual Evoked Potentials Characterized by Principal Component Analysis","type":"article-journal","volume":"10"},"uris":["http://www.mendeley.com/documents/?uuid=7b0f8017-8180-34de-be06-dad907afb6e0"]}],"mendeley":{"formattedCitation":"&lt;sup&gt;3&lt;/sup&gt;","plainTextFormattedCitation":"3","previouslyFormattedCitation":"&lt;sup&gt;2&lt;/sup&gt;"},"properties":{"noteIndex":0},"schema":"https://github.com/citation-style-language/schema/raw/master/csl-citation.json"}</w:instrText>
      </w:r>
      <w:r w:rsidR="00FE1FEF">
        <w:fldChar w:fldCharType="separate"/>
      </w:r>
      <w:r w:rsidR="00086E94" w:rsidRPr="00086E94">
        <w:rPr>
          <w:noProof/>
          <w:vertAlign w:val="superscript"/>
        </w:rPr>
        <w:t>3</w:t>
      </w:r>
      <w:r w:rsidR="00FE1FEF">
        <w:fldChar w:fldCharType="end"/>
      </w:r>
      <w:r w:rsidR="00E54F25">
        <w:t>.</w:t>
      </w:r>
    </w:p>
    <w:p w14:paraId="0F192AC2" w14:textId="77777777" w:rsidR="002F4A62" w:rsidRDefault="002F4A62" w:rsidP="000A623E"/>
    <w:p w14:paraId="5FF35E9B" w14:textId="1ED21559" w:rsidR="000067B2" w:rsidRDefault="00FE1FEF" w:rsidP="000A623E">
      <w:r>
        <w:t>The dimensionality of the presence/absence of 6 symptoms (eye fatigue, dizziness, headache, nausea, eye pain, other symptom) and 5 signs (eyes slowing, watering, reddening, moving in a circular motion, other sign) evoked by viewing the visual stimulus will be reduced by using Multiple correspondence analysis. The first dimension</w:t>
      </w:r>
      <w:r w:rsidR="00086E94">
        <w:t xml:space="preserve"> that in preliminary analysis appears to be representing the presence or absence of signs and symptoms, and the second dimension appears to measure signs and symptoms related to the eyes vs. other signs and symptoms.</w:t>
      </w:r>
    </w:p>
    <w:p w14:paraId="4FA6C8F4" w14:textId="77777777" w:rsidR="009C3C05" w:rsidRDefault="009C3C05" w:rsidP="000A623E"/>
    <w:p w14:paraId="4F458D57" w14:textId="11E89277" w:rsidR="009C3C05" w:rsidRPr="00026A22" w:rsidRDefault="009C3C05" w:rsidP="000A623E">
      <w:pPr>
        <w:rPr>
          <w:u w:val="single"/>
        </w:rPr>
      </w:pPr>
      <w:r w:rsidRPr="00026A22">
        <w:rPr>
          <w:u w:val="single"/>
        </w:rPr>
        <w:t>Primary outcome</w:t>
      </w:r>
      <w:r w:rsidR="00026A22" w:rsidRPr="00026A22">
        <w:rPr>
          <w:u w:val="single"/>
        </w:rPr>
        <w:t xml:space="preserve"> measure</w:t>
      </w:r>
    </w:p>
    <w:p w14:paraId="224799FA" w14:textId="60555008" w:rsidR="00026A22" w:rsidRDefault="00026A22" w:rsidP="000A623E">
      <w:r>
        <w:t xml:space="preserve">The primary outcome measure will be </w:t>
      </w:r>
      <w:r w:rsidR="00FE6F71">
        <w:t xml:space="preserve">correlation between the PCSI light sensitivity score, visually evoked </w:t>
      </w:r>
      <w:proofErr w:type="gramStart"/>
      <w:r w:rsidR="00FE6F71">
        <w:t>signs</w:t>
      </w:r>
      <w:proofErr w:type="gramEnd"/>
      <w:r w:rsidR="00FE6F71">
        <w:t xml:space="preserve"> and symptoms (MCA model dimension 1), </w:t>
      </w:r>
      <w:r w:rsidR="00C57898">
        <w:t>and PC1</w:t>
      </w:r>
      <w:r w:rsidR="00086E94">
        <w:t xml:space="preserve"> and </w:t>
      </w:r>
      <w:r w:rsidR="00C57898">
        <w:t xml:space="preserve">PC3 of the VEP PCA analysis. The significance of correlation between these components will be determined using </w:t>
      </w:r>
      <w:r w:rsidR="006D0786">
        <w:t xml:space="preserve">ANOVA for </w:t>
      </w:r>
      <w:r w:rsidR="00C57898">
        <w:t xml:space="preserve">a </w:t>
      </w:r>
      <w:r w:rsidR="006D0786">
        <w:t>linear mixed effects model</w:t>
      </w:r>
      <w:r w:rsidR="00C57898">
        <w:t>.</w:t>
      </w:r>
    </w:p>
    <w:p w14:paraId="6E16D7CA" w14:textId="7D614070" w:rsidR="009C3C05" w:rsidRDefault="009C3C05" w:rsidP="000A623E"/>
    <w:p w14:paraId="16F203CC" w14:textId="5CD99813" w:rsidR="009C3C05" w:rsidRPr="00026A22" w:rsidRDefault="009C3C05" w:rsidP="000A623E">
      <w:pPr>
        <w:rPr>
          <w:u w:val="single"/>
        </w:rPr>
      </w:pPr>
      <w:r w:rsidRPr="00026A22">
        <w:rPr>
          <w:u w:val="single"/>
        </w:rPr>
        <w:t>Secondary outcomes/additional analysis</w:t>
      </w:r>
    </w:p>
    <w:p w14:paraId="22B53923" w14:textId="5D370E00" w:rsidR="00E54F25" w:rsidRDefault="00E54F25" w:rsidP="00E54F25">
      <w:pPr>
        <w:pStyle w:val="ListParagraph"/>
        <w:numPr>
          <w:ilvl w:val="0"/>
          <w:numId w:val="7"/>
        </w:numPr>
      </w:pPr>
      <w:r>
        <w:t xml:space="preserve">Correlation of </w:t>
      </w:r>
      <w:r>
        <w:t>visually evoked signs and symptoms (MCA model dimension 1), and PC1 and PC3 of the VEP PCA analysis</w:t>
      </w:r>
      <w:r>
        <w:t xml:space="preserve"> with m</w:t>
      </w:r>
      <w:proofErr w:type="spellStart"/>
      <w:r>
        <w:t>igrainous</w:t>
      </w:r>
      <w:proofErr w:type="spellEnd"/>
      <w:r>
        <w:t xml:space="preserve"> symptoms captured by the sum of PCSI scores for headache, light sensitivity, sound sensitivity, and nausea</w:t>
      </w:r>
    </w:p>
    <w:p w14:paraId="6C05EDC7" w14:textId="7C89C33B" w:rsidR="00E54F25" w:rsidRDefault="00E54F25" w:rsidP="00E54F25">
      <w:pPr>
        <w:pStyle w:val="ListParagraph"/>
        <w:numPr>
          <w:ilvl w:val="0"/>
          <w:numId w:val="7"/>
        </w:numPr>
      </w:pPr>
      <w:r>
        <w:t xml:space="preserve">Correlation of visually evoked signs and symptoms (MCA model dimension 1), and PC1 and PC3 of the VEP PCA analysis with </w:t>
      </w:r>
      <w:r>
        <w:t xml:space="preserve">PCSI reduced dimensionality score using </w:t>
      </w:r>
      <w:proofErr w:type="spellStart"/>
      <w:r>
        <w:lastRenderedPageBreak/>
        <w:t>polychoric</w:t>
      </w:r>
      <w:proofErr w:type="spellEnd"/>
      <w:r>
        <w:t xml:space="preserve"> analysis. Only dimensions that meet criteria above random chance will be included.</w:t>
      </w:r>
    </w:p>
    <w:p w14:paraId="4C13AEB6" w14:textId="3068F9B4" w:rsidR="00086E94" w:rsidRDefault="00086E94" w:rsidP="00E54F25">
      <w:pPr>
        <w:pStyle w:val="ListParagraph"/>
        <w:numPr>
          <w:ilvl w:val="0"/>
          <w:numId w:val="7"/>
        </w:numPr>
      </w:pPr>
      <w:r>
        <w:t>Correlation of visually evoked signs and symptoms (MCA model dimension 1</w:t>
      </w:r>
      <w:r>
        <w:t xml:space="preserve"> and 2</w:t>
      </w:r>
      <w:r>
        <w:t>), and PC1 and PC3 of the VEP PCA analysis with PCSI</w:t>
      </w:r>
      <w:r>
        <w:t xml:space="preserve"> light sensitivity and PCSI visual problems</w:t>
      </w:r>
      <w:r>
        <w:t>.</w:t>
      </w:r>
    </w:p>
    <w:p w14:paraId="0E5B0157" w14:textId="6872356B" w:rsidR="00E54F25" w:rsidRDefault="00E54F25" w:rsidP="00E54F25">
      <w:pPr>
        <w:pStyle w:val="ListParagraph"/>
        <w:numPr>
          <w:ilvl w:val="0"/>
          <w:numId w:val="7"/>
        </w:numPr>
      </w:pPr>
      <w:r>
        <w:t>Correlation of light sensitivity and MCA with the full 7-dimensional PCA model of the VEP</w:t>
      </w:r>
    </w:p>
    <w:p w14:paraId="464187A9" w14:textId="00CCFEB8" w:rsidR="006E088B" w:rsidRDefault="00E54F25" w:rsidP="006E088B">
      <w:pPr>
        <w:pStyle w:val="ListParagraph"/>
        <w:numPr>
          <w:ilvl w:val="0"/>
          <w:numId w:val="7"/>
        </w:numPr>
      </w:pPr>
      <w:r>
        <w:t>Comparison of PC1 and PC3 to p</w:t>
      </w:r>
      <w:r w:rsidR="009C3C05">
        <w:t>eak analysis on the N75-P100 peak amplitude and N75 and P100 peak latencies to compare to prior work.</w:t>
      </w:r>
    </w:p>
    <w:p w14:paraId="535476F7" w14:textId="6B867224" w:rsidR="00E54F25" w:rsidRDefault="00E54F25" w:rsidP="006E088B">
      <w:pPr>
        <w:pStyle w:val="ListParagraph"/>
        <w:numPr>
          <w:ilvl w:val="0"/>
          <w:numId w:val="7"/>
        </w:numPr>
      </w:pPr>
      <w:r>
        <w:t xml:space="preserve">Since VEP may change and evolve as a function of days post injury, a sub analysis of VEP recordings done at &gt;2 weeks, 2-4 weeks, and &gt;4 weeks will be done separately </w:t>
      </w:r>
      <w:r w:rsidR="00086E94">
        <w:t xml:space="preserve">to </w:t>
      </w:r>
      <w:r w:rsidR="00086E94">
        <w:t xml:space="preserve">measure correlation between the PCSI light sensitivity score, visually evoked </w:t>
      </w:r>
      <w:proofErr w:type="gramStart"/>
      <w:r w:rsidR="00086E94">
        <w:t>signs</w:t>
      </w:r>
      <w:proofErr w:type="gramEnd"/>
      <w:r w:rsidR="00086E94">
        <w:t xml:space="preserve"> and symptoms (MCA model dimension 1), and PC1 and PC3 of the VEP PCA analysis</w:t>
      </w:r>
      <w:r w:rsidR="00086E94">
        <w:t xml:space="preserve"> using linear regression analysis. The first time point per subject in these time windows will be used </w:t>
      </w:r>
      <w:r>
        <w:t>to determine if there are differences observed in these time windows.</w:t>
      </w:r>
    </w:p>
    <w:p w14:paraId="1FD5D294" w14:textId="2252F845" w:rsidR="0019534B" w:rsidRDefault="0019534B" w:rsidP="006E088B">
      <w:pPr>
        <w:pStyle w:val="ListParagraph"/>
        <w:numPr>
          <w:ilvl w:val="0"/>
          <w:numId w:val="7"/>
        </w:numPr>
      </w:pPr>
      <w:r>
        <w:t xml:space="preserve">Comparison of subjects with PTH &gt;1 month and those who recovered within 1 month. Subjects with </w:t>
      </w:r>
      <w:proofErr w:type="spellStart"/>
      <w:r>
        <w:t>migrainous</w:t>
      </w:r>
      <w:proofErr w:type="spellEnd"/>
      <w:r>
        <w:t xml:space="preserve"> symptoms (light sensitivity + noise sensitivity and/or nausea) will be separated from those without </w:t>
      </w:r>
      <w:proofErr w:type="spellStart"/>
      <w:r>
        <w:t>migrainous</w:t>
      </w:r>
      <w:proofErr w:type="spellEnd"/>
      <w:r>
        <w:t xml:space="preserve"> symptoms in a sub-analysis.</w:t>
      </w:r>
    </w:p>
    <w:p w14:paraId="77AC178E" w14:textId="2010A2A4" w:rsidR="006E088B" w:rsidRDefault="006E088B" w:rsidP="006E088B"/>
    <w:p w14:paraId="393C3164" w14:textId="6500E390" w:rsidR="006E088B" w:rsidRPr="006E088B" w:rsidRDefault="006E088B" w:rsidP="006E088B">
      <w:pPr>
        <w:rPr>
          <w:b/>
          <w:bCs/>
        </w:rPr>
      </w:pPr>
      <w:r w:rsidRPr="006E088B">
        <w:rPr>
          <w:b/>
          <w:bCs/>
        </w:rPr>
        <w:t>REFERENCES</w:t>
      </w:r>
    </w:p>
    <w:p w14:paraId="52A3DCAF" w14:textId="17A12909" w:rsidR="00086E94" w:rsidRPr="00086E94" w:rsidRDefault="006E088B" w:rsidP="00086E94">
      <w:pPr>
        <w:widowControl w:val="0"/>
        <w:autoSpaceDE w:val="0"/>
        <w:autoSpaceDN w:val="0"/>
        <w:adjustRightInd w:val="0"/>
        <w:ind w:left="640" w:hanging="640"/>
        <w:rPr>
          <w:rFonts w:ascii="Calibri" w:hAnsi="Calibri" w:cs="Calibri"/>
          <w:noProof/>
        </w:rPr>
      </w:pPr>
      <w:r>
        <w:fldChar w:fldCharType="begin" w:fldLock="1"/>
      </w:r>
      <w:r>
        <w:instrText xml:space="preserve">ADDIN Mendeley Bibliography CSL_BIBLIOGRAPHY </w:instrText>
      </w:r>
      <w:r>
        <w:fldChar w:fldCharType="separate"/>
      </w:r>
      <w:r w:rsidR="00086E94" w:rsidRPr="00086E94">
        <w:rPr>
          <w:rFonts w:ascii="Calibri" w:hAnsi="Calibri" w:cs="Calibri"/>
          <w:noProof/>
        </w:rPr>
        <w:t>1.</w:t>
      </w:r>
      <w:r w:rsidR="00086E94" w:rsidRPr="00086E94">
        <w:rPr>
          <w:rFonts w:ascii="Calibri" w:hAnsi="Calibri" w:cs="Calibri"/>
          <w:noProof/>
        </w:rPr>
        <w:tab/>
        <w:t xml:space="preserve">Odom, J. V. </w:t>
      </w:r>
      <w:r w:rsidR="00086E94" w:rsidRPr="00086E94">
        <w:rPr>
          <w:rFonts w:ascii="Calibri" w:hAnsi="Calibri" w:cs="Calibri"/>
          <w:i/>
          <w:iCs/>
          <w:noProof/>
        </w:rPr>
        <w:t>et al.</w:t>
      </w:r>
      <w:r w:rsidR="00086E94" w:rsidRPr="00086E94">
        <w:rPr>
          <w:rFonts w:ascii="Calibri" w:hAnsi="Calibri" w:cs="Calibri"/>
          <w:noProof/>
        </w:rPr>
        <w:t xml:space="preserve"> ISCEV standard for clinical visual evoked potentials: (2016 update). </w:t>
      </w:r>
      <w:r w:rsidR="00086E94" w:rsidRPr="00086E94">
        <w:rPr>
          <w:rFonts w:ascii="Calibri" w:hAnsi="Calibri" w:cs="Calibri"/>
          <w:i/>
          <w:iCs/>
          <w:noProof/>
        </w:rPr>
        <w:t>Doc. Ophthalmol.</w:t>
      </w:r>
      <w:r w:rsidR="00086E94" w:rsidRPr="00086E94">
        <w:rPr>
          <w:rFonts w:ascii="Calibri" w:hAnsi="Calibri" w:cs="Calibri"/>
          <w:noProof/>
        </w:rPr>
        <w:t xml:space="preserve"> </w:t>
      </w:r>
      <w:r w:rsidR="00086E94" w:rsidRPr="00086E94">
        <w:rPr>
          <w:rFonts w:ascii="Calibri" w:hAnsi="Calibri" w:cs="Calibri"/>
          <w:b/>
          <w:bCs/>
          <w:noProof/>
        </w:rPr>
        <w:t>133</w:t>
      </w:r>
      <w:r w:rsidR="00086E94" w:rsidRPr="00086E94">
        <w:rPr>
          <w:rFonts w:ascii="Calibri" w:hAnsi="Calibri" w:cs="Calibri"/>
          <w:noProof/>
        </w:rPr>
        <w:t>, 1–9 (2016).</w:t>
      </w:r>
    </w:p>
    <w:p w14:paraId="7355F49F" w14:textId="77777777" w:rsidR="00086E94" w:rsidRPr="00086E94" w:rsidRDefault="00086E94" w:rsidP="00086E94">
      <w:pPr>
        <w:widowControl w:val="0"/>
        <w:autoSpaceDE w:val="0"/>
        <w:autoSpaceDN w:val="0"/>
        <w:adjustRightInd w:val="0"/>
        <w:ind w:left="640" w:hanging="640"/>
        <w:rPr>
          <w:rFonts w:ascii="Calibri" w:hAnsi="Calibri" w:cs="Calibri"/>
          <w:noProof/>
        </w:rPr>
      </w:pPr>
      <w:r w:rsidRPr="00086E94">
        <w:rPr>
          <w:rFonts w:ascii="Calibri" w:hAnsi="Calibri" w:cs="Calibri"/>
          <w:noProof/>
        </w:rPr>
        <w:t>2.</w:t>
      </w:r>
      <w:r w:rsidRPr="00086E94">
        <w:rPr>
          <w:rFonts w:ascii="Calibri" w:hAnsi="Calibri" w:cs="Calibri"/>
          <w:noProof/>
        </w:rPr>
        <w:tab/>
        <w:t xml:space="preserve">Barlow, K. M. </w:t>
      </w:r>
      <w:r w:rsidRPr="00086E94">
        <w:rPr>
          <w:rFonts w:ascii="Calibri" w:hAnsi="Calibri" w:cs="Calibri"/>
          <w:i/>
          <w:iCs/>
          <w:noProof/>
        </w:rPr>
        <w:t>et al.</w:t>
      </w:r>
      <w:r w:rsidRPr="00086E94">
        <w:rPr>
          <w:rFonts w:ascii="Calibri" w:hAnsi="Calibri" w:cs="Calibri"/>
          <w:noProof/>
        </w:rPr>
        <w:t xml:space="preserve"> Epidemiology of Postconcussion Syndrome in Pediatric Mild Traumatic Brain Injury. </w:t>
      </w:r>
      <w:r w:rsidRPr="00086E94">
        <w:rPr>
          <w:rFonts w:ascii="Calibri" w:hAnsi="Calibri" w:cs="Calibri"/>
          <w:i/>
          <w:iCs/>
          <w:noProof/>
        </w:rPr>
        <w:t>Pediatrics</w:t>
      </w:r>
      <w:r w:rsidRPr="00086E94">
        <w:rPr>
          <w:rFonts w:ascii="Calibri" w:hAnsi="Calibri" w:cs="Calibri"/>
          <w:noProof/>
        </w:rPr>
        <w:t xml:space="preserve"> (2010). doi:10.1542/peds.2009-0925</w:t>
      </w:r>
    </w:p>
    <w:p w14:paraId="439669CD" w14:textId="77777777" w:rsidR="00086E94" w:rsidRPr="00086E94" w:rsidRDefault="00086E94" w:rsidP="00086E94">
      <w:pPr>
        <w:widowControl w:val="0"/>
        <w:autoSpaceDE w:val="0"/>
        <w:autoSpaceDN w:val="0"/>
        <w:adjustRightInd w:val="0"/>
        <w:ind w:left="640" w:hanging="640"/>
        <w:rPr>
          <w:rFonts w:ascii="Calibri" w:hAnsi="Calibri" w:cs="Calibri"/>
          <w:noProof/>
        </w:rPr>
      </w:pPr>
      <w:r w:rsidRPr="00086E94">
        <w:rPr>
          <w:rFonts w:ascii="Calibri" w:hAnsi="Calibri" w:cs="Calibri"/>
          <w:noProof/>
        </w:rPr>
        <w:t>3.</w:t>
      </w:r>
      <w:r w:rsidRPr="00086E94">
        <w:rPr>
          <w:rFonts w:ascii="Calibri" w:hAnsi="Calibri" w:cs="Calibri"/>
          <w:noProof/>
        </w:rPr>
        <w:tab/>
        <w:t xml:space="preserve">Patterson Gentile, C. </w:t>
      </w:r>
      <w:r w:rsidRPr="00086E94">
        <w:rPr>
          <w:rFonts w:ascii="Calibri" w:hAnsi="Calibri" w:cs="Calibri"/>
          <w:i/>
          <w:iCs/>
          <w:noProof/>
        </w:rPr>
        <w:t>et al.</w:t>
      </w:r>
      <w:r w:rsidRPr="00086E94">
        <w:rPr>
          <w:rFonts w:ascii="Calibri" w:hAnsi="Calibri" w:cs="Calibri"/>
          <w:noProof/>
        </w:rPr>
        <w:t xml:space="preserve"> Developmental Effects on Pattern Visual Evoked Potentials Characterized by Principal Component Analysis. </w:t>
      </w:r>
      <w:r w:rsidRPr="00086E94">
        <w:rPr>
          <w:rFonts w:ascii="Calibri" w:hAnsi="Calibri" w:cs="Calibri"/>
          <w:i/>
          <w:iCs/>
          <w:noProof/>
        </w:rPr>
        <w:t>Transl. Vis. Sci. Technol.</w:t>
      </w:r>
      <w:r w:rsidRPr="00086E94">
        <w:rPr>
          <w:rFonts w:ascii="Calibri" w:hAnsi="Calibri" w:cs="Calibri"/>
          <w:noProof/>
        </w:rPr>
        <w:t xml:space="preserve"> </w:t>
      </w:r>
      <w:r w:rsidRPr="00086E94">
        <w:rPr>
          <w:rFonts w:ascii="Calibri" w:hAnsi="Calibri" w:cs="Calibri"/>
          <w:b/>
          <w:bCs/>
          <w:noProof/>
        </w:rPr>
        <w:t>10</w:t>
      </w:r>
      <w:r w:rsidRPr="00086E94">
        <w:rPr>
          <w:rFonts w:ascii="Calibri" w:hAnsi="Calibri" w:cs="Calibri"/>
          <w:noProof/>
        </w:rPr>
        <w:t>, (2021).</w:t>
      </w:r>
    </w:p>
    <w:p w14:paraId="6E26EBAB" w14:textId="7C65C8FE" w:rsidR="006E088B" w:rsidRDefault="006E088B" w:rsidP="00086E94">
      <w:pPr>
        <w:widowControl w:val="0"/>
        <w:autoSpaceDE w:val="0"/>
        <w:autoSpaceDN w:val="0"/>
        <w:adjustRightInd w:val="0"/>
        <w:ind w:left="640" w:hanging="640"/>
      </w:pPr>
      <w:r>
        <w:fldChar w:fldCharType="end"/>
      </w:r>
    </w:p>
    <w:sectPr w:rsidR="006E0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A6910"/>
    <w:multiLevelType w:val="hybridMultilevel"/>
    <w:tmpl w:val="7AFEC354"/>
    <w:lvl w:ilvl="0" w:tplc="3EB2B8EA">
      <w:start w:val="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97C80"/>
    <w:multiLevelType w:val="hybridMultilevel"/>
    <w:tmpl w:val="467ED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D2C01"/>
    <w:multiLevelType w:val="hybridMultilevel"/>
    <w:tmpl w:val="4D88F3AA"/>
    <w:lvl w:ilvl="0" w:tplc="EABCED96">
      <w:start w:val="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1A7DD4"/>
    <w:multiLevelType w:val="hybridMultilevel"/>
    <w:tmpl w:val="7B54C6CE"/>
    <w:lvl w:ilvl="0" w:tplc="FF8ADF2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A826D1"/>
    <w:multiLevelType w:val="hybridMultilevel"/>
    <w:tmpl w:val="9FB44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54C70"/>
    <w:multiLevelType w:val="hybridMultilevel"/>
    <w:tmpl w:val="0B900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03541"/>
    <w:multiLevelType w:val="hybridMultilevel"/>
    <w:tmpl w:val="754A2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DB"/>
    <w:rsid w:val="000067B2"/>
    <w:rsid w:val="00026A22"/>
    <w:rsid w:val="00086E94"/>
    <w:rsid w:val="000A623E"/>
    <w:rsid w:val="000A6F0D"/>
    <w:rsid w:val="000B266E"/>
    <w:rsid w:val="00106F3C"/>
    <w:rsid w:val="00153CDE"/>
    <w:rsid w:val="0015619F"/>
    <w:rsid w:val="0019534B"/>
    <w:rsid w:val="001E4BAB"/>
    <w:rsid w:val="0022081A"/>
    <w:rsid w:val="00223247"/>
    <w:rsid w:val="00253A46"/>
    <w:rsid w:val="002E4105"/>
    <w:rsid w:val="002F4A62"/>
    <w:rsid w:val="00310E4B"/>
    <w:rsid w:val="00371BFC"/>
    <w:rsid w:val="003822CE"/>
    <w:rsid w:val="003C2132"/>
    <w:rsid w:val="003C49DE"/>
    <w:rsid w:val="00431762"/>
    <w:rsid w:val="00452624"/>
    <w:rsid w:val="004706C4"/>
    <w:rsid w:val="00491F6F"/>
    <w:rsid w:val="004B472E"/>
    <w:rsid w:val="004C2320"/>
    <w:rsid w:val="004F0528"/>
    <w:rsid w:val="00570BFF"/>
    <w:rsid w:val="005E2F9C"/>
    <w:rsid w:val="006D0786"/>
    <w:rsid w:val="006E088B"/>
    <w:rsid w:val="006E37A4"/>
    <w:rsid w:val="006E69AF"/>
    <w:rsid w:val="00730AEB"/>
    <w:rsid w:val="00730D6F"/>
    <w:rsid w:val="007577AE"/>
    <w:rsid w:val="007C00A4"/>
    <w:rsid w:val="00854778"/>
    <w:rsid w:val="00874557"/>
    <w:rsid w:val="008C76FD"/>
    <w:rsid w:val="00937E18"/>
    <w:rsid w:val="00956B32"/>
    <w:rsid w:val="009C3C05"/>
    <w:rsid w:val="009E3C90"/>
    <w:rsid w:val="009E4503"/>
    <w:rsid w:val="009F4A79"/>
    <w:rsid w:val="00A30F67"/>
    <w:rsid w:val="00A63BBB"/>
    <w:rsid w:val="00B47ADC"/>
    <w:rsid w:val="00B6767D"/>
    <w:rsid w:val="00B77DDB"/>
    <w:rsid w:val="00C10C25"/>
    <w:rsid w:val="00C13525"/>
    <w:rsid w:val="00C37BAD"/>
    <w:rsid w:val="00C4543F"/>
    <w:rsid w:val="00C57898"/>
    <w:rsid w:val="00CA15BC"/>
    <w:rsid w:val="00CB6D02"/>
    <w:rsid w:val="00CC3BB2"/>
    <w:rsid w:val="00D4096C"/>
    <w:rsid w:val="00E54F25"/>
    <w:rsid w:val="00E56579"/>
    <w:rsid w:val="00EF712A"/>
    <w:rsid w:val="00F42C9A"/>
    <w:rsid w:val="00FE1FEF"/>
    <w:rsid w:val="00FE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FEAF"/>
  <w15:chartTrackingRefBased/>
  <w15:docId w15:val="{1003016D-0D9B-D84B-9201-D0D189E0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65386-8B8D-1843-9678-8BE6D126F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Carlyn Patterson Gentile</cp:lastModifiedBy>
  <cp:revision>9</cp:revision>
  <dcterms:created xsi:type="dcterms:W3CDTF">2021-04-27T16:02:00Z</dcterms:created>
  <dcterms:modified xsi:type="dcterms:W3CDTF">2021-04-29T12:20:00Z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f3c07bfb-3c8e-393e-ad72-f601f0157f69</vt:lpwstr>
  </property>
  <property fmtid="{D5CDD505-2E9C-101B-9397-08002B2CF9AE}" pid="24" name="Mendeley Citation Style_1">
    <vt:lpwstr>http://www.zotero.org/styles/nature</vt:lpwstr>
  </property>
</Properties>
</file>