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EDDB15" w14:textId="4AC3A7A9" w:rsidR="00FF583E" w:rsidRDefault="00153CDE">
      <w:r>
        <w:t>Are visual evoked potentials enhanced in subjects with persistent post-traumatic headache?</w:t>
      </w:r>
    </w:p>
    <w:p w14:paraId="6F407618" w14:textId="77777777" w:rsidR="00452624" w:rsidRDefault="00452624"/>
    <w:p w14:paraId="1E3F70CD" w14:textId="788CDB99" w:rsidR="00B77DDB" w:rsidRDefault="00452624">
      <w:r>
        <w:t xml:space="preserve">Preregistration </w:t>
      </w:r>
      <w:r w:rsidR="00153CDE">
        <w:t>4/3/21</w:t>
      </w:r>
    </w:p>
    <w:p w14:paraId="157B2288" w14:textId="77777777" w:rsidR="008C76FD" w:rsidRDefault="008C76FD"/>
    <w:p w14:paraId="511C72EF" w14:textId="5779A665" w:rsidR="00B77DDB" w:rsidRDefault="00452624">
      <w:r w:rsidRPr="00452624">
        <w:rPr>
          <w:b/>
          <w:bCs/>
          <w:u w:val="single"/>
        </w:rPr>
        <w:t>HYPOTHESIS:</w:t>
      </w:r>
      <w:r w:rsidR="004C2320">
        <w:t xml:space="preserve"> </w:t>
      </w:r>
      <w:r w:rsidR="007C00A4">
        <w:t>Individuals reporting headache lasting 1 month or longer will have increased pattern reversal visual evoked potentials (</w:t>
      </w:r>
      <w:proofErr w:type="spellStart"/>
      <w:r w:rsidR="007C00A4">
        <w:t>prVEP</w:t>
      </w:r>
      <w:proofErr w:type="spellEnd"/>
      <w:r w:rsidR="007C00A4">
        <w:t>) compared to those who recover.</w:t>
      </w:r>
    </w:p>
    <w:p w14:paraId="108A51DA" w14:textId="6ADC74DC" w:rsidR="00310E4B" w:rsidRDefault="00310E4B"/>
    <w:p w14:paraId="267C0AE4" w14:textId="6F80F2DD" w:rsidR="00452624" w:rsidRDefault="00452624">
      <w:pPr>
        <w:rPr>
          <w:b/>
          <w:bCs/>
          <w:u w:val="single"/>
        </w:rPr>
      </w:pPr>
      <w:r w:rsidRPr="00452624">
        <w:rPr>
          <w:b/>
          <w:bCs/>
          <w:u w:val="single"/>
        </w:rPr>
        <w:t>STUDY DESIGN</w:t>
      </w:r>
    </w:p>
    <w:p w14:paraId="40F1FF32" w14:textId="77777777" w:rsidR="00452624" w:rsidRPr="00452624" w:rsidRDefault="00452624">
      <w:pPr>
        <w:rPr>
          <w:b/>
          <w:bCs/>
          <w:u w:val="single"/>
        </w:rPr>
      </w:pPr>
    </w:p>
    <w:p w14:paraId="0938D565" w14:textId="591D6B83" w:rsidR="007C00A4" w:rsidRDefault="007C00A4" w:rsidP="007C00A4">
      <w:r>
        <w:t xml:space="preserve">Subjects will be included who were recruited as part of the Minds Matter concussion research program. They will be age 11-21 of any biological sex. </w:t>
      </w:r>
      <w:r w:rsidR="00730D6F">
        <w:t xml:space="preserve">Subjects will have normal or corrected to normal visual acuity in both eyes. </w:t>
      </w:r>
      <w:r w:rsidR="009C3C05">
        <w:t>Subjects will have recorded VEP, signs and symptoms during VEP recording (headache, eye strain, frequent blinking, etc.), and Post-concussion symptom inventory (PCSI)</w:t>
      </w:r>
      <w:r w:rsidR="009C3C05">
        <w:fldChar w:fldCharType="begin" w:fldLock="1"/>
      </w:r>
      <w:r w:rsidR="006E088B">
        <w:instrText>ADDIN CSL_CITATION {"citationItems":[{"id":"ITEM-1","itemData":{"DOI":"10.1542/peds.2009-0925","ISSN":"0031-4005","abstract":"BACKGROUND: Much disagreement exists as to whether postconcussion syndrome (PCS) is attributable to brain injury or to other factors such as trauma alone, preexisting psychosocial problems, or medicolegal issues. We investigated the epidemiology and natural history of PCS symptoms in a large cohort of children with a mild traumatic brain injury (mTBI) and compared them with children with an extracranial injury (ECI).\\n\\nMETHODS: This investigation was a prospective, consecutive controlled-cohort study of 670 children who presented to a tertiary referral emergency department with mTBI and 197 children who presented with ECI. For all participants, data were collected by use of a telephone interview of a parent 7 to 10 days after injury. If a change from preinjury symptoms was reported by a parent, follow-up continued monthly until symptom resolution. Outcomes were measured by using the Post Concussion Symptom Inventory, Rivermead Postconcussion Symptom Questionnaire, Brief Symptom Inventory, and Family Assessment Device.\\n\\nRESULTS: There was a significant difference between the mTBI and ECI groups in their survival curves for time to symptom resolution (log rank [Mantel-Cox] 11.15, P &lt; .001). Three months after injury, 11% of the children in the mTBI group were symptomatic (13.7% of children older than 6 years) compared with 0.5% of the children in the ECI group. The prevalence of persistent symptoms at 1 year was 2.3% in the mTBI group and 0.01% in the ECI group. Family functioning and maternal adjustment did not differ between groups.\\n\\nCONCLUSIONS: Among school-aged children with mTBI, 13.7% were symptomatic 3 months after injury. This finding could not be explained by trauma, family dysfunction, or maternal psychological adjustment. The results of this study provide clear support for the validity of the diagnosis of PCS in children.","author":[{"dropping-particle":"","family":"Barlow","given":"K. M.","non-dropping-particle":"","parse-names":false,"suffix":""},{"dropping-particle":"","family":"Crawford","given":"S.","non-dropping-particle":"","parse-names":false,"suffix":""},{"dropping-particle":"","family":"Stevenson","given":"A.","non-dropping-particle":"","parse-names":false,"suffix":""},{"dropping-particle":"","family":"Sandhu","given":"S. S.","non-dropping-particle":"","parse-names":false,"suffix":""},{"dropping-particle":"","family":"Belanger","given":"F.","non-dropping-particle":"","parse-names":false,"suffix":""},{"dropping-particle":"","family":"Dewey","given":"D.","non-dropping-particle":"","parse-names":false,"suffix":""}],"container-title":"PEDIATRICS","id":"ITEM-1","issued":{"date-parts":[["2010"]]},"title":"Epidemiology of Postconcussion Syndrome in Pediatric Mild Traumatic Brain Injury","type":"article-journal"},"uris":["http://www.mendeley.com/documents/?uuid=1e81b873-2cd9-4ac9-a158-d6f946d6ff69"]}],"mendeley":{"formattedCitation":"&lt;sup&gt;1&lt;/sup&gt;","plainTextFormattedCitation":"1","previouslyFormattedCitation":"&lt;sup&gt;1&lt;/sup&gt;"},"properties":{"noteIndex":0},"schema":"https://github.com/citation-style-language/schema/raw/master/csl-citation.json"}</w:instrText>
      </w:r>
      <w:r w:rsidR="009C3C05">
        <w:fldChar w:fldCharType="separate"/>
      </w:r>
      <w:r w:rsidR="009C3C05" w:rsidRPr="009C3C05">
        <w:rPr>
          <w:noProof/>
          <w:vertAlign w:val="superscript"/>
        </w:rPr>
        <w:t>1</w:t>
      </w:r>
      <w:r w:rsidR="009C3C05">
        <w:fldChar w:fldCharType="end"/>
      </w:r>
      <w:r w:rsidR="009C3C05">
        <w:t xml:space="preserve"> scores recorded. Subjects</w:t>
      </w:r>
      <w:r>
        <w:t xml:space="preserve"> will be compared in the following groups:</w:t>
      </w:r>
    </w:p>
    <w:p w14:paraId="680C9737" w14:textId="46121284" w:rsidR="007C00A4" w:rsidRDefault="007C00A4" w:rsidP="007C00A4"/>
    <w:p w14:paraId="3D2F49A1" w14:textId="0334CF4B" w:rsidR="007C00A4" w:rsidRDefault="007C00A4" w:rsidP="007C00A4">
      <w:pPr>
        <w:pStyle w:val="ListParagraph"/>
        <w:numPr>
          <w:ilvl w:val="0"/>
          <w:numId w:val="5"/>
        </w:numPr>
      </w:pPr>
      <w:r>
        <w:t>Post-traumatic headache subjects will meet the following criteria</w:t>
      </w:r>
    </w:p>
    <w:p w14:paraId="14936DBE" w14:textId="3D1A32CA" w:rsidR="007C00A4" w:rsidRDefault="007C00A4" w:rsidP="007C00A4">
      <w:pPr>
        <w:pStyle w:val="ListParagraph"/>
        <w:numPr>
          <w:ilvl w:val="0"/>
          <w:numId w:val="6"/>
        </w:numPr>
      </w:pPr>
      <w:r>
        <w:t>Diagnosed with concussion</w:t>
      </w:r>
    </w:p>
    <w:p w14:paraId="76E5DB86" w14:textId="560E15B4" w:rsidR="007C00A4" w:rsidRDefault="007C00A4" w:rsidP="007C00A4">
      <w:pPr>
        <w:pStyle w:val="ListParagraph"/>
        <w:numPr>
          <w:ilvl w:val="0"/>
          <w:numId w:val="6"/>
        </w:numPr>
      </w:pPr>
      <w:r>
        <w:t>VEP recorded between 1 month and 6 months following concussion</w:t>
      </w:r>
    </w:p>
    <w:p w14:paraId="75638755" w14:textId="446B1573" w:rsidR="007C00A4" w:rsidRDefault="007C00A4" w:rsidP="007C00A4">
      <w:pPr>
        <w:pStyle w:val="ListParagraph"/>
        <w:numPr>
          <w:ilvl w:val="0"/>
          <w:numId w:val="6"/>
        </w:numPr>
      </w:pPr>
      <w:r>
        <w:t>PCSI headache score of 1 or greater at the time of VEP recording</w:t>
      </w:r>
    </w:p>
    <w:p w14:paraId="588B09C5" w14:textId="761B714E" w:rsidR="007C00A4" w:rsidRDefault="007C00A4" w:rsidP="007C00A4"/>
    <w:p w14:paraId="6B76FA30" w14:textId="243EC3F2" w:rsidR="007C00A4" w:rsidRDefault="007C00A4" w:rsidP="007C00A4">
      <w:pPr>
        <w:pStyle w:val="ListParagraph"/>
        <w:numPr>
          <w:ilvl w:val="0"/>
          <w:numId w:val="5"/>
        </w:numPr>
      </w:pPr>
      <w:r>
        <w:t>Recovered</w:t>
      </w:r>
      <w:r>
        <w:t xml:space="preserve"> subjects will meet the following criteria</w:t>
      </w:r>
    </w:p>
    <w:p w14:paraId="4E68FDDF" w14:textId="77777777" w:rsidR="007C00A4" w:rsidRDefault="007C00A4" w:rsidP="007C00A4">
      <w:pPr>
        <w:pStyle w:val="ListParagraph"/>
        <w:numPr>
          <w:ilvl w:val="0"/>
          <w:numId w:val="6"/>
        </w:numPr>
      </w:pPr>
      <w:r>
        <w:t>Diagnosed with concussion</w:t>
      </w:r>
    </w:p>
    <w:p w14:paraId="2CE0265C" w14:textId="77777777" w:rsidR="007C00A4" w:rsidRDefault="007C00A4" w:rsidP="007C00A4">
      <w:pPr>
        <w:pStyle w:val="ListParagraph"/>
        <w:numPr>
          <w:ilvl w:val="0"/>
          <w:numId w:val="6"/>
        </w:numPr>
      </w:pPr>
      <w:r>
        <w:t>VEP recorded between 1 month and 6 months following concussion</w:t>
      </w:r>
    </w:p>
    <w:p w14:paraId="3F1A679B" w14:textId="77777777" w:rsidR="007C00A4" w:rsidRDefault="007C00A4" w:rsidP="007C00A4">
      <w:pPr>
        <w:pStyle w:val="ListParagraph"/>
        <w:numPr>
          <w:ilvl w:val="0"/>
          <w:numId w:val="6"/>
        </w:numPr>
      </w:pPr>
      <w:r>
        <w:t xml:space="preserve">PCSI headache score of 0 and total PCSI score of 3 or less at the time of VEP recording </w:t>
      </w:r>
    </w:p>
    <w:p w14:paraId="1D802E23" w14:textId="1CB39732" w:rsidR="007C00A4" w:rsidRDefault="007C00A4" w:rsidP="007C00A4"/>
    <w:p w14:paraId="3D962F34" w14:textId="5D30A0C2" w:rsidR="007C00A4" w:rsidRDefault="007C00A4" w:rsidP="007C00A4">
      <w:pPr>
        <w:pStyle w:val="ListParagraph"/>
        <w:numPr>
          <w:ilvl w:val="0"/>
          <w:numId w:val="5"/>
        </w:numPr>
      </w:pPr>
      <w:r>
        <w:t>Healthy control</w:t>
      </w:r>
      <w:r>
        <w:t xml:space="preserve"> subjects will meet the following criteria</w:t>
      </w:r>
    </w:p>
    <w:p w14:paraId="4B42D946" w14:textId="61CD9E1A" w:rsidR="007C00A4" w:rsidRDefault="007C00A4" w:rsidP="007C00A4">
      <w:pPr>
        <w:pStyle w:val="ListParagraph"/>
        <w:numPr>
          <w:ilvl w:val="0"/>
          <w:numId w:val="6"/>
        </w:numPr>
      </w:pPr>
      <w:r>
        <w:t>No prior history of concussion</w:t>
      </w:r>
    </w:p>
    <w:p w14:paraId="5E963063" w14:textId="10E91F98" w:rsidR="007C00A4" w:rsidRDefault="007C00A4" w:rsidP="007C00A4">
      <w:pPr>
        <w:pStyle w:val="ListParagraph"/>
        <w:numPr>
          <w:ilvl w:val="0"/>
          <w:numId w:val="6"/>
        </w:numPr>
      </w:pPr>
      <w:r>
        <w:t xml:space="preserve">PCSI headache score of </w:t>
      </w:r>
      <w:r>
        <w:t>0</w:t>
      </w:r>
      <w:r>
        <w:t xml:space="preserve"> and total PCSI score of 3 or less</w:t>
      </w:r>
      <w:r>
        <w:t xml:space="preserve"> </w:t>
      </w:r>
      <w:r>
        <w:t>at the time of VEP recording</w:t>
      </w:r>
      <w:r>
        <w:t xml:space="preserve"> </w:t>
      </w:r>
    </w:p>
    <w:p w14:paraId="44283E64" w14:textId="56EE678E" w:rsidR="007C00A4" w:rsidRDefault="007C00A4" w:rsidP="007C00A4"/>
    <w:p w14:paraId="13079BA3" w14:textId="00247A29" w:rsidR="007C00A4" w:rsidRDefault="007C00A4" w:rsidP="007C00A4">
      <w:r>
        <w:t>At least 14 subjects will</w:t>
      </w:r>
      <w:r w:rsidR="00153CDE">
        <w:t xml:space="preserve"> be collected per group based on </w:t>
      </w:r>
      <w:r w:rsidR="00730D6F">
        <w:t>prior reported differences in VEP amplitude in chronic migraine compared to healthy controls and episodic migraine</w:t>
      </w:r>
      <w:r w:rsidR="00730D6F">
        <w:fldChar w:fldCharType="begin" w:fldLock="1"/>
      </w:r>
      <w:r w:rsidR="006E088B">
        <w:instrText>ADDIN CSL_CITATION {"citationItems":[{"id":"ITEM-1","itemData":{"DOI":"10.1016/j.pain.2010.08.047","ISSN":"03043959","abstract":"Episodic migraine (EM) may evolve into the more disabling chronic migraine (CM, monthly migraine days ≥ 8 and headache days ≥ 15) with unknown mechanism. Aiming to elucidate the pathophysiology of CM and its relationship with EM, this study characterized the visual cortical responses in CM and EM. Neuromagnetic visual-evoked responses to left-hemifield checkerboard reversals were obtained in patients with EM (interictal or ictal states), CM (interictal) and age-matched controls. For each subject, the 1500 evoked responses were sequentially divided into 30 blocks and percentage changes of P100m amplitude in blocks 2, 9, 16, 23, and 30 compared to the first block were computed to assess habituation. At the end of visual stimulation (block 30), P100m amplitude was decreased (habituated) in the controls (n = 32) (35.2 ± 2.6 nAm vs. 41.9 ± 2.7, p = 0.005) but increased (potentiated) in the interictal state of EM (n = 29) (39.7 ± 3.8 vs. 33.5 ± 3.0, p = 0.007). In CM (n = 25), P100m was habituated (46.5 ± 2.9 vs. 51.6 ± 3.7, p = 0.013) but higher at the initial block than in those of the interictal state of EM (p = 0.001). These CM features also characterized the P100m in the ictal state of EM (n = 9). There was no difference of P100m between CM and ictal state of EM. In conclusion, patients with CM demonstrate a persistent ictal-like excitability pattern of the visual cortex between migraine attacks which may implicate central inhibitory dysfunction. © 2010 International Association for the Study of Pain. Published by Elsevier B.V. All rights reserved.","author":[{"dropping-particle":"","family":"Chen","given":"Wei Ta","non-dropping-particle":"","parse-names":false,"suffix":""},{"dropping-particle":"","family":"Wang","given":"Shuu Jiun","non-dropping-particle":"","parse-names":false,"suffix":""},{"dropping-particle":"","family":"Fuh","given":"Jong Ling","non-dropping-particle":"","parse-names":false,"suffix":""},{"dropping-particle":"","family":"Lin","given":"Ching Po","non-dropping-particle":"","parse-names":false,"suffix":""},{"dropping-particle":"","family":"Ko","given":"Yu Chieh","non-dropping-particle":"","parse-names":false,"suffix":""},{"dropping-particle":"","family":"Lin","given":"Yung Yang","non-dropping-particle":"","parse-names":false,"suffix":""}],"container-title":"Pain","id":"ITEM-1","issued":{"date-parts":[["2011"]]},"title":"Persistent ictal-like visual cortical excitability in chronic migraine","type":"article-journal"},"uris":["http://www.mendeley.com/documents/?uuid=8de80af2-8137-4ec3-ab48-06b50783adbf"]}],"mendeley":{"formattedCitation":"&lt;sup&gt;2&lt;/sup&gt;","plainTextFormattedCitation":"2","previouslyFormattedCitation":"&lt;sup&gt;2&lt;/sup&gt;"},"properties":{"noteIndex":0},"schema":"https://github.com/citation-style-language/schema/raw/master/csl-citation.json"}</w:instrText>
      </w:r>
      <w:r w:rsidR="00730D6F">
        <w:fldChar w:fldCharType="separate"/>
      </w:r>
      <w:r w:rsidR="009C3C05" w:rsidRPr="009C3C05">
        <w:rPr>
          <w:noProof/>
          <w:vertAlign w:val="superscript"/>
        </w:rPr>
        <w:t>2</w:t>
      </w:r>
      <w:r w:rsidR="00730D6F">
        <w:fldChar w:fldCharType="end"/>
      </w:r>
      <w:r w:rsidR="00730D6F">
        <w:t>.</w:t>
      </w:r>
    </w:p>
    <w:p w14:paraId="4425C93E" w14:textId="78A61A4C" w:rsidR="00153CDE" w:rsidRDefault="00153CDE" w:rsidP="007C00A4"/>
    <w:p w14:paraId="174BE074" w14:textId="65631579" w:rsidR="00153CDE" w:rsidRDefault="00153CDE" w:rsidP="007C00A4">
      <w:r>
        <w:t>VEP recordings will meet ISCEV standards</w:t>
      </w:r>
      <w:r>
        <w:fldChar w:fldCharType="begin" w:fldLock="1"/>
      </w:r>
      <w:r w:rsidR="006E088B">
        <w:instrText>ADDIN CSL_CITATION {"citationItems":[{"id":"ITEM-1","itemData":{"DOI":"10.1007/s10633-016-9553-y","ISSN":"15732622","PMID":"27443562","abstract":"Visual evoked potentials (VEPs) can provide important diagnostic information regarding the functional integrity of the visual system. This document updates the ISCEV standard for clinical VEP testing and supersedes the 2009 standard. The main changes in this revision are the acknowledgment that pattern stimuli can be produced using a variety of technologies with an emphasis on the need for manufacturers to ensure that there is no luminance change during pattern reversal or pattern onset/offset. The document is also edited to bring the VEP standard into closer harmony with other ISCEV standards. The ISCEV standard VEP is based on a subset of stimulus and recording conditions that provide core clinical information and can be performed by most clinical electrophysiology laboratories throughout the world. These are: (1) Pattern-reversal VEPs elicited by checkerboard stimuli with large 1 degree (°) and small 0.25° checks. (2) Pattern onset/offset VEPs elicited by checkerboard stimuli with large 1° and small 0.25° checks. (3) Flash VEPs elicited by a flash (brief luminance increment) which subtends a visual field of at least 20°. The ISCEV standard VEP protocols are defined for a single recording channel with a midline occipital active electrode. These protocols are intended for assessment of the eye and/or optic nerves anterior to the optic chiasm. Extended, multi-channel protocols are required to evaluate postchiasmal lesions.","author":[{"dropping-particle":"","family":"Odom","given":"J. Vernon","non-dropping-particle":"","parse-names":false,"suffix":""},{"dropping-particle":"","family":"Bach","given":"Michael","non-dropping-particle":"","parse-names":false,"suffix":""},{"dropping-particle":"","family":"Brigell","given":"Mitchell","non-dropping-particle":"","parse-names":false,"suffix":""},{"dropping-particle":"","family":"Holder","given":"Graham E.","non-dropping-particle":"","parse-names":false,"suffix":""},{"dropping-particle":"","family":"McCulloch","given":"Daphne L.","non-dropping-particle":"","parse-names":false,"suffix":""},{"dropping-particle":"","family":"Mizota","given":"Atsushi","non-dropping-particle":"","parse-names":false,"suffix":""},{"dropping-particle":"","family":"Tormene","given":"Alma Patrizia","non-dropping-particle":"","parse-names":false,"suffix":""}],"container-title":"Documenta Ophthalmologica","id":"ITEM-1","issue":"1","issued":{"date-parts":[["2016"]]},"page":"1-9","title":"ISCEV standard for clinical visual evoked potentials: (2016 update)","type":"article-journal","volume":"133"},"uris":["http://www.mendeley.com/documents/?uuid=5f48962d-6d43-4c16-95c7-00cd8d039488"]}],"mendeley":{"formattedCitation":"&lt;sup&gt;3&lt;/sup&gt;","plainTextFormattedCitation":"3","previouslyFormattedCitation":"&lt;sup&gt;3&lt;/sup&gt;"},"properties":{"noteIndex":0},"schema":"https://github.com/citation-style-language/schema/raw/master/csl-citation.json"}</w:instrText>
      </w:r>
      <w:r>
        <w:fldChar w:fldCharType="separate"/>
      </w:r>
      <w:r w:rsidR="009C3C05" w:rsidRPr="009C3C05">
        <w:rPr>
          <w:noProof/>
          <w:vertAlign w:val="superscript"/>
        </w:rPr>
        <w:t>3</w:t>
      </w:r>
      <w:r>
        <w:fldChar w:fldCharType="end"/>
      </w:r>
      <w:r>
        <w:t xml:space="preserve"> and are previously described</w:t>
      </w:r>
      <w:r w:rsidR="00223247">
        <w:fldChar w:fldCharType="begin" w:fldLock="1"/>
      </w:r>
      <w:r w:rsidR="006E088B">
        <w:instrText>ADDIN CSL_CITATION {"citationItems":[{"id":"ITEM-1","itemData":{"DOI":"10.1167/tvst.10.4.1","ISSN":"2164-2591","author":[{"dropping-particle":"","family":"Patterson Gentile","given":"Carlyn","non-dropping-particle":"","parse-names":false,"suffix":""},{"dropping-particle":"","family":"Joshi","given":"Nabin R.","non-dropping-particle":"","parse-names":false,"suffix":""},{"dropping-particle":"","family":"Ciuffreda","given":"Kenneth J.","non-dropping-particle":"","parse-names":false,"suffix":""},{"dropping-particle":"","family":"Arbogast","given":"Kristy B.","non-dropping-particle":"","parse-names":false,"suffix":""},{"dropping-particle":"","family":"Master","given":"Christina","non-dropping-particle":"","parse-names":false,"suffix":""},{"dropping-particle":"","family":"Aguirre","given":"Geoffrey K.","non-dropping-particle":"","parse-names":false,"suffix":""}],"container-title":"Translational Vision Science &amp; Technology","id":"ITEM-1","issue":"4","issued":{"date-parts":[["2021","4","1"]]},"title":"Developmental Effects on Pattern Visual Evoked Potentials Characterized by Principal Component Analysis","type":"article-journal","volume":"10"},"uris":["http://www.mendeley.com/documents/?uuid=7b0f8017-8180-34de-be06-dad907afb6e0"]}],"mendeley":{"formattedCitation":"&lt;sup&gt;4&lt;/sup&gt;","plainTextFormattedCitation":"4","previouslyFormattedCitation":"&lt;sup&gt;4&lt;/sup&gt;"},"properties":{"noteIndex":0},"schema":"https://github.com/citation-style-language/schema/raw/master/csl-citation.json"}</w:instrText>
      </w:r>
      <w:r w:rsidR="00223247">
        <w:fldChar w:fldCharType="separate"/>
      </w:r>
      <w:r w:rsidR="009C3C05" w:rsidRPr="009C3C05">
        <w:rPr>
          <w:noProof/>
          <w:vertAlign w:val="superscript"/>
        </w:rPr>
        <w:t>4</w:t>
      </w:r>
      <w:r w:rsidR="00223247">
        <w:fldChar w:fldCharType="end"/>
      </w:r>
      <w:r>
        <w:t>.</w:t>
      </w:r>
    </w:p>
    <w:p w14:paraId="65A56152" w14:textId="77777777" w:rsidR="007C00A4" w:rsidRDefault="007C00A4" w:rsidP="007C00A4"/>
    <w:p w14:paraId="4CA7B4C0" w14:textId="721DEEF4" w:rsidR="00452624" w:rsidRPr="00452624" w:rsidRDefault="00452624">
      <w:pPr>
        <w:rPr>
          <w:b/>
          <w:bCs/>
          <w:u w:val="single"/>
        </w:rPr>
      </w:pPr>
      <w:r w:rsidRPr="00452624">
        <w:rPr>
          <w:b/>
          <w:bCs/>
          <w:u w:val="single"/>
        </w:rPr>
        <w:t>ANALYSIS</w:t>
      </w:r>
    </w:p>
    <w:p w14:paraId="632400E5" w14:textId="4C781E78" w:rsidR="00153CDE" w:rsidRDefault="00153CDE" w:rsidP="000A623E"/>
    <w:p w14:paraId="0E80FE86" w14:textId="41AF4BC5" w:rsidR="009C3C05" w:rsidRDefault="009C3C05" w:rsidP="000A623E">
      <w:r>
        <w:t>Subject demographics comparison: subject age, biological sex, race/ethnicity,</w:t>
      </w:r>
      <w:r w:rsidR="00026A22">
        <w:t xml:space="preserve"> and total PCSI scores will be compared. </w:t>
      </w:r>
      <w:r w:rsidR="00570BFF">
        <w:t xml:space="preserve">Further, PCSI headache and </w:t>
      </w:r>
      <w:proofErr w:type="spellStart"/>
      <w:r w:rsidR="00570BFF">
        <w:t>migrainous</w:t>
      </w:r>
      <w:proofErr w:type="spellEnd"/>
      <w:r w:rsidR="00570BFF">
        <w:t xml:space="preserve"> symptom scores (</w:t>
      </w:r>
      <w:proofErr w:type="gramStart"/>
      <w:r w:rsidR="00570BFF">
        <w:t>i.e.</w:t>
      </w:r>
      <w:proofErr w:type="gramEnd"/>
      <w:r w:rsidR="00570BFF">
        <w:t xml:space="preserve"> light sensitivity, sounds sensitivity, and nausea) will</w:t>
      </w:r>
      <w:r w:rsidR="006E088B">
        <w:t xml:space="preserve"> also be compared. For post-concussion subjects, the distribution of days post-concussion will be compared. </w:t>
      </w:r>
      <w:r w:rsidR="00026A22">
        <w:t>Proportions will be compared with a proportional z-test, and distributions (</w:t>
      </w:r>
      <w:proofErr w:type="spellStart"/>
      <w:r w:rsidR="00026A22">
        <w:t>eg.</w:t>
      </w:r>
      <w:proofErr w:type="spellEnd"/>
      <w:r w:rsidR="00026A22">
        <w:t xml:space="preserve"> age, PCSI) will be compared with using KS test.</w:t>
      </w:r>
    </w:p>
    <w:p w14:paraId="4FA6C8F4" w14:textId="77777777" w:rsidR="009C3C05" w:rsidRDefault="009C3C05" w:rsidP="000A623E"/>
    <w:p w14:paraId="4F458D57" w14:textId="11E89277" w:rsidR="009C3C05" w:rsidRPr="00026A22" w:rsidRDefault="009C3C05" w:rsidP="000A623E">
      <w:pPr>
        <w:rPr>
          <w:u w:val="single"/>
        </w:rPr>
      </w:pPr>
      <w:r w:rsidRPr="00026A22">
        <w:rPr>
          <w:u w:val="single"/>
        </w:rPr>
        <w:lastRenderedPageBreak/>
        <w:t>Primary outcome</w:t>
      </w:r>
      <w:r w:rsidR="00026A22" w:rsidRPr="00026A22">
        <w:rPr>
          <w:u w:val="single"/>
        </w:rPr>
        <w:t xml:space="preserve"> measure</w:t>
      </w:r>
    </w:p>
    <w:p w14:paraId="224799FA" w14:textId="038ED270" w:rsidR="00026A22" w:rsidRDefault="00026A22" w:rsidP="000A623E">
      <w:r>
        <w:t xml:space="preserve">The primary outcome measure will be comparison of PTH, recovered concussion, and healthy control subject’s </w:t>
      </w:r>
      <w:proofErr w:type="spellStart"/>
      <w:r>
        <w:t>prVEP</w:t>
      </w:r>
      <w:proofErr w:type="spellEnd"/>
      <w:r>
        <w:t xml:space="preserve"> as represented in 7-dimensional PCA space</w:t>
      </w:r>
      <w:r>
        <w:fldChar w:fldCharType="begin" w:fldLock="1"/>
      </w:r>
      <w:r w:rsidR="006E088B">
        <w:instrText>ADDIN CSL_CITATION {"citationItems":[{"id":"ITEM-1","itemData":{"DOI":"10.1167/tvst.10.4.1","ISSN":"2164-2591","author":[{"dropping-particle":"","family":"Patterson Gentile","given":"Carlyn","non-dropping-particle":"","parse-names":false,"suffix":""},{"dropping-particle":"","family":"Joshi","given":"Nabin R.","non-dropping-particle":"","parse-names":false,"suffix":""},{"dropping-particle":"","family":"Ciuffreda","given":"Kenneth J.","non-dropping-particle":"","parse-names":false,"suffix":""},{"dropping-particle":"","family":"Arbogast","given":"Kristy B.","non-dropping-particle":"","parse-names":false,"suffix":""},{"dropping-particle":"","family":"Master","given":"Christina","non-dropping-particle":"","parse-names":false,"suffix":""},{"dropping-particle":"","family":"Aguirre","given":"Geoffrey K.","non-dropping-particle":"","parse-names":false,"suffix":""}],"container-title":"Translational Vision Science &amp; Technology","id":"ITEM-1","issue":"4","issued":{"date-parts":[["2021","4","1"]]},"title":"Developmental Effects on Pattern Visual Evoked Potentials Characterized by Principal Component Analysis","type":"article-journal","volume":"10"},"uris":["http://www.mendeley.com/documents/?uuid=7b0f8017-8180-34de-be06-dad907afb6e0"]}],"mendeley":{"formattedCitation":"&lt;sup&gt;4&lt;/sup&gt;","plainTextFormattedCitation":"4","previouslyFormattedCitation":"&lt;sup&gt;4&lt;/sup&gt;"},"properties":{"noteIndex":0},"schema":"https://github.com/citation-style-language/schema/raw/master/csl-citation.json"}</w:instrText>
      </w:r>
      <w:r>
        <w:fldChar w:fldCharType="separate"/>
      </w:r>
      <w:r w:rsidRPr="009C3C05">
        <w:rPr>
          <w:noProof/>
          <w:vertAlign w:val="superscript"/>
        </w:rPr>
        <w:t>4</w:t>
      </w:r>
      <w:r>
        <w:fldChar w:fldCharType="end"/>
      </w:r>
      <w:r>
        <w:t xml:space="preserve"> using a linear regression model.</w:t>
      </w:r>
      <w:r w:rsidR="006E088B">
        <w:t xml:space="preserve"> ANOVA of the 7-dimensional model, and for individual PCs accounting for multiple comparisons will be used for statistical analysis of the linear regression model. PC </w:t>
      </w:r>
      <w:proofErr w:type="spellStart"/>
      <w:r w:rsidR="006E088B">
        <w:t>coefficents</w:t>
      </w:r>
      <w:proofErr w:type="spellEnd"/>
      <w:r w:rsidR="006E088B">
        <w:t xml:space="preserve"> will be adjusted for age and biological sex to remove potentially confounding differences between the groups.</w:t>
      </w:r>
    </w:p>
    <w:p w14:paraId="6E16D7CA" w14:textId="7D614070" w:rsidR="009C3C05" w:rsidRDefault="009C3C05" w:rsidP="000A623E"/>
    <w:p w14:paraId="16F203CC" w14:textId="5CD99813" w:rsidR="009C3C05" w:rsidRPr="00026A22" w:rsidRDefault="009C3C05" w:rsidP="000A623E">
      <w:pPr>
        <w:rPr>
          <w:u w:val="single"/>
        </w:rPr>
      </w:pPr>
      <w:r w:rsidRPr="00026A22">
        <w:rPr>
          <w:u w:val="single"/>
        </w:rPr>
        <w:t>Secondary outcomes/additional analysis</w:t>
      </w:r>
    </w:p>
    <w:p w14:paraId="3B8EB726" w14:textId="40D0BADF" w:rsidR="009C3C05" w:rsidRDefault="009C3C05" w:rsidP="009C3C05">
      <w:pPr>
        <w:pStyle w:val="ListParagraph"/>
        <w:numPr>
          <w:ilvl w:val="0"/>
          <w:numId w:val="7"/>
        </w:numPr>
      </w:pPr>
      <w:r>
        <w:t>Peak analysis on the N75-P100 peak amplitude and N75 and P100 peak latencies to compare to prior work.</w:t>
      </w:r>
    </w:p>
    <w:p w14:paraId="5B80CB03" w14:textId="6AEEBCCA" w:rsidR="009C3C05" w:rsidRDefault="00570BFF" w:rsidP="009C3C05">
      <w:pPr>
        <w:pStyle w:val="ListParagraph"/>
        <w:numPr>
          <w:ilvl w:val="0"/>
          <w:numId w:val="7"/>
        </w:numPr>
      </w:pPr>
      <w:r>
        <w:t>For all concussion subjec</w:t>
      </w:r>
      <w:r w:rsidR="006E088B">
        <w:t xml:space="preserve">ts, </w:t>
      </w:r>
      <w:proofErr w:type="spellStart"/>
      <w:r w:rsidR="006E088B">
        <w:t>prVEPs</w:t>
      </w:r>
      <w:proofErr w:type="spellEnd"/>
      <w:r w:rsidR="006E088B">
        <w:t xml:space="preserve"> represented in 7-dimensional PCA space will be included in a linear regression model with headache represented on a 7-point Likert scale with and without </w:t>
      </w:r>
      <w:proofErr w:type="spellStart"/>
      <w:r w:rsidR="006E088B">
        <w:t>migrainous</w:t>
      </w:r>
      <w:proofErr w:type="spellEnd"/>
      <w:r w:rsidR="006E088B">
        <w:t xml:space="preserve"> features (light sensitivity, sound sensitivity, and nausea).</w:t>
      </w:r>
    </w:p>
    <w:p w14:paraId="35E3C45C" w14:textId="330607CD" w:rsidR="009C3C05" w:rsidRDefault="009C3C05" w:rsidP="009C3C05">
      <w:pPr>
        <w:pStyle w:val="ListParagraph"/>
        <w:numPr>
          <w:ilvl w:val="0"/>
          <w:numId w:val="7"/>
        </w:numPr>
      </w:pPr>
      <w:r>
        <w:t xml:space="preserve">Waveforms will be displayed by calculating the mean </w:t>
      </w:r>
      <w:proofErr w:type="spellStart"/>
      <w:r>
        <w:t>prVEP</w:t>
      </w:r>
      <w:proofErr w:type="spellEnd"/>
      <w:r>
        <w:t xml:space="preserve"> response and calculating the </w:t>
      </w:r>
      <w:r w:rsidR="006E088B">
        <w:t>95% confidence intervals by bootstrap analysis.</w:t>
      </w:r>
    </w:p>
    <w:p w14:paraId="0966209D" w14:textId="2D699338" w:rsidR="006E088B" w:rsidRDefault="006E088B" w:rsidP="009C3C05">
      <w:pPr>
        <w:pStyle w:val="ListParagraph"/>
        <w:numPr>
          <w:ilvl w:val="0"/>
          <w:numId w:val="7"/>
        </w:numPr>
      </w:pPr>
      <w:r>
        <w:t>The presence/absence of signs and symptoms of visual discomfort will be put in a multiple correspondence analysis and used in a linear regression model to compare the PTH, recovered concussion, and healthy control groups</w:t>
      </w:r>
    </w:p>
    <w:p w14:paraId="464187A9" w14:textId="35ED9CFB" w:rsidR="006E088B" w:rsidRDefault="006E088B" w:rsidP="006E088B"/>
    <w:p w14:paraId="77AC178E" w14:textId="2010A2A4" w:rsidR="006E088B" w:rsidRDefault="006E088B" w:rsidP="006E088B"/>
    <w:p w14:paraId="393C3164" w14:textId="6500E390" w:rsidR="006E088B" w:rsidRPr="006E088B" w:rsidRDefault="006E088B" w:rsidP="006E088B">
      <w:pPr>
        <w:rPr>
          <w:b/>
          <w:bCs/>
        </w:rPr>
      </w:pPr>
      <w:r w:rsidRPr="006E088B">
        <w:rPr>
          <w:b/>
          <w:bCs/>
        </w:rPr>
        <w:t>REFERENCES</w:t>
      </w:r>
    </w:p>
    <w:p w14:paraId="5572D006" w14:textId="6EEE58A0" w:rsidR="006E088B" w:rsidRPr="006E088B" w:rsidRDefault="006E088B" w:rsidP="006E088B">
      <w:pPr>
        <w:widowControl w:val="0"/>
        <w:autoSpaceDE w:val="0"/>
        <w:autoSpaceDN w:val="0"/>
        <w:adjustRightInd w:val="0"/>
        <w:ind w:left="640" w:hanging="640"/>
        <w:rPr>
          <w:rFonts w:ascii="Calibri" w:hAnsi="Calibri" w:cs="Times New Roman"/>
          <w:noProof/>
        </w:rPr>
      </w:pPr>
      <w:r>
        <w:fldChar w:fldCharType="begin" w:fldLock="1"/>
      </w:r>
      <w:r>
        <w:instrText xml:space="preserve">ADDIN Mendeley Bibliography CSL_BIBLIOGRAPHY </w:instrText>
      </w:r>
      <w:r>
        <w:fldChar w:fldCharType="separate"/>
      </w:r>
      <w:r w:rsidRPr="006E088B">
        <w:rPr>
          <w:rFonts w:ascii="Calibri" w:hAnsi="Calibri" w:cs="Times New Roman"/>
          <w:noProof/>
        </w:rPr>
        <w:t>1.</w:t>
      </w:r>
      <w:r w:rsidRPr="006E088B">
        <w:rPr>
          <w:rFonts w:ascii="Calibri" w:hAnsi="Calibri" w:cs="Times New Roman"/>
          <w:noProof/>
        </w:rPr>
        <w:tab/>
        <w:t xml:space="preserve">Barlow, K. M. </w:t>
      </w:r>
      <w:r w:rsidRPr="006E088B">
        <w:rPr>
          <w:rFonts w:ascii="Calibri" w:hAnsi="Calibri" w:cs="Times New Roman"/>
          <w:i/>
          <w:iCs/>
          <w:noProof/>
        </w:rPr>
        <w:t>et al.</w:t>
      </w:r>
      <w:r w:rsidRPr="006E088B">
        <w:rPr>
          <w:rFonts w:ascii="Calibri" w:hAnsi="Calibri" w:cs="Times New Roman"/>
          <w:noProof/>
        </w:rPr>
        <w:t xml:space="preserve"> Epidemiology of Postconcussion Syndrome in Pediatric Mild Traumatic Brain Injury. </w:t>
      </w:r>
      <w:r w:rsidRPr="006E088B">
        <w:rPr>
          <w:rFonts w:ascii="Calibri" w:hAnsi="Calibri" w:cs="Times New Roman"/>
          <w:i/>
          <w:iCs/>
          <w:noProof/>
        </w:rPr>
        <w:t>Pediatrics</w:t>
      </w:r>
      <w:r w:rsidRPr="006E088B">
        <w:rPr>
          <w:rFonts w:ascii="Calibri" w:hAnsi="Calibri" w:cs="Times New Roman"/>
          <w:noProof/>
        </w:rPr>
        <w:t xml:space="preserve"> (2010). doi:10.1542/peds.2009-0925</w:t>
      </w:r>
    </w:p>
    <w:p w14:paraId="30A34D9F" w14:textId="77777777" w:rsidR="006E088B" w:rsidRPr="006E088B" w:rsidRDefault="006E088B" w:rsidP="006E088B">
      <w:pPr>
        <w:widowControl w:val="0"/>
        <w:autoSpaceDE w:val="0"/>
        <w:autoSpaceDN w:val="0"/>
        <w:adjustRightInd w:val="0"/>
        <w:ind w:left="640" w:hanging="640"/>
        <w:rPr>
          <w:rFonts w:ascii="Calibri" w:hAnsi="Calibri" w:cs="Times New Roman"/>
          <w:noProof/>
        </w:rPr>
      </w:pPr>
      <w:r w:rsidRPr="006E088B">
        <w:rPr>
          <w:rFonts w:ascii="Calibri" w:hAnsi="Calibri" w:cs="Times New Roman"/>
          <w:noProof/>
        </w:rPr>
        <w:t>2.</w:t>
      </w:r>
      <w:r w:rsidRPr="006E088B">
        <w:rPr>
          <w:rFonts w:ascii="Calibri" w:hAnsi="Calibri" w:cs="Times New Roman"/>
          <w:noProof/>
        </w:rPr>
        <w:tab/>
        <w:t xml:space="preserve">Chen, W. T. </w:t>
      </w:r>
      <w:r w:rsidRPr="006E088B">
        <w:rPr>
          <w:rFonts w:ascii="Calibri" w:hAnsi="Calibri" w:cs="Times New Roman"/>
          <w:i/>
          <w:iCs/>
          <w:noProof/>
        </w:rPr>
        <w:t>et al.</w:t>
      </w:r>
      <w:r w:rsidRPr="006E088B">
        <w:rPr>
          <w:rFonts w:ascii="Calibri" w:hAnsi="Calibri" w:cs="Times New Roman"/>
          <w:noProof/>
        </w:rPr>
        <w:t xml:space="preserve"> Persistent ictal-like visual cortical excitability in chronic migraine. </w:t>
      </w:r>
      <w:r w:rsidRPr="006E088B">
        <w:rPr>
          <w:rFonts w:ascii="Calibri" w:hAnsi="Calibri" w:cs="Times New Roman"/>
          <w:i/>
          <w:iCs/>
          <w:noProof/>
        </w:rPr>
        <w:t>Pain</w:t>
      </w:r>
      <w:r w:rsidRPr="006E088B">
        <w:rPr>
          <w:rFonts w:ascii="Calibri" w:hAnsi="Calibri" w:cs="Times New Roman"/>
          <w:noProof/>
        </w:rPr>
        <w:t xml:space="preserve"> (2011). doi:10.1016/j.pain.2010.08.047</w:t>
      </w:r>
    </w:p>
    <w:p w14:paraId="03E5A5A1" w14:textId="77777777" w:rsidR="006E088B" w:rsidRPr="006E088B" w:rsidRDefault="006E088B" w:rsidP="006E088B">
      <w:pPr>
        <w:widowControl w:val="0"/>
        <w:autoSpaceDE w:val="0"/>
        <w:autoSpaceDN w:val="0"/>
        <w:adjustRightInd w:val="0"/>
        <w:ind w:left="640" w:hanging="640"/>
        <w:rPr>
          <w:rFonts w:ascii="Calibri" w:hAnsi="Calibri" w:cs="Times New Roman"/>
          <w:noProof/>
        </w:rPr>
      </w:pPr>
      <w:r w:rsidRPr="006E088B">
        <w:rPr>
          <w:rFonts w:ascii="Calibri" w:hAnsi="Calibri" w:cs="Times New Roman"/>
          <w:noProof/>
        </w:rPr>
        <w:t>3.</w:t>
      </w:r>
      <w:r w:rsidRPr="006E088B">
        <w:rPr>
          <w:rFonts w:ascii="Calibri" w:hAnsi="Calibri" w:cs="Times New Roman"/>
          <w:noProof/>
        </w:rPr>
        <w:tab/>
        <w:t xml:space="preserve">Odom, J. V. </w:t>
      </w:r>
      <w:r w:rsidRPr="006E088B">
        <w:rPr>
          <w:rFonts w:ascii="Calibri" w:hAnsi="Calibri" w:cs="Times New Roman"/>
          <w:i/>
          <w:iCs/>
          <w:noProof/>
        </w:rPr>
        <w:t>et al.</w:t>
      </w:r>
      <w:r w:rsidRPr="006E088B">
        <w:rPr>
          <w:rFonts w:ascii="Calibri" w:hAnsi="Calibri" w:cs="Times New Roman"/>
          <w:noProof/>
        </w:rPr>
        <w:t xml:space="preserve"> ISCEV standard for clinical visual evoked potentials: (2016 update). </w:t>
      </w:r>
      <w:r w:rsidRPr="006E088B">
        <w:rPr>
          <w:rFonts w:ascii="Calibri" w:hAnsi="Calibri" w:cs="Times New Roman"/>
          <w:i/>
          <w:iCs/>
          <w:noProof/>
        </w:rPr>
        <w:t>Doc. Ophthalmol.</w:t>
      </w:r>
      <w:r w:rsidRPr="006E088B">
        <w:rPr>
          <w:rFonts w:ascii="Calibri" w:hAnsi="Calibri" w:cs="Times New Roman"/>
          <w:noProof/>
        </w:rPr>
        <w:t xml:space="preserve"> </w:t>
      </w:r>
      <w:r w:rsidRPr="006E088B">
        <w:rPr>
          <w:rFonts w:ascii="Calibri" w:hAnsi="Calibri" w:cs="Times New Roman"/>
          <w:b/>
          <w:bCs/>
          <w:noProof/>
        </w:rPr>
        <w:t>133</w:t>
      </w:r>
      <w:r w:rsidRPr="006E088B">
        <w:rPr>
          <w:rFonts w:ascii="Calibri" w:hAnsi="Calibri" w:cs="Times New Roman"/>
          <w:noProof/>
        </w:rPr>
        <w:t>, 1–9 (2016).</w:t>
      </w:r>
    </w:p>
    <w:p w14:paraId="1C0FD54D" w14:textId="77777777" w:rsidR="006E088B" w:rsidRPr="006E088B" w:rsidRDefault="006E088B" w:rsidP="006E088B">
      <w:pPr>
        <w:widowControl w:val="0"/>
        <w:autoSpaceDE w:val="0"/>
        <w:autoSpaceDN w:val="0"/>
        <w:adjustRightInd w:val="0"/>
        <w:ind w:left="640" w:hanging="640"/>
        <w:rPr>
          <w:rFonts w:ascii="Calibri" w:hAnsi="Calibri"/>
          <w:noProof/>
        </w:rPr>
      </w:pPr>
      <w:r w:rsidRPr="006E088B">
        <w:rPr>
          <w:rFonts w:ascii="Calibri" w:hAnsi="Calibri" w:cs="Times New Roman"/>
          <w:noProof/>
        </w:rPr>
        <w:t>4.</w:t>
      </w:r>
      <w:r w:rsidRPr="006E088B">
        <w:rPr>
          <w:rFonts w:ascii="Calibri" w:hAnsi="Calibri" w:cs="Times New Roman"/>
          <w:noProof/>
        </w:rPr>
        <w:tab/>
        <w:t xml:space="preserve">Patterson Gentile, C. </w:t>
      </w:r>
      <w:r w:rsidRPr="006E088B">
        <w:rPr>
          <w:rFonts w:ascii="Calibri" w:hAnsi="Calibri" w:cs="Times New Roman"/>
          <w:i/>
          <w:iCs/>
          <w:noProof/>
        </w:rPr>
        <w:t>et al.</w:t>
      </w:r>
      <w:r w:rsidRPr="006E088B">
        <w:rPr>
          <w:rFonts w:ascii="Calibri" w:hAnsi="Calibri" w:cs="Times New Roman"/>
          <w:noProof/>
        </w:rPr>
        <w:t xml:space="preserve"> Developmental Effects on Pattern Visual Evoked Potentials Characterized by Principal Component Analysis. </w:t>
      </w:r>
      <w:r w:rsidRPr="006E088B">
        <w:rPr>
          <w:rFonts w:ascii="Calibri" w:hAnsi="Calibri" w:cs="Times New Roman"/>
          <w:i/>
          <w:iCs/>
          <w:noProof/>
        </w:rPr>
        <w:t>Transl. Vis. Sci. Technol.</w:t>
      </w:r>
      <w:r w:rsidRPr="006E088B">
        <w:rPr>
          <w:rFonts w:ascii="Calibri" w:hAnsi="Calibri" w:cs="Times New Roman"/>
          <w:noProof/>
        </w:rPr>
        <w:t xml:space="preserve"> </w:t>
      </w:r>
      <w:r w:rsidRPr="006E088B">
        <w:rPr>
          <w:rFonts w:ascii="Calibri" w:hAnsi="Calibri" w:cs="Times New Roman"/>
          <w:b/>
          <w:bCs/>
          <w:noProof/>
        </w:rPr>
        <w:t>10</w:t>
      </w:r>
      <w:r w:rsidRPr="006E088B">
        <w:rPr>
          <w:rFonts w:ascii="Calibri" w:hAnsi="Calibri" w:cs="Times New Roman"/>
          <w:noProof/>
        </w:rPr>
        <w:t>, (2021).</w:t>
      </w:r>
    </w:p>
    <w:p w14:paraId="6E26EBAB" w14:textId="2676AD36" w:rsidR="006E088B" w:rsidRDefault="006E088B" w:rsidP="006E088B">
      <w:r>
        <w:fldChar w:fldCharType="end"/>
      </w:r>
    </w:p>
    <w:sectPr w:rsidR="006E08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BA6910"/>
    <w:multiLevelType w:val="hybridMultilevel"/>
    <w:tmpl w:val="7AFEC354"/>
    <w:lvl w:ilvl="0" w:tplc="3EB2B8EA">
      <w:start w:val="66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C97C80"/>
    <w:multiLevelType w:val="hybridMultilevel"/>
    <w:tmpl w:val="467ED7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ED2C01"/>
    <w:multiLevelType w:val="hybridMultilevel"/>
    <w:tmpl w:val="4D88F3AA"/>
    <w:lvl w:ilvl="0" w:tplc="EABCED96">
      <w:start w:val="66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1A7DD4"/>
    <w:multiLevelType w:val="hybridMultilevel"/>
    <w:tmpl w:val="7B54C6CE"/>
    <w:lvl w:ilvl="0" w:tplc="FF8ADF2E">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EA826D1"/>
    <w:multiLevelType w:val="hybridMultilevel"/>
    <w:tmpl w:val="9FB440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C54C70"/>
    <w:multiLevelType w:val="hybridMultilevel"/>
    <w:tmpl w:val="0B900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7403541"/>
    <w:multiLevelType w:val="hybridMultilevel"/>
    <w:tmpl w:val="754A24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2"/>
  </w:num>
  <w:num w:numId="5">
    <w:abstractNumId w:val="6"/>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DDB"/>
    <w:rsid w:val="00026A22"/>
    <w:rsid w:val="000A623E"/>
    <w:rsid w:val="000A6F0D"/>
    <w:rsid w:val="000B266E"/>
    <w:rsid w:val="00106F3C"/>
    <w:rsid w:val="00153CDE"/>
    <w:rsid w:val="0015619F"/>
    <w:rsid w:val="001E4BAB"/>
    <w:rsid w:val="0022081A"/>
    <w:rsid w:val="00223247"/>
    <w:rsid w:val="00253A46"/>
    <w:rsid w:val="002E4105"/>
    <w:rsid w:val="00310E4B"/>
    <w:rsid w:val="00371BFC"/>
    <w:rsid w:val="003822CE"/>
    <w:rsid w:val="003C49DE"/>
    <w:rsid w:val="00431762"/>
    <w:rsid w:val="00452624"/>
    <w:rsid w:val="004706C4"/>
    <w:rsid w:val="00491F6F"/>
    <w:rsid w:val="004B472E"/>
    <w:rsid w:val="004C2320"/>
    <w:rsid w:val="004F0528"/>
    <w:rsid w:val="00570BFF"/>
    <w:rsid w:val="005E2F9C"/>
    <w:rsid w:val="006E088B"/>
    <w:rsid w:val="006E37A4"/>
    <w:rsid w:val="006E69AF"/>
    <w:rsid w:val="00730AEB"/>
    <w:rsid w:val="00730D6F"/>
    <w:rsid w:val="007577AE"/>
    <w:rsid w:val="007C00A4"/>
    <w:rsid w:val="00854778"/>
    <w:rsid w:val="00874557"/>
    <w:rsid w:val="008C76FD"/>
    <w:rsid w:val="00937E18"/>
    <w:rsid w:val="00956B32"/>
    <w:rsid w:val="009C3C05"/>
    <w:rsid w:val="009E3C90"/>
    <w:rsid w:val="009E4503"/>
    <w:rsid w:val="009F4A79"/>
    <w:rsid w:val="00A30F67"/>
    <w:rsid w:val="00A63BBB"/>
    <w:rsid w:val="00B47ADC"/>
    <w:rsid w:val="00B6767D"/>
    <w:rsid w:val="00B77DDB"/>
    <w:rsid w:val="00C10C25"/>
    <w:rsid w:val="00C4543F"/>
    <w:rsid w:val="00CA15BC"/>
    <w:rsid w:val="00CB6D02"/>
    <w:rsid w:val="00CC3BB2"/>
    <w:rsid w:val="00D4096C"/>
    <w:rsid w:val="00E56579"/>
    <w:rsid w:val="00EF712A"/>
    <w:rsid w:val="00F42C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6FEAF"/>
  <w15:chartTrackingRefBased/>
  <w15:docId w15:val="{1003016D-0D9B-D84B-9201-D0D189E05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6F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B65386-8B8D-1843-9678-8BE6D126F3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2</Pages>
  <Words>2425</Words>
  <Characters>13827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Carlyn Patterson Gentile</cp:lastModifiedBy>
  <cp:revision>6</cp:revision>
  <dcterms:created xsi:type="dcterms:W3CDTF">2021-04-03T19:18:00Z</dcterms:created>
  <dcterms:modified xsi:type="dcterms:W3CDTF">2021-04-03T20:09:00Z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f3c07bfb-3c8e-393e-ad72-f601f0157f69</vt:lpwstr>
  </property>
  <property fmtid="{D5CDD505-2E9C-101B-9397-08002B2CF9AE}" pid="24" name="Mendeley Citation Style_1">
    <vt:lpwstr>http://www.zotero.org/styles/nature</vt:lpwstr>
  </property>
</Properties>
</file>