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384E3A5E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E63018" w:rsidRPr="00000F4C">
        <w:rPr>
          <w:rFonts w:cs="Calibri"/>
        </w:rPr>
        <w:t xml:space="preserve">Multicenter </w:t>
      </w:r>
      <w:r w:rsidR="003C6883">
        <w:rPr>
          <w:rFonts w:cs="Calibri"/>
        </w:rPr>
        <w:t>evaluation</w:t>
      </w:r>
      <w:r w:rsidR="00E63018" w:rsidRPr="00000F4C">
        <w:rPr>
          <w:rFonts w:cs="Calibri"/>
        </w:rPr>
        <w:t xml:space="preserve"> of </w:t>
      </w:r>
      <w:r w:rsidR="001471BF" w:rsidRPr="00000F4C">
        <w:rPr>
          <w:rFonts w:cs="Calibri"/>
        </w:rPr>
        <w:t xml:space="preserve">headache-associated </w:t>
      </w:r>
      <w:r w:rsidR="005950B5" w:rsidRPr="00000F4C">
        <w:rPr>
          <w:rFonts w:cs="Calibri"/>
        </w:rPr>
        <w:t>symptom clusters</w:t>
      </w:r>
      <w:r w:rsidR="001471BF" w:rsidRPr="00000F4C">
        <w:rPr>
          <w:rFonts w:cs="Calibri"/>
        </w:rPr>
        <w:t xml:space="preserve"> </w:t>
      </w:r>
      <w:r w:rsidR="005950B5" w:rsidRPr="00000F4C">
        <w:rPr>
          <w:rFonts w:cs="Calibri"/>
        </w:rPr>
        <w:t>in youth</w:t>
      </w:r>
      <w:r w:rsidR="003C6883">
        <w:rPr>
          <w:rFonts w:cs="Calibri"/>
        </w:rPr>
        <w:t xml:space="preserve"> using multiple correspondence analysis.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Pr="00000F4C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1A738267" w14:textId="217CF89B" w:rsidR="00E63018" w:rsidRPr="00000F4C" w:rsidRDefault="00E63018">
      <w:pPr>
        <w:pStyle w:val="BodyA"/>
        <w:rPr>
          <w:rFonts w:cs="Calibri"/>
        </w:rPr>
      </w:pPr>
      <w:r w:rsidRPr="00000F4C">
        <w:rPr>
          <w:rFonts w:cs="Calibri"/>
        </w:rPr>
        <w:t xml:space="preserve">Andrew </w:t>
      </w:r>
      <w:r w:rsidR="002B09AC">
        <w:rPr>
          <w:rFonts w:cs="Calibri"/>
        </w:rPr>
        <w:t xml:space="preserve">D. </w:t>
      </w:r>
      <w:r w:rsidRPr="00000F4C">
        <w:rPr>
          <w:rFonts w:cs="Calibri"/>
        </w:rPr>
        <w:t>Hershey</w:t>
      </w:r>
    </w:p>
    <w:p w14:paraId="54B818E1" w14:textId="1A968BC0" w:rsidR="00E63018" w:rsidRPr="00000F4C" w:rsidRDefault="00E63018" w:rsidP="00E63018">
      <w:pPr>
        <w:pStyle w:val="BodyA"/>
        <w:rPr>
          <w:rFonts w:cs="Calibri"/>
        </w:rPr>
      </w:pPr>
      <w:r w:rsidRPr="00000F4C">
        <w:rPr>
          <w:rFonts w:cs="Calibri"/>
        </w:rPr>
        <w:t xml:space="preserve">Christina </w:t>
      </w:r>
      <w:r w:rsidR="002B09AC">
        <w:rPr>
          <w:rFonts w:cs="Calibri"/>
        </w:rPr>
        <w:t xml:space="preserve">L. </w:t>
      </w:r>
      <w:proofErr w:type="spellStart"/>
      <w:r w:rsidRPr="00000F4C">
        <w:rPr>
          <w:rFonts w:cs="Calibri"/>
        </w:rPr>
        <w:t>Szperka</w:t>
      </w:r>
      <w:proofErr w:type="spellEnd"/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B8C5E24" w14:textId="5C507073" w:rsidR="004F143B" w:rsidRPr="00000F4C" w:rsidRDefault="003F5B4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if similar headache-associated symptom clusters are seen </w:t>
      </w:r>
      <w:r w:rsidR="0060378B" w:rsidRPr="00000F4C">
        <w:rPr>
          <w:rFonts w:cs="Calibri"/>
        </w:rPr>
        <w:t>across two tertiary pediatric care centers.</w:t>
      </w:r>
    </w:p>
    <w:p w14:paraId="5C35B6FB" w14:textId="77777777" w:rsidR="0060378B" w:rsidRPr="00000F4C" w:rsidRDefault="0060378B">
      <w:pPr>
        <w:pStyle w:val="BodyA"/>
        <w:rPr>
          <w:rFonts w:cs="Calibri"/>
        </w:rPr>
      </w:pPr>
    </w:p>
    <w:p w14:paraId="52714F06" w14:textId="3E61ECC6" w:rsidR="0060378B" w:rsidRPr="00000F4C" w:rsidRDefault="0060378B">
      <w:pPr>
        <w:pStyle w:val="BodyA"/>
        <w:rPr>
          <w:rFonts w:cs="Calibri"/>
        </w:rPr>
      </w:pPr>
      <w:r w:rsidRPr="00000F4C">
        <w:rPr>
          <w:rFonts w:cs="Calibri"/>
        </w:rPr>
        <w:t>The secondary objective is to determine if headache-associated symptom clusters change over time.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68C6E770" w:rsidR="00CD43B8" w:rsidRPr="00000F4C" w:rsidRDefault="00AD272C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Primary Hypothesis:</w:t>
      </w:r>
      <w:r w:rsidRPr="00000F4C">
        <w:rPr>
          <w:rFonts w:cs="Calibri"/>
        </w:rPr>
        <w:t xml:space="preserve"> </w:t>
      </w:r>
      <w:r w:rsidR="00F20748" w:rsidRPr="00000F4C">
        <w:rPr>
          <w:rFonts w:cs="Calibri"/>
        </w:rPr>
        <w:t>Similar headache-associated symptom clusters will be seen</w:t>
      </w:r>
      <w:r w:rsidR="005F55E2" w:rsidRPr="00000F4C">
        <w:rPr>
          <w:rFonts w:cs="Calibri"/>
        </w:rPr>
        <w:t xml:space="preserve"> across two tertiary pediatric care centers. Such a finding would support canonical </w:t>
      </w:r>
      <w:r w:rsidR="00B950EB" w:rsidRPr="00000F4C">
        <w:rPr>
          <w:rFonts w:cs="Calibri"/>
        </w:rPr>
        <w:t>representations of headache-associated symptoms.</w:t>
      </w:r>
    </w:p>
    <w:p w14:paraId="686FE73F" w14:textId="77777777" w:rsidR="00CD43B8" w:rsidRPr="00000F4C" w:rsidRDefault="00CD43B8" w:rsidP="006D1E72">
      <w:pPr>
        <w:pStyle w:val="BodyA"/>
        <w:rPr>
          <w:rFonts w:cs="Calibri"/>
        </w:rPr>
      </w:pPr>
    </w:p>
    <w:p w14:paraId="561C89A1" w14:textId="210BC610" w:rsidR="004F143B" w:rsidRPr="00000F4C" w:rsidRDefault="00CD43B8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Secondary Hypothesis:</w:t>
      </w:r>
      <w:r w:rsidRPr="00000F4C">
        <w:rPr>
          <w:rFonts w:cs="Calibri"/>
        </w:rPr>
        <w:t xml:space="preserve"> Fewer headache-associated symptoms will </w:t>
      </w:r>
      <w:r w:rsidR="00C90CCD" w:rsidRPr="00000F4C">
        <w:rPr>
          <w:rFonts w:cs="Calibri"/>
        </w:rPr>
        <w:t xml:space="preserve">be </w:t>
      </w:r>
      <w:r w:rsidR="007A5820" w:rsidRPr="00000F4C">
        <w:rPr>
          <w:rFonts w:cs="Calibri"/>
        </w:rPr>
        <w:t xml:space="preserve">reported </w:t>
      </w:r>
      <w:r w:rsidR="00C90CCD" w:rsidRPr="00000F4C">
        <w:rPr>
          <w:rFonts w:cs="Calibri"/>
        </w:rPr>
        <w:t>w</w:t>
      </w:r>
      <w:r w:rsidR="007A5820" w:rsidRPr="00000F4C">
        <w:rPr>
          <w:rFonts w:cs="Calibri"/>
        </w:rPr>
        <w:t>ith</w:t>
      </w:r>
      <w:r w:rsidR="00C90CCD" w:rsidRPr="00000F4C">
        <w:rPr>
          <w:rFonts w:cs="Calibri"/>
        </w:rPr>
        <w:t xml:space="preserve"> improvement</w:t>
      </w:r>
      <w:r w:rsidR="00B950EB" w:rsidRPr="00000F4C">
        <w:rPr>
          <w:rFonts w:cs="Calibri"/>
        </w:rPr>
        <w:t xml:space="preserve"> in headache burden</w:t>
      </w:r>
      <w:r w:rsidR="007A5820" w:rsidRPr="00000F4C">
        <w:rPr>
          <w:rFonts w:cs="Calibri"/>
        </w:rPr>
        <w:t>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54EE43FF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>determine underlying associations between headache-associated symptoms in youth using a large single center headache registry</w:t>
      </w:r>
      <w:r w:rsidR="001D6393">
        <w:rPr>
          <w:rFonts w:cs="Calibri"/>
        </w:rPr>
        <w:t xml:space="preserve"> (Patterson Gentile et al, 2023)</w:t>
      </w:r>
      <w:r w:rsidR="003E4567">
        <w:rPr>
          <w:rFonts w:cs="Calibri"/>
        </w:rPr>
        <w:t xml:space="preserve">. However, it remains unclear </w:t>
      </w:r>
      <w:r w:rsidR="001D6393">
        <w:rPr>
          <w:rFonts w:cs="Calibri"/>
        </w:rPr>
        <w:t xml:space="preserve">if these findings </w:t>
      </w:r>
      <w:r w:rsidR="004828B3">
        <w:rPr>
          <w:rFonts w:cs="Calibri"/>
        </w:rPr>
        <w:t>will generalize to other populations of youth with headache.</w:t>
      </w:r>
      <w:r w:rsidR="007054A8">
        <w:rPr>
          <w:rFonts w:cs="Calibri"/>
        </w:rPr>
        <w:t xml:space="preserve"> To address this question, we will </w:t>
      </w:r>
      <w:r w:rsidR="004828B3">
        <w:rPr>
          <w:rFonts w:cs="Calibri"/>
        </w:rPr>
        <w:t xml:space="preserve">compare results of MCA from two </w:t>
      </w:r>
      <w:r w:rsidR="00275055">
        <w:rPr>
          <w:rFonts w:cs="Calibri"/>
        </w:rPr>
        <w:t xml:space="preserve">pediatric </w:t>
      </w:r>
      <w:r w:rsidR="004828B3">
        <w:rPr>
          <w:rFonts w:cs="Calibri"/>
        </w:rPr>
        <w:t xml:space="preserve">tertiary care </w:t>
      </w:r>
      <w:r w:rsidR="00275055">
        <w:rPr>
          <w:rFonts w:cs="Calibri"/>
        </w:rPr>
        <w:t xml:space="preserve">centers. </w:t>
      </w:r>
      <w:r w:rsidR="007054A8">
        <w:rPr>
          <w:rFonts w:cs="Calibri"/>
        </w:rPr>
        <w:t xml:space="preserve">Statistical simulations </w:t>
      </w:r>
      <w:r w:rsidR="00D274BE">
        <w:rPr>
          <w:rFonts w:cs="Calibri"/>
        </w:rPr>
        <w:t xml:space="preserve">of clinical risk prediction </w:t>
      </w:r>
      <w:r w:rsidR="007054A8">
        <w:rPr>
          <w:rFonts w:cs="Calibri"/>
        </w:rPr>
        <w:t xml:space="preserve">have demonstrated that </w:t>
      </w:r>
      <w:r w:rsidR="00D274BE">
        <w:rPr>
          <w:rFonts w:cs="Calibri"/>
        </w:rPr>
        <w:t xml:space="preserve">center-specific predictions </w:t>
      </w:r>
      <w:r w:rsidR="009C220A">
        <w:rPr>
          <w:rFonts w:cs="Calibri"/>
        </w:rPr>
        <w:t>offer the best predictive performance when data are heavily clustered by the center</w:t>
      </w:r>
      <w:r w:rsidR="00685BCC">
        <w:rPr>
          <w:rFonts w:cs="Calibri"/>
        </w:rPr>
        <w:t xml:space="preserve"> (Wynants et al, 2018)</w:t>
      </w:r>
      <w:r w:rsidR="009C220A">
        <w:rPr>
          <w:rFonts w:cs="Calibri"/>
        </w:rPr>
        <w:t>.</w:t>
      </w:r>
      <w:r w:rsidR="00AE60DC">
        <w:rPr>
          <w:rFonts w:cs="Calibri"/>
        </w:rPr>
        <w:t xml:space="preserve"> We will take this observation into account for statistical analysis.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7F431FFD" w14:textId="1DD1C07A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</w:rPr>
        <w:t xml:space="preserve">This is a pre-registered </w:t>
      </w:r>
      <w:r w:rsidR="006D1E72" w:rsidRPr="00000F4C">
        <w:rPr>
          <w:rFonts w:cs="Calibri"/>
        </w:rPr>
        <w:t>multi-</w:t>
      </w:r>
      <w:r w:rsidRPr="00000F4C">
        <w:rPr>
          <w:rFonts w:cs="Calibri"/>
        </w:rPr>
        <w:t xml:space="preserve">site cross-sectional study </w:t>
      </w:r>
      <w:r w:rsidR="00C84E79" w:rsidRPr="00000F4C">
        <w:rPr>
          <w:rFonts w:cs="Calibri"/>
        </w:rPr>
        <w:t xml:space="preserve">with a longitudinal arm </w:t>
      </w:r>
      <w:r w:rsidRPr="00000F4C">
        <w:rPr>
          <w:rFonts w:cs="Calibri"/>
        </w:rPr>
        <w:t>conducted from patient questionnaires collected at the Children’s Hospital of Philadelphia general neurology and headache outpatient clinics</w:t>
      </w:r>
      <w:r w:rsidR="006D1E72" w:rsidRPr="00000F4C">
        <w:rPr>
          <w:rFonts w:cs="Calibri"/>
        </w:rPr>
        <w:t xml:space="preserve"> and the Cincinnati Children’s Hospital outpatient headache clinic</w:t>
      </w:r>
      <w:r w:rsidRPr="00000F4C">
        <w:rPr>
          <w:rFonts w:cs="Calibri"/>
        </w:rPr>
        <w:t xml:space="preserve">. The study aims to </w:t>
      </w:r>
      <w:r w:rsidR="006D1E72" w:rsidRPr="00000F4C">
        <w:rPr>
          <w:rFonts w:cs="Calibri"/>
        </w:rPr>
        <w:t xml:space="preserve">assess the generalizability of findings from 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4DEE799E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47127E" w:rsidRPr="00000F4C">
        <w:rPr>
          <w:rFonts w:cs="Calibri"/>
        </w:rPr>
        <w:t xml:space="preserve">Youth must meet the following inclusion criteria. (1) ages 6 to 17 years old at the time the </w:t>
      </w:r>
      <w:r w:rsidR="001062AD" w:rsidRPr="00000F4C">
        <w:rPr>
          <w:rFonts w:cs="Calibri"/>
        </w:rPr>
        <w:t xml:space="preserve">intake </w:t>
      </w:r>
      <w:r w:rsidR="0047127E" w:rsidRPr="00000F4C">
        <w:rPr>
          <w:rFonts w:cs="Calibri"/>
        </w:rPr>
        <w:t>questionnaire was filled out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 xml:space="preserve">)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180754" w:rsidRPr="00000F4C">
        <w:rPr>
          <w:rFonts w:cs="Calibri"/>
        </w:rPr>
        <w:t xml:space="preserve"> or the</w:t>
      </w:r>
      <w:r w:rsidR="001C4069">
        <w:rPr>
          <w:rFonts w:cs="Calibri"/>
        </w:rPr>
        <w:t xml:space="preserve"> </w:t>
      </w:r>
      <w:r w:rsidR="001C4069">
        <w:rPr>
          <w:rFonts w:cs="Calibri"/>
        </w:rPr>
        <w:lastRenderedPageBreak/>
        <w:t>available</w:t>
      </w:r>
      <w:r w:rsidR="00180754" w:rsidRPr="00000F4C">
        <w:rPr>
          <w:rFonts w:cs="Calibri"/>
        </w:rPr>
        <w:t xml:space="preserve"> Cincinnati intake headache questionnaire</w:t>
      </w:r>
      <w:r w:rsidR="001C4069">
        <w:rPr>
          <w:rFonts w:cs="Calibri"/>
        </w:rPr>
        <w:t xml:space="preserve"> up through June 2023</w:t>
      </w:r>
      <w:r w:rsidR="0047127E" w:rsidRPr="00000F4C">
        <w:rPr>
          <w:rFonts w:cs="Calibri"/>
        </w:rPr>
        <w:t>; (5) any headache diagnosis</w:t>
      </w:r>
    </w:p>
    <w:p w14:paraId="58D9686C" w14:textId="77777777" w:rsidR="004F143B" w:rsidRPr="00000F4C" w:rsidRDefault="004F143B" w:rsidP="006D1E72">
      <w:pPr>
        <w:pStyle w:val="BodyA"/>
        <w:rPr>
          <w:rFonts w:cs="Calibri"/>
        </w:rPr>
      </w:pPr>
    </w:p>
    <w:p w14:paraId="4ED00027" w14:textId="26652304" w:rsidR="008D1910" w:rsidRPr="00000F4C" w:rsidRDefault="008D1910" w:rsidP="006D1E72">
      <w:pPr>
        <w:pStyle w:val="BodyA"/>
        <w:rPr>
          <w:rFonts w:cs="Calibri"/>
        </w:rPr>
      </w:pPr>
      <w:r w:rsidRPr="00000F4C">
        <w:rPr>
          <w:rFonts w:cs="Calibri"/>
        </w:rPr>
        <w:t>The timing of data capture differs because data missingness</w:t>
      </w:r>
      <w:r w:rsidR="0057435A" w:rsidRPr="00000F4C">
        <w:rPr>
          <w:rFonts w:cs="Calibri"/>
        </w:rPr>
        <w:t xml:space="preserve"> decreased substantially after quality improvement</w:t>
      </w:r>
      <w:r w:rsidR="005E04F6" w:rsidRPr="00000F4C">
        <w:rPr>
          <w:rFonts w:cs="Calibri"/>
        </w:rPr>
        <w:t>s were enacted at CHOP after November 2022.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77777777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Pr="00000F4C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(1) data outside of the designated age (2) outside the date collection range </w:t>
      </w:r>
    </w:p>
    <w:p w14:paraId="47A7DA04" w14:textId="77777777" w:rsidR="004F143B" w:rsidRPr="00000F4C" w:rsidRDefault="004F143B" w:rsidP="006D1E72">
      <w:pPr>
        <w:pStyle w:val="BodyA"/>
        <w:rPr>
          <w:rFonts w:cs="Calibri"/>
        </w:rPr>
      </w:pPr>
    </w:p>
    <w:p w14:paraId="0D63A286" w14:textId="5212B785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A9059F" w:rsidRPr="00000F4C">
        <w:rPr>
          <w:rFonts w:cs="Calibri"/>
        </w:rPr>
        <w:t xml:space="preserve"> </w:t>
      </w:r>
      <w:r w:rsidR="00AB569C" w:rsidRPr="00000F4C">
        <w:rPr>
          <w:rFonts w:cs="Calibri"/>
        </w:rPr>
        <w:t>(White, Black, Asian</w:t>
      </w:r>
      <w:r w:rsidR="000F1D14" w:rsidRPr="00000F4C">
        <w:rPr>
          <w:rFonts w:cs="Calibri"/>
        </w:rPr>
        <w:t>,</w:t>
      </w:r>
      <w:r w:rsidR="00F61552" w:rsidRPr="00000F4C">
        <w:rPr>
          <w:rFonts w:cs="Calibri"/>
        </w:rPr>
        <w:t xml:space="preserve"> O</w:t>
      </w:r>
      <w:r w:rsidR="000F1D14" w:rsidRPr="00000F4C">
        <w:rPr>
          <w:rFonts w:cs="Calibri"/>
        </w:rPr>
        <w:t>ther</w:t>
      </w:r>
      <w:r w:rsidR="00F61552" w:rsidRPr="00000F4C">
        <w:rPr>
          <w:rFonts w:cs="Calibri"/>
        </w:rPr>
        <w:t>/unknown</w:t>
      </w:r>
      <w:r w:rsidR="000F1D14" w:rsidRPr="00000F4C">
        <w:rPr>
          <w:rFonts w:cs="Calibri"/>
        </w:rPr>
        <w:t>)</w:t>
      </w:r>
      <w:r w:rsidR="00A9059F" w:rsidRPr="00000F4C">
        <w:rPr>
          <w:rFonts w:cs="Calibri"/>
        </w:rPr>
        <w:t xml:space="preserve">, and </w:t>
      </w:r>
      <w:r w:rsidR="00F61552" w:rsidRPr="00000F4C">
        <w:rPr>
          <w:rFonts w:cs="Calibri"/>
        </w:rPr>
        <w:t>ethnicity (Hispanic, non-Hispanic, Unknown)</w:t>
      </w:r>
      <w:r w:rsidR="000E3401">
        <w:rPr>
          <w:rFonts w:cs="Calibri"/>
        </w:rPr>
        <w:t xml:space="preserve"> will be included in statistical analysis. Additional information available on race and gender identity will be reported in a table.</w:t>
      </w:r>
    </w:p>
    <w:p w14:paraId="76BFE438" w14:textId="77777777" w:rsidR="004F143B" w:rsidRPr="00000F4C" w:rsidRDefault="004F143B">
      <w:pPr>
        <w:pStyle w:val="BodyA"/>
        <w:rPr>
          <w:rFonts w:cs="Calibri"/>
        </w:rPr>
      </w:pPr>
    </w:p>
    <w:p w14:paraId="3AA33EFE" w14:textId="251D6AF0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>Headache burden metrics will include the following</w:t>
      </w:r>
      <w:r w:rsidR="000F1D14" w:rsidRPr="00000F4C">
        <w:rPr>
          <w:rFonts w:cs="Calibri"/>
        </w:rPr>
        <w:t>:</w:t>
      </w:r>
    </w:p>
    <w:p w14:paraId="23B46506" w14:textId="5A82088E" w:rsidR="004F143B" w:rsidRPr="00000F4C" w:rsidRDefault="0050491F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>Baseline pain severity (mild, moderate, severe scale)</w:t>
      </w:r>
      <w:r w:rsidR="003B7CAE" w:rsidRPr="00000F4C">
        <w:rPr>
          <w:rFonts w:cs="Calibri"/>
        </w:rPr>
        <w:t xml:space="preserve"> – for those missing mild, moderate, or severe who have numeric pain scores (0 – 10), mild will be defined as 1-3, moderate will be defined as 4-6, and severe will be defined as 7-10.</w:t>
      </w:r>
    </w:p>
    <w:p w14:paraId="5A946D59" w14:textId="7BE9BC80" w:rsidR="004F143B" w:rsidRPr="00000F4C" w:rsidRDefault="0050491F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 xml:space="preserve">Frequency of </w:t>
      </w:r>
      <w:r w:rsidR="0053552C" w:rsidRPr="00000F4C">
        <w:rPr>
          <w:rFonts w:cs="Calibri"/>
        </w:rPr>
        <w:t>headache exacerbations</w:t>
      </w:r>
      <w:r w:rsidR="00F867A9" w:rsidRPr="00000F4C">
        <w:rPr>
          <w:rFonts w:cs="Calibri"/>
        </w:rPr>
        <w:t xml:space="preserve"> (&lt;1/month, 1-3/month, 1/week, 2-3/week, &gt;3/week, daily, always</w:t>
      </w:r>
      <w:r w:rsidR="003B7CAE" w:rsidRPr="00000F4C">
        <w:rPr>
          <w:rFonts w:cs="Calibri"/>
        </w:rPr>
        <w:t xml:space="preserve"> – this is worded differently as ‘bad headaches’ in the CHOP dataset, and ‘headache frequency’ in the Cincinnati dataset.</w:t>
      </w:r>
      <w:r w:rsidR="009A2DB4" w:rsidRPr="00000F4C">
        <w:rPr>
          <w:rFonts w:cs="Calibri"/>
        </w:rPr>
        <w:t xml:space="preserve"> The category ‘never’ in the CHOP dataset will be re</w:t>
      </w:r>
      <w:r w:rsidR="001B3B5F" w:rsidRPr="00000F4C">
        <w:rPr>
          <w:rFonts w:cs="Calibri"/>
        </w:rPr>
        <w:t>-</w:t>
      </w:r>
      <w:r w:rsidR="009A2DB4" w:rsidRPr="00000F4C">
        <w:rPr>
          <w:rFonts w:cs="Calibri"/>
        </w:rPr>
        <w:t>categori</w:t>
      </w:r>
      <w:r w:rsidR="001B3B5F" w:rsidRPr="00000F4C">
        <w:rPr>
          <w:rFonts w:cs="Calibri"/>
        </w:rPr>
        <w:t>z</w:t>
      </w:r>
      <w:r w:rsidR="009A2DB4" w:rsidRPr="00000F4C">
        <w:rPr>
          <w:rFonts w:cs="Calibri"/>
        </w:rPr>
        <w:t>ed as &lt;1/</w:t>
      </w:r>
      <w:proofErr w:type="gramStart"/>
      <w:r w:rsidR="009A2DB4" w:rsidRPr="00000F4C">
        <w:rPr>
          <w:rFonts w:cs="Calibri"/>
        </w:rPr>
        <w:t>month</w:t>
      </w:r>
      <w:proofErr w:type="gramEnd"/>
    </w:p>
    <w:p w14:paraId="797CB520" w14:textId="20C2A060" w:rsidR="001A3B1D" w:rsidRPr="00000F4C" w:rsidRDefault="0050491F" w:rsidP="001A3B1D">
      <w:pPr>
        <w:pStyle w:val="ListParagraph"/>
        <w:numPr>
          <w:ilvl w:val="0"/>
          <w:numId w:val="6"/>
        </w:numPr>
        <w:rPr>
          <w:rFonts w:cs="Calibri"/>
        </w:rPr>
      </w:pPr>
      <w:r w:rsidRPr="00000F4C">
        <w:rPr>
          <w:rFonts w:cs="Calibri"/>
        </w:rPr>
        <w:t>Pain pattern (constant vs. intermittent)</w:t>
      </w:r>
      <w:r w:rsidR="001D4FCA" w:rsidRPr="00000F4C">
        <w:rPr>
          <w:rFonts w:cs="Calibri"/>
        </w:rPr>
        <w:t xml:space="preserve"> – this is determined by reporting an ‘always’ headache for Cincinnati dataset, and based on a series of pattern questions from the CHOP </w:t>
      </w:r>
      <w:proofErr w:type="gramStart"/>
      <w:r w:rsidR="001D4FCA" w:rsidRPr="00000F4C">
        <w:rPr>
          <w:rFonts w:cs="Calibri"/>
        </w:rPr>
        <w:t>dataset</w:t>
      </w:r>
      <w:proofErr w:type="gramEnd"/>
    </w:p>
    <w:p w14:paraId="4674FC02" w14:textId="30570E62" w:rsidR="0053552C" w:rsidRPr="00000F4C" w:rsidRDefault="0053552C" w:rsidP="001A3B1D">
      <w:pPr>
        <w:pStyle w:val="ListParagraph"/>
        <w:numPr>
          <w:ilvl w:val="0"/>
          <w:numId w:val="6"/>
        </w:numPr>
        <w:rPr>
          <w:rFonts w:cs="Calibri"/>
        </w:rPr>
      </w:pPr>
      <w:proofErr w:type="spellStart"/>
      <w:r w:rsidRPr="00000F4C">
        <w:rPr>
          <w:rFonts w:cs="Calibri"/>
        </w:rPr>
        <w:t>PedMIDAS</w:t>
      </w:r>
      <w:proofErr w:type="spellEnd"/>
      <w:r w:rsidRPr="00000F4C">
        <w:rPr>
          <w:rFonts w:cs="Calibri"/>
        </w:rPr>
        <w:t xml:space="preserve"> grade (no disability, mild disability, moderate disability, severe disability)</w:t>
      </w:r>
    </w:p>
    <w:p w14:paraId="77163E7C" w14:textId="77777777" w:rsidR="00884586" w:rsidRPr="00000F4C" w:rsidRDefault="00884586" w:rsidP="00884586">
      <w:pPr>
        <w:rPr>
          <w:rFonts w:ascii="Calibri" w:hAnsi="Calibri" w:cs="Calibri"/>
        </w:rPr>
      </w:pPr>
    </w:p>
    <w:p w14:paraId="41B0AC93" w14:textId="2383CCC3" w:rsidR="001A3B1D" w:rsidRPr="00000F4C" w:rsidRDefault="001A3B1D" w:rsidP="001A3B1D">
      <w:pPr>
        <w:rPr>
          <w:rFonts w:ascii="Calibri" w:hAnsi="Calibri" w:cs="Calibri"/>
        </w:rPr>
      </w:pPr>
      <w:r w:rsidRPr="00000F4C">
        <w:rPr>
          <w:rFonts w:ascii="Calibri" w:hAnsi="Calibri" w:cs="Calibri"/>
        </w:rPr>
        <w:t xml:space="preserve">The following </w:t>
      </w:r>
      <w:r w:rsidR="008D21AC" w:rsidRPr="00000F4C">
        <w:rPr>
          <w:rFonts w:ascii="Calibri" w:hAnsi="Calibri" w:cs="Calibri"/>
        </w:rPr>
        <w:t xml:space="preserve">11 </w:t>
      </w:r>
      <w:r w:rsidRPr="00000F4C">
        <w:rPr>
          <w:rFonts w:ascii="Calibri" w:hAnsi="Calibri" w:cs="Calibri"/>
        </w:rPr>
        <w:t>headache-associated symptoms will be considered</w:t>
      </w:r>
      <w:r w:rsidR="000963A2" w:rsidRPr="00000F4C">
        <w:rPr>
          <w:rFonts w:ascii="Calibri" w:hAnsi="Calibri" w:cs="Calibri"/>
        </w:rPr>
        <w:t xml:space="preserve">: </w:t>
      </w:r>
      <w:r w:rsidR="00A215F2" w:rsidRPr="00000F4C">
        <w:rPr>
          <w:rFonts w:ascii="Calibri" w:hAnsi="Calibri" w:cs="Calibri"/>
        </w:rPr>
        <w:t xml:space="preserve">nausea, vomiting, photophobia, phonophobia, </w:t>
      </w:r>
      <w:proofErr w:type="spellStart"/>
      <w:r w:rsidR="00A215F2" w:rsidRPr="00000F4C">
        <w:rPr>
          <w:rFonts w:ascii="Calibri" w:hAnsi="Calibri" w:cs="Calibri"/>
        </w:rPr>
        <w:t>osmophobia</w:t>
      </w:r>
      <w:proofErr w:type="spellEnd"/>
      <w:r w:rsidR="00A215F2" w:rsidRPr="00000F4C">
        <w:rPr>
          <w:rFonts w:ascii="Calibri" w:hAnsi="Calibri" w:cs="Calibri"/>
        </w:rPr>
        <w:t xml:space="preserve">, </w:t>
      </w:r>
      <w:r w:rsidR="008D21AC" w:rsidRPr="00000F4C">
        <w:rPr>
          <w:rFonts w:ascii="Calibri" w:hAnsi="Calibri" w:cs="Calibri"/>
        </w:rPr>
        <w:t>lightheadedness, spinning, difficulty thinking, vision changes, ear ringing, neck pain</w:t>
      </w:r>
      <w:r w:rsidR="000963A2" w:rsidRPr="00000F4C">
        <w:rPr>
          <w:rFonts w:ascii="Calibri" w:hAnsi="Calibri" w:cs="Calibri"/>
        </w:rPr>
        <w:t>. This differs from the original analysis</w:t>
      </w:r>
      <w:r w:rsidR="008D21AC" w:rsidRPr="00000F4C">
        <w:rPr>
          <w:rFonts w:ascii="Calibri" w:hAnsi="Calibri" w:cs="Calibri"/>
        </w:rPr>
        <w:t xml:space="preserve">, which had 13 associated symptoms, </w:t>
      </w:r>
      <w:r w:rsidR="000963A2" w:rsidRPr="00000F4C">
        <w:rPr>
          <w:rFonts w:ascii="Calibri" w:hAnsi="Calibri" w:cs="Calibri"/>
        </w:rPr>
        <w:t xml:space="preserve">to account for questionnaire </w:t>
      </w:r>
      <w:r w:rsidR="00293E80" w:rsidRPr="00000F4C">
        <w:rPr>
          <w:rFonts w:ascii="Calibri" w:hAnsi="Calibri" w:cs="Calibri"/>
        </w:rPr>
        <w:t>discrepancies between the two centers.</w:t>
      </w:r>
      <w:r w:rsidR="008D21AC" w:rsidRPr="00000F4C">
        <w:rPr>
          <w:rFonts w:ascii="Calibri" w:hAnsi="Calibri" w:cs="Calibri"/>
        </w:rPr>
        <w:t xml:space="preserve"> Specifically, </w:t>
      </w:r>
      <w:r w:rsidR="00AA47BD" w:rsidRPr="00000F4C">
        <w:rPr>
          <w:rFonts w:ascii="Calibri" w:hAnsi="Calibri" w:cs="Calibri"/>
        </w:rPr>
        <w:t>‘</w:t>
      </w:r>
      <w:r w:rsidR="00A11529" w:rsidRPr="00000F4C">
        <w:rPr>
          <w:rFonts w:ascii="Calibri" w:hAnsi="Calibri" w:cs="Calibri"/>
        </w:rPr>
        <w:t>double vision</w:t>
      </w:r>
      <w:r w:rsidR="00AA47BD" w:rsidRPr="00000F4C">
        <w:rPr>
          <w:rFonts w:ascii="Calibri" w:hAnsi="Calibri" w:cs="Calibri"/>
        </w:rPr>
        <w:t>’</w:t>
      </w:r>
      <w:r w:rsidR="00A11529" w:rsidRPr="00000F4C">
        <w:rPr>
          <w:rFonts w:ascii="Calibri" w:hAnsi="Calibri" w:cs="Calibri"/>
        </w:rPr>
        <w:t xml:space="preserve"> and </w:t>
      </w:r>
      <w:r w:rsidR="00AA47BD" w:rsidRPr="00000F4C">
        <w:rPr>
          <w:rFonts w:ascii="Calibri" w:hAnsi="Calibri" w:cs="Calibri"/>
        </w:rPr>
        <w:t>‘</w:t>
      </w:r>
      <w:r w:rsidR="00A11529" w:rsidRPr="00000F4C">
        <w:rPr>
          <w:rFonts w:ascii="Calibri" w:hAnsi="Calibri" w:cs="Calibri"/>
        </w:rPr>
        <w:t>blurry vision</w:t>
      </w:r>
      <w:r w:rsidR="00AA47BD" w:rsidRPr="00000F4C">
        <w:rPr>
          <w:rFonts w:ascii="Calibri" w:hAnsi="Calibri" w:cs="Calibri"/>
        </w:rPr>
        <w:t>’</w:t>
      </w:r>
      <w:r w:rsidR="00A11529" w:rsidRPr="00000F4C">
        <w:rPr>
          <w:rFonts w:ascii="Calibri" w:hAnsi="Calibri" w:cs="Calibri"/>
        </w:rPr>
        <w:t xml:space="preserve"> will be combined </w:t>
      </w:r>
      <w:r w:rsidR="00AA47BD" w:rsidRPr="00000F4C">
        <w:rPr>
          <w:rFonts w:ascii="Calibri" w:hAnsi="Calibri" w:cs="Calibri"/>
        </w:rPr>
        <w:t>into the broader category of ‘vision changes’ used in the Cincinnati questionnaire.</w:t>
      </w:r>
      <w:r w:rsidR="004E655C">
        <w:rPr>
          <w:rFonts w:ascii="Calibri" w:hAnsi="Calibri" w:cs="Calibri"/>
        </w:rPr>
        <w:t xml:space="preserve"> ‘Balance problems’ </w:t>
      </w:r>
      <w:r w:rsidR="005629A1">
        <w:rPr>
          <w:rFonts w:ascii="Calibri" w:hAnsi="Calibri" w:cs="Calibri"/>
        </w:rPr>
        <w:t xml:space="preserve">will be omitted because it was not asked </w:t>
      </w:r>
      <w:r w:rsidR="00B73A5F">
        <w:rPr>
          <w:rFonts w:ascii="Calibri" w:hAnsi="Calibri" w:cs="Calibri"/>
        </w:rPr>
        <w:t>in the Cincinnati dataset and had overlap with room spinning in the CHOP dataset.</w:t>
      </w:r>
    </w:p>
    <w:p w14:paraId="3B29E798" w14:textId="77777777" w:rsidR="00E148BA" w:rsidRPr="00000F4C" w:rsidRDefault="00E148BA" w:rsidP="001A3B1D">
      <w:pPr>
        <w:rPr>
          <w:rFonts w:ascii="Calibri" w:hAnsi="Calibri" w:cs="Calibri"/>
        </w:rPr>
      </w:pPr>
    </w:p>
    <w:p w14:paraId="5E647267" w14:textId="77777777" w:rsidR="00E148BA" w:rsidRPr="00000F4C" w:rsidRDefault="00E148BA" w:rsidP="00E148BA">
      <w:pPr>
        <w:pStyle w:val="BodyA"/>
        <w:rPr>
          <w:rFonts w:cs="Calibri"/>
        </w:rPr>
      </w:pPr>
      <w:r w:rsidRPr="00000F4C">
        <w:rPr>
          <w:rFonts w:cs="Calibri"/>
        </w:rPr>
        <w:t>Identified differences between the two centers include the following:</w:t>
      </w:r>
    </w:p>
    <w:p w14:paraId="4E85B9B3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Geographic location</w:t>
      </w:r>
    </w:p>
    <w:p w14:paraId="7B31F186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Differing demographics</w:t>
      </w:r>
    </w:p>
    <w:p w14:paraId="460B984B" w14:textId="4E7C58BD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 xml:space="preserve">The CHOP questionnaire was patient-reported, the Cincinnati questionnaire was </w:t>
      </w:r>
      <w:r w:rsidR="00180754" w:rsidRPr="00000F4C">
        <w:rPr>
          <w:rFonts w:cs="Calibri"/>
        </w:rPr>
        <w:t>questionnaire-guided history taking from a headache specialist provider</w:t>
      </w:r>
      <w:r w:rsidR="00E87690">
        <w:rPr>
          <w:rFonts w:cs="Calibri"/>
        </w:rPr>
        <w:t>.</w:t>
      </w:r>
    </w:p>
    <w:p w14:paraId="45DE3D67" w14:textId="77777777" w:rsidR="00E148BA" w:rsidRPr="00000F4C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Cincinnati data were collected from a headache clinic by headache specialists, CHOP questionnaires were collected from general neurology and headache clinics.</w:t>
      </w:r>
    </w:p>
    <w:p w14:paraId="79E66F2F" w14:textId="77777777" w:rsidR="00E148BA" w:rsidRDefault="00E148BA" w:rsidP="00E148BA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>ICHD-3 diagnosis was made by headache specialists at Cincinnati Children’s, while it was made by an algorithm applied to patient questionnaires at CHOP.</w:t>
      </w:r>
    </w:p>
    <w:p w14:paraId="055313F7" w14:textId="268637ED" w:rsidR="00E87690" w:rsidRPr="00E87690" w:rsidRDefault="00E87690" w:rsidP="00E87690">
      <w:pPr>
        <w:pStyle w:val="BodyA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TOCs from other neurologists at the same institution occurred in the CHOP dataset, but not the Cincinnati dataset. Both clinics saw second opinions for headache from other institutions.</w:t>
      </w:r>
    </w:p>
    <w:p w14:paraId="3519A924" w14:textId="4E731ACA" w:rsidR="00180754" w:rsidRDefault="00853CEB" w:rsidP="00180754">
      <w:pPr>
        <w:pStyle w:val="BodyA"/>
        <w:numPr>
          <w:ilvl w:val="0"/>
          <w:numId w:val="10"/>
        </w:numPr>
        <w:rPr>
          <w:rFonts w:cs="Calibri"/>
        </w:rPr>
      </w:pPr>
      <w:r w:rsidRPr="00000F4C">
        <w:rPr>
          <w:rFonts w:cs="Calibri"/>
        </w:rPr>
        <w:t xml:space="preserve">ICHD3 diagnosis was exclusively </w:t>
      </w:r>
      <w:r w:rsidR="005A5843" w:rsidRPr="00000F4C">
        <w:rPr>
          <w:rFonts w:cs="Calibri"/>
        </w:rPr>
        <w:t>migraine in the Cincinnati dataset (and this included participants with NDPH or PTH onset), where these diagnoses were separate in the CHOP dataset.</w:t>
      </w:r>
      <w:r w:rsidR="000E7648" w:rsidRPr="00000F4C">
        <w:rPr>
          <w:rFonts w:cs="Calibri"/>
        </w:rPr>
        <w:t xml:space="preserve"> Presence of aura was differentiated in the Cincinnati dataset, but not in the CHOP dataset.</w:t>
      </w:r>
    </w:p>
    <w:p w14:paraId="7DE1E6E9" w14:textId="77777777" w:rsidR="00E148BA" w:rsidRDefault="00E148BA" w:rsidP="001A3B1D">
      <w:pPr>
        <w:rPr>
          <w:rFonts w:ascii="Calibri" w:hAnsi="Calibri" w:cs="Calibri"/>
        </w:rPr>
      </w:pPr>
    </w:p>
    <w:p w14:paraId="358E0DCC" w14:textId="145B5274" w:rsidR="00F532B7" w:rsidRPr="00000F4C" w:rsidRDefault="00F532B7" w:rsidP="001A3B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address differences in diagnosis, headache phenotype will be used for </w:t>
      </w:r>
      <w:r w:rsidR="00302E84">
        <w:rPr>
          <w:rFonts w:ascii="Calibri" w:hAnsi="Calibri" w:cs="Calibri"/>
        </w:rPr>
        <w:t>the CHOP dataset. The following p</w:t>
      </w:r>
      <w:r w:rsidR="00302E84" w:rsidRPr="00000F4C">
        <w:rPr>
          <w:rFonts w:ascii="Calibri" w:hAnsi="Calibri" w:cs="Calibri"/>
        </w:rPr>
        <w:t>rimary headache disorder phenotype</w:t>
      </w:r>
      <w:r w:rsidR="00302E84">
        <w:rPr>
          <w:rFonts w:ascii="Calibri" w:hAnsi="Calibri" w:cs="Calibri"/>
        </w:rPr>
        <w:t>s</w:t>
      </w:r>
      <w:r w:rsidR="00302E84" w:rsidRPr="00000F4C">
        <w:rPr>
          <w:rFonts w:ascii="Calibri" w:hAnsi="Calibri" w:cs="Calibri"/>
        </w:rPr>
        <w:t xml:space="preserve"> based on ICHD-3 diagnostic criteria will be used (migraine/probable migraine, chronic migraine/chronic probable migraine, tension-type headache, trigeminal autonomic cephalalgia, other primary headache disorder).</w:t>
      </w: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59176D98" w14:textId="7E50B138" w:rsidR="00250F9F" w:rsidRPr="00000F4C" w:rsidRDefault="00000F4C" w:rsidP="00E148BA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Primary analysis:</w:t>
      </w:r>
      <w:r w:rsidRPr="00000F4C">
        <w:rPr>
          <w:rFonts w:cs="Calibri"/>
        </w:rPr>
        <w:t xml:space="preserve"> </w:t>
      </w:r>
      <w:r w:rsidR="005A5843" w:rsidRPr="00000F4C">
        <w:rPr>
          <w:rFonts w:cs="Calibri"/>
        </w:rPr>
        <w:t xml:space="preserve">MCA will be conducted on the 11 </w:t>
      </w:r>
      <w:r w:rsidR="00BA6014" w:rsidRPr="00000F4C">
        <w:rPr>
          <w:rFonts w:cs="Calibri"/>
        </w:rPr>
        <w:t>headache-</w:t>
      </w:r>
      <w:r w:rsidR="005A5843" w:rsidRPr="00000F4C">
        <w:rPr>
          <w:rFonts w:cs="Calibri"/>
        </w:rPr>
        <w:t>associated symptoms</w:t>
      </w:r>
      <w:r w:rsidR="00A636FC" w:rsidRPr="00000F4C">
        <w:rPr>
          <w:rFonts w:cs="Calibri"/>
        </w:rPr>
        <w:t xml:space="preserve"> including data from the two centers</w:t>
      </w:r>
      <w:r w:rsidR="00AD3BCA">
        <w:rPr>
          <w:rFonts w:cs="Calibri"/>
        </w:rPr>
        <w:t xml:space="preserve">, compared to MCA </w:t>
      </w:r>
      <w:r w:rsidR="00D048B3">
        <w:rPr>
          <w:rFonts w:cs="Calibri"/>
        </w:rPr>
        <w:t>performed on the individual center</w:t>
      </w:r>
      <w:r w:rsidR="004B2898">
        <w:rPr>
          <w:rFonts w:cs="Calibri"/>
        </w:rPr>
        <w:t xml:space="preserve"> data</w:t>
      </w:r>
      <w:r w:rsidR="005A5843" w:rsidRPr="00000F4C">
        <w:rPr>
          <w:rFonts w:cs="Calibri"/>
        </w:rPr>
        <w:t xml:space="preserve">. The first </w:t>
      </w:r>
      <w:r w:rsidR="00BA6014" w:rsidRPr="00000F4C">
        <w:rPr>
          <w:rFonts w:cs="Calibri"/>
        </w:rPr>
        <w:t xml:space="preserve">two dimensions will be </w:t>
      </w:r>
      <w:r w:rsidR="0041448F" w:rsidRPr="00000F4C">
        <w:rPr>
          <w:rFonts w:cs="Calibri"/>
        </w:rPr>
        <w:t>plotted</w:t>
      </w:r>
      <w:r w:rsidR="00716177" w:rsidRPr="00000F4C">
        <w:rPr>
          <w:rFonts w:cs="Calibri"/>
        </w:rPr>
        <w:t xml:space="preserve"> and compared</w:t>
      </w:r>
      <w:r w:rsidR="001A2CAC" w:rsidRPr="00000F4C">
        <w:rPr>
          <w:rFonts w:cs="Calibri"/>
        </w:rPr>
        <w:t>.</w:t>
      </w:r>
      <w:r w:rsidR="00716177" w:rsidRPr="00000F4C">
        <w:rPr>
          <w:rFonts w:cs="Calibri"/>
        </w:rPr>
        <w:t xml:space="preserve"> </w:t>
      </w:r>
      <w:r w:rsidR="00752E80" w:rsidRPr="00000F4C">
        <w:rPr>
          <w:rFonts w:cs="Calibri"/>
        </w:rPr>
        <w:t>A mixed effects l</w:t>
      </w:r>
      <w:r w:rsidR="00C55380" w:rsidRPr="00000F4C">
        <w:rPr>
          <w:rFonts w:cs="Calibri"/>
        </w:rPr>
        <w:t>inear</w:t>
      </w:r>
      <w:r w:rsidR="00752E80" w:rsidRPr="00000F4C">
        <w:rPr>
          <w:rFonts w:cs="Calibri"/>
        </w:rPr>
        <w:t xml:space="preserve"> regression model</w:t>
      </w:r>
      <w:r w:rsidR="00AA47BD" w:rsidRPr="00000F4C">
        <w:rPr>
          <w:rFonts w:cs="Calibri"/>
        </w:rPr>
        <w:t xml:space="preserve"> will be used </w:t>
      </w:r>
      <w:r w:rsidR="00184465" w:rsidRPr="00000F4C">
        <w:rPr>
          <w:rFonts w:cs="Calibri"/>
        </w:rPr>
        <w:t xml:space="preserve">to </w:t>
      </w:r>
      <w:r w:rsidR="009203A4" w:rsidRPr="00000F4C">
        <w:rPr>
          <w:rFonts w:cs="Calibri"/>
        </w:rPr>
        <w:t>determine</w:t>
      </w:r>
      <w:r w:rsidR="00062696" w:rsidRPr="00000F4C">
        <w:rPr>
          <w:rFonts w:cs="Calibri"/>
        </w:rPr>
        <w:t xml:space="preserve"> if center</w:t>
      </w:r>
      <w:r w:rsidR="00551A8D" w:rsidRPr="00000F4C">
        <w:rPr>
          <w:rFonts w:cs="Calibri"/>
        </w:rPr>
        <w:t xml:space="preserve"> (primary predictor)</w:t>
      </w:r>
      <w:r w:rsidR="00062696" w:rsidRPr="00000F4C">
        <w:rPr>
          <w:rFonts w:cs="Calibri"/>
        </w:rPr>
        <w:t xml:space="preserve"> predicted differences in first</w:t>
      </w:r>
      <w:r w:rsidR="00551A8D" w:rsidRPr="00000F4C">
        <w:rPr>
          <w:rFonts w:cs="Calibri"/>
        </w:rPr>
        <w:t>-</w:t>
      </w:r>
      <w:r w:rsidR="00062696" w:rsidRPr="00000F4C">
        <w:rPr>
          <w:rFonts w:cs="Calibri"/>
        </w:rPr>
        <w:t xml:space="preserve"> and second</w:t>
      </w:r>
      <w:r w:rsidR="00551A8D" w:rsidRPr="00000F4C">
        <w:rPr>
          <w:rFonts w:cs="Calibri"/>
        </w:rPr>
        <w:t>-</w:t>
      </w:r>
      <w:r w:rsidR="00062696" w:rsidRPr="00000F4C">
        <w:rPr>
          <w:rFonts w:cs="Calibri"/>
        </w:rPr>
        <w:t xml:space="preserve">dimension </w:t>
      </w:r>
      <w:r w:rsidR="009203A4" w:rsidRPr="00000F4C">
        <w:rPr>
          <w:rFonts w:cs="Calibri"/>
        </w:rPr>
        <w:t>MCA scores</w:t>
      </w:r>
      <w:r w:rsidR="00D048B3">
        <w:rPr>
          <w:rFonts w:cs="Calibri"/>
        </w:rPr>
        <w:t xml:space="preserve"> from the analysis that included both datasets</w:t>
      </w:r>
      <w:r w:rsidR="00551A8D" w:rsidRPr="00000F4C">
        <w:rPr>
          <w:rFonts w:cs="Calibri"/>
        </w:rPr>
        <w:t xml:space="preserve"> (primary outcome, respectively)</w:t>
      </w:r>
      <w:r w:rsidR="009203A4" w:rsidRPr="00000F4C">
        <w:rPr>
          <w:rFonts w:cs="Calibri"/>
        </w:rPr>
        <w:t>.</w:t>
      </w:r>
      <w:r w:rsidR="00184465" w:rsidRPr="00000F4C">
        <w:rPr>
          <w:rFonts w:cs="Calibri"/>
        </w:rPr>
        <w:t xml:space="preserve"> </w:t>
      </w:r>
      <w:r w:rsidR="003A5B23" w:rsidRPr="00000F4C">
        <w:rPr>
          <w:rFonts w:cs="Calibri"/>
        </w:rPr>
        <w:t xml:space="preserve">Covariates will </w:t>
      </w:r>
      <w:r w:rsidR="004212DD">
        <w:rPr>
          <w:rFonts w:cs="Calibri"/>
        </w:rPr>
        <w:t xml:space="preserve">be selected if they have a </w:t>
      </w:r>
      <w:r w:rsidR="003C748B">
        <w:rPr>
          <w:rFonts w:cs="Calibri"/>
        </w:rPr>
        <w:t>significant association (defined as p-value&lt;0.1)</w:t>
      </w:r>
      <w:r w:rsidR="00EB0446">
        <w:rPr>
          <w:rFonts w:cs="Calibri"/>
        </w:rPr>
        <w:t xml:space="preserve"> with either the primary predictor or the primary outcome.</w:t>
      </w:r>
      <w:r w:rsidR="003C748B">
        <w:rPr>
          <w:rFonts w:cs="Calibri"/>
        </w:rPr>
        <w:t xml:space="preserve"> </w:t>
      </w:r>
      <w:r w:rsidR="00F532B7">
        <w:rPr>
          <w:rFonts w:cs="Calibri"/>
        </w:rPr>
        <w:t xml:space="preserve">Covariates that will be evaluated </w:t>
      </w:r>
      <w:r w:rsidR="003A5B23" w:rsidRPr="00000F4C">
        <w:rPr>
          <w:rFonts w:cs="Calibri"/>
        </w:rPr>
        <w:t>include demographic information</w:t>
      </w:r>
      <w:r w:rsidR="00FF2193" w:rsidRPr="00000F4C">
        <w:rPr>
          <w:rFonts w:cs="Calibri"/>
        </w:rPr>
        <w:t xml:space="preserve">, </w:t>
      </w:r>
      <w:r w:rsidR="00141DA9" w:rsidRPr="00000F4C">
        <w:rPr>
          <w:rFonts w:cs="Calibri"/>
        </w:rPr>
        <w:t xml:space="preserve">headache phenotype, </w:t>
      </w:r>
      <w:r w:rsidR="00697363" w:rsidRPr="00000F4C">
        <w:rPr>
          <w:rFonts w:cs="Calibri"/>
        </w:rPr>
        <w:t>and headache burden metrics</w:t>
      </w:r>
      <w:r w:rsidR="00F92E77" w:rsidRPr="00000F4C">
        <w:rPr>
          <w:rFonts w:cs="Calibri"/>
        </w:rPr>
        <w:t xml:space="preserve"> as detailed above</w:t>
      </w:r>
      <w:r w:rsidR="00697363" w:rsidRPr="00000F4C">
        <w:rPr>
          <w:rFonts w:cs="Calibri"/>
        </w:rPr>
        <w:t>.</w:t>
      </w:r>
      <w:r w:rsidR="000C3518">
        <w:rPr>
          <w:rFonts w:cs="Calibri"/>
        </w:rPr>
        <w:t xml:space="preserve"> </w:t>
      </w:r>
      <w:r w:rsidR="00670091">
        <w:rPr>
          <w:rFonts w:cs="Calibri"/>
        </w:rPr>
        <w:t>Non-significant covariates will be removed by backwards elimination. Any covariate that is significant (p&lt;0.05) or impacts the primar</w:t>
      </w:r>
      <w:r w:rsidR="00A01E0B">
        <w:rPr>
          <w:rFonts w:cs="Calibri"/>
        </w:rPr>
        <w:t>y predictor by &gt;15%</w:t>
      </w:r>
      <w:r w:rsidR="00250E25">
        <w:rPr>
          <w:rFonts w:cs="Calibri"/>
        </w:rPr>
        <w:t xml:space="preserve"> will remain in the final analysis</w:t>
      </w:r>
      <w:r w:rsidR="00A01E0B">
        <w:rPr>
          <w:rFonts w:cs="Calibri"/>
        </w:rPr>
        <w:t>.</w:t>
      </w:r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6AD859C7" w14:textId="3E471AD4" w:rsidR="00250F9F" w:rsidRPr="00000F4C" w:rsidRDefault="00250F9F" w:rsidP="00317CCA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Secondary analys</w:t>
      </w:r>
      <w:r w:rsidR="007C02F2" w:rsidRPr="00000F4C">
        <w:rPr>
          <w:rFonts w:cs="Calibri"/>
          <w:u w:val="single"/>
        </w:rPr>
        <w:t>i</w:t>
      </w:r>
      <w:r w:rsidRPr="00000F4C">
        <w:rPr>
          <w:rFonts w:cs="Calibri"/>
          <w:u w:val="single"/>
        </w:rPr>
        <w:t>s</w:t>
      </w:r>
      <w:r w:rsidR="00317CCA" w:rsidRPr="00000F4C">
        <w:rPr>
          <w:rFonts w:cs="Calibri"/>
          <w:u w:val="single"/>
        </w:rPr>
        <w:t>:</w:t>
      </w:r>
      <w:r w:rsidR="00317CCA" w:rsidRPr="00000F4C">
        <w:rPr>
          <w:rFonts w:cs="Calibri"/>
        </w:rPr>
        <w:t xml:space="preserve"> </w:t>
      </w:r>
      <w:r w:rsidRPr="00000F4C">
        <w:rPr>
          <w:rFonts w:cs="Calibri"/>
        </w:rPr>
        <w:t>For Cincinnati</w:t>
      </w:r>
      <w:r w:rsidR="00D05E43" w:rsidRPr="00000F4C">
        <w:rPr>
          <w:rFonts w:cs="Calibri"/>
        </w:rPr>
        <w:t xml:space="preserve"> participants</w:t>
      </w:r>
      <w:r w:rsidR="001C4069">
        <w:rPr>
          <w:rFonts w:cs="Calibri"/>
        </w:rPr>
        <w:t xml:space="preserve"> with a follow up visit</w:t>
      </w:r>
      <w:r w:rsidRPr="00000F4C">
        <w:rPr>
          <w:rFonts w:cs="Calibri"/>
        </w:rPr>
        <w:t xml:space="preserve">, we will determine </w:t>
      </w:r>
      <w:r w:rsidR="00551A8D" w:rsidRPr="00000F4C">
        <w:rPr>
          <w:rFonts w:cs="Calibri"/>
        </w:rPr>
        <w:t xml:space="preserve">how </w:t>
      </w:r>
      <w:r w:rsidRPr="00000F4C">
        <w:rPr>
          <w:rFonts w:cs="Calibri"/>
        </w:rPr>
        <w:t xml:space="preserve">MCA scores </w:t>
      </w:r>
      <w:r w:rsidR="00551A8D" w:rsidRPr="00000F4C">
        <w:rPr>
          <w:rFonts w:cs="Calibri"/>
        </w:rPr>
        <w:t xml:space="preserve">change </w:t>
      </w:r>
      <w:r w:rsidRPr="00000F4C">
        <w:rPr>
          <w:rFonts w:cs="Calibri"/>
        </w:rPr>
        <w:t>across visits</w:t>
      </w:r>
      <w:r w:rsidR="00C55380" w:rsidRPr="00000F4C">
        <w:rPr>
          <w:rFonts w:cs="Calibri"/>
        </w:rPr>
        <w:t xml:space="preserve"> using a </w:t>
      </w:r>
      <w:r w:rsidR="00CB0685" w:rsidRPr="00000F4C">
        <w:rPr>
          <w:rFonts w:cs="Calibri"/>
        </w:rPr>
        <w:t>linear mixed effects</w:t>
      </w:r>
      <w:r w:rsidR="00D05E43" w:rsidRPr="00000F4C">
        <w:rPr>
          <w:rFonts w:cs="Calibri"/>
        </w:rPr>
        <w:t xml:space="preserve"> longitudinal analysis.</w:t>
      </w:r>
      <w:r w:rsidR="009F5F3F" w:rsidRPr="00000F4C">
        <w:rPr>
          <w:rFonts w:cs="Calibri"/>
        </w:rPr>
        <w:t xml:space="preserve"> The primary </w:t>
      </w:r>
      <w:r w:rsidR="00735852" w:rsidRPr="00000F4C">
        <w:rPr>
          <w:rFonts w:cs="Calibri"/>
        </w:rPr>
        <w:t>predictor</w:t>
      </w:r>
      <w:r w:rsidR="009F5F3F" w:rsidRPr="00000F4C">
        <w:rPr>
          <w:rFonts w:cs="Calibri"/>
        </w:rPr>
        <w:t xml:space="preserve"> will be overall perceived change (</w:t>
      </w:r>
      <w:r w:rsidR="007270AE" w:rsidRPr="00000F4C">
        <w:rPr>
          <w:rFonts w:cs="Calibri"/>
        </w:rPr>
        <w:t>better, the same, or worse)</w:t>
      </w:r>
      <w:r w:rsidR="00A37267" w:rsidRPr="00000F4C">
        <w:rPr>
          <w:rFonts w:cs="Calibri"/>
        </w:rPr>
        <w:t xml:space="preserve"> and the </w:t>
      </w:r>
      <w:r w:rsidR="006F7497" w:rsidRPr="00000F4C">
        <w:rPr>
          <w:rFonts w:cs="Calibri"/>
        </w:rPr>
        <w:t xml:space="preserve">primary outcomes will be MCA dimension 1 scores, and MCA dimension 2 scores, respectively. </w:t>
      </w:r>
      <w:r w:rsidR="00250E25">
        <w:rPr>
          <w:rFonts w:cs="Calibri"/>
        </w:rPr>
        <w:t xml:space="preserve">Covariates that will be evaluated </w:t>
      </w:r>
      <w:r w:rsidR="00250E25" w:rsidRPr="00000F4C">
        <w:rPr>
          <w:rFonts w:cs="Calibri"/>
        </w:rPr>
        <w:t>include demographic information, headache phenotype, and headache burden metrics as detailed above.</w:t>
      </w:r>
      <w:r w:rsidR="00250E25">
        <w:rPr>
          <w:rFonts w:cs="Calibri"/>
        </w:rPr>
        <w:t xml:space="preserve"> Non-significant covariates will be removed by backwards elimination. Any covariate that is significant (p&lt;0.05) or impacts the primary predictor by &gt;15% will remain in the final analysis.</w:t>
      </w:r>
    </w:p>
    <w:p w14:paraId="4896D1E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L. (2023). Symptoms associated with headache in youth.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43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61584B37" w14:textId="77777777" w:rsidR="003C6883" w:rsidRDefault="003C6883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6AF3F6D" w14:textId="2E01CD27" w:rsidR="003C6883" w:rsidRDefault="003C6883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Wynants,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Vergouwe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Van Huffel, S., Timmerman, D., &amp; Van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Calster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(2018). Does ignoring clustering in multicenter data influence the performance of prediction models? A simulation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Statistical methods in medical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1723-1736.</w:t>
      </w:r>
    </w:p>
    <w:p w14:paraId="0FCBAEF6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E588" w14:textId="77777777" w:rsidR="00D91DC3" w:rsidRDefault="00D91DC3">
      <w:r>
        <w:separator/>
      </w:r>
    </w:p>
  </w:endnote>
  <w:endnote w:type="continuationSeparator" w:id="0">
    <w:p w14:paraId="1CDEC019" w14:textId="77777777" w:rsidR="00D91DC3" w:rsidRDefault="00D9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09EF" w14:textId="77777777" w:rsidR="00D91DC3" w:rsidRDefault="00D91DC3">
      <w:r>
        <w:separator/>
      </w:r>
    </w:p>
  </w:footnote>
  <w:footnote w:type="continuationSeparator" w:id="0">
    <w:p w14:paraId="614728A9" w14:textId="77777777" w:rsidR="00D91DC3" w:rsidRDefault="00D9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75B7"/>
    <w:multiLevelType w:val="hybridMultilevel"/>
    <w:tmpl w:val="BBD08E76"/>
    <w:numStyleLink w:val="ImportedStyle1"/>
  </w:abstractNum>
  <w:abstractNum w:abstractNumId="5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C17652"/>
    <w:multiLevelType w:val="hybridMultilevel"/>
    <w:tmpl w:val="5EE607E2"/>
    <w:numStyleLink w:val="ImportedStyle3"/>
  </w:abstractNum>
  <w:abstractNum w:abstractNumId="9" w15:restartNumberingAfterBreak="0">
    <w:nsid w:val="53465ADC"/>
    <w:multiLevelType w:val="hybridMultilevel"/>
    <w:tmpl w:val="409CF3D4"/>
    <w:numStyleLink w:val="ImportedStyle5"/>
  </w:abstractNum>
  <w:abstractNum w:abstractNumId="10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2"/>
  </w:num>
  <w:num w:numId="2" w16cid:durableId="2059040435">
    <w:abstractNumId w:val="4"/>
  </w:num>
  <w:num w:numId="3" w16cid:durableId="747070231">
    <w:abstractNumId w:val="5"/>
  </w:num>
  <w:num w:numId="4" w16cid:durableId="1499082077">
    <w:abstractNumId w:val="8"/>
  </w:num>
  <w:num w:numId="5" w16cid:durableId="1760249597">
    <w:abstractNumId w:val="0"/>
  </w:num>
  <w:num w:numId="6" w16cid:durableId="1439377281">
    <w:abstractNumId w:val="10"/>
  </w:num>
  <w:num w:numId="7" w16cid:durableId="1221401364">
    <w:abstractNumId w:val="1"/>
  </w:num>
  <w:num w:numId="8" w16cid:durableId="446201062">
    <w:abstractNumId w:val="9"/>
  </w:num>
  <w:num w:numId="9" w16cid:durableId="1043211010">
    <w:abstractNumId w:val="7"/>
  </w:num>
  <w:num w:numId="10" w16cid:durableId="2131120276">
    <w:abstractNumId w:val="3"/>
  </w:num>
  <w:num w:numId="11" w16cid:durableId="213004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62696"/>
    <w:rsid w:val="000963A2"/>
    <w:rsid w:val="000B425E"/>
    <w:rsid w:val="000C3518"/>
    <w:rsid w:val="000E3401"/>
    <w:rsid w:val="000E7648"/>
    <w:rsid w:val="000F1D14"/>
    <w:rsid w:val="001062AD"/>
    <w:rsid w:val="00141DA9"/>
    <w:rsid w:val="001471BF"/>
    <w:rsid w:val="00180754"/>
    <w:rsid w:val="00184465"/>
    <w:rsid w:val="00194744"/>
    <w:rsid w:val="001A2CAC"/>
    <w:rsid w:val="001A3B1D"/>
    <w:rsid w:val="001B3B5F"/>
    <w:rsid w:val="001C4069"/>
    <w:rsid w:val="001D4FCA"/>
    <w:rsid w:val="001D6393"/>
    <w:rsid w:val="00227DCA"/>
    <w:rsid w:val="00250E25"/>
    <w:rsid w:val="00250F9F"/>
    <w:rsid w:val="00275055"/>
    <w:rsid w:val="00283149"/>
    <w:rsid w:val="00293E80"/>
    <w:rsid w:val="002954E7"/>
    <w:rsid w:val="002B09AC"/>
    <w:rsid w:val="002E148E"/>
    <w:rsid w:val="002E1B1F"/>
    <w:rsid w:val="00302E84"/>
    <w:rsid w:val="00317CCA"/>
    <w:rsid w:val="003634BE"/>
    <w:rsid w:val="0037492C"/>
    <w:rsid w:val="00383AA5"/>
    <w:rsid w:val="003A5B23"/>
    <w:rsid w:val="003B7CAE"/>
    <w:rsid w:val="003C6883"/>
    <w:rsid w:val="003C748B"/>
    <w:rsid w:val="003E2F7D"/>
    <w:rsid w:val="003E4567"/>
    <w:rsid w:val="003F5B47"/>
    <w:rsid w:val="0041448F"/>
    <w:rsid w:val="004212DD"/>
    <w:rsid w:val="00461DA7"/>
    <w:rsid w:val="00466E15"/>
    <w:rsid w:val="0047069B"/>
    <w:rsid w:val="0047127E"/>
    <w:rsid w:val="004828B3"/>
    <w:rsid w:val="00486BFE"/>
    <w:rsid w:val="004B2898"/>
    <w:rsid w:val="004E655C"/>
    <w:rsid w:val="004F143B"/>
    <w:rsid w:val="0050491F"/>
    <w:rsid w:val="0053552C"/>
    <w:rsid w:val="00551A8D"/>
    <w:rsid w:val="005621C1"/>
    <w:rsid w:val="005629A1"/>
    <w:rsid w:val="0057435A"/>
    <w:rsid w:val="005950B5"/>
    <w:rsid w:val="005A5843"/>
    <w:rsid w:val="005A6833"/>
    <w:rsid w:val="005B3A56"/>
    <w:rsid w:val="005E04F6"/>
    <w:rsid w:val="005F55E2"/>
    <w:rsid w:val="0060378B"/>
    <w:rsid w:val="00636B70"/>
    <w:rsid w:val="00670091"/>
    <w:rsid w:val="00685BCC"/>
    <w:rsid w:val="00697363"/>
    <w:rsid w:val="006D1E72"/>
    <w:rsid w:val="006E658A"/>
    <w:rsid w:val="006F7497"/>
    <w:rsid w:val="007054A8"/>
    <w:rsid w:val="00716177"/>
    <w:rsid w:val="007270AE"/>
    <w:rsid w:val="00735852"/>
    <w:rsid w:val="00752E80"/>
    <w:rsid w:val="00754AA6"/>
    <w:rsid w:val="00773E83"/>
    <w:rsid w:val="007A5820"/>
    <w:rsid w:val="007A5AE9"/>
    <w:rsid w:val="007B4EDC"/>
    <w:rsid w:val="007C02F2"/>
    <w:rsid w:val="007C2FFD"/>
    <w:rsid w:val="007E026D"/>
    <w:rsid w:val="00853CEB"/>
    <w:rsid w:val="00884586"/>
    <w:rsid w:val="0089690B"/>
    <w:rsid w:val="008D1910"/>
    <w:rsid w:val="008D21AC"/>
    <w:rsid w:val="0091053E"/>
    <w:rsid w:val="009203A4"/>
    <w:rsid w:val="0098050B"/>
    <w:rsid w:val="0099068F"/>
    <w:rsid w:val="00992A9D"/>
    <w:rsid w:val="009A2DB4"/>
    <w:rsid w:val="009C220A"/>
    <w:rsid w:val="009F5F3F"/>
    <w:rsid w:val="00A01E0B"/>
    <w:rsid w:val="00A11529"/>
    <w:rsid w:val="00A215F2"/>
    <w:rsid w:val="00A37267"/>
    <w:rsid w:val="00A636FC"/>
    <w:rsid w:val="00A84B97"/>
    <w:rsid w:val="00A9027E"/>
    <w:rsid w:val="00A9059F"/>
    <w:rsid w:val="00AA47BD"/>
    <w:rsid w:val="00AB569C"/>
    <w:rsid w:val="00AC6C78"/>
    <w:rsid w:val="00AD272C"/>
    <w:rsid w:val="00AD3BCA"/>
    <w:rsid w:val="00AD7F48"/>
    <w:rsid w:val="00AE60DC"/>
    <w:rsid w:val="00B15296"/>
    <w:rsid w:val="00B26B89"/>
    <w:rsid w:val="00B711A7"/>
    <w:rsid w:val="00B73A5F"/>
    <w:rsid w:val="00B84ABE"/>
    <w:rsid w:val="00B950EB"/>
    <w:rsid w:val="00BA6014"/>
    <w:rsid w:val="00C245BA"/>
    <w:rsid w:val="00C55380"/>
    <w:rsid w:val="00C74663"/>
    <w:rsid w:val="00C84E79"/>
    <w:rsid w:val="00C90CCD"/>
    <w:rsid w:val="00CB0685"/>
    <w:rsid w:val="00CD43B8"/>
    <w:rsid w:val="00D01B7C"/>
    <w:rsid w:val="00D048B3"/>
    <w:rsid w:val="00D05E43"/>
    <w:rsid w:val="00D274BE"/>
    <w:rsid w:val="00D54643"/>
    <w:rsid w:val="00D672A6"/>
    <w:rsid w:val="00D91DC3"/>
    <w:rsid w:val="00DA25A1"/>
    <w:rsid w:val="00DA3817"/>
    <w:rsid w:val="00DE598B"/>
    <w:rsid w:val="00E148BA"/>
    <w:rsid w:val="00E56C17"/>
    <w:rsid w:val="00E63018"/>
    <w:rsid w:val="00E87690"/>
    <w:rsid w:val="00EB0446"/>
    <w:rsid w:val="00F013B8"/>
    <w:rsid w:val="00F20748"/>
    <w:rsid w:val="00F43D00"/>
    <w:rsid w:val="00F532B7"/>
    <w:rsid w:val="00F61552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126</cp:revision>
  <dcterms:created xsi:type="dcterms:W3CDTF">2023-12-21T14:40:00Z</dcterms:created>
  <dcterms:modified xsi:type="dcterms:W3CDTF">2023-12-22T23:12:00Z</dcterms:modified>
</cp:coreProperties>
</file>