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24694" w14:textId="77777777" w:rsidR="003F2C2F" w:rsidRDefault="00000000">
      <w:pPr>
        <w:pStyle w:val="Heading1"/>
      </w:pPr>
      <w:r>
        <w:lastRenderedPageBreak/>
        <w:t>Chapter 2  Background and Related Work</w:t>
      </w:r>
    </w:p>
    <w:p w14:paraId="0E4A8E56" w14:textId="77777777" w:rsidR="003F2C2F" w:rsidRDefault="00000000">
      <w:r>
        <w:t>This chapter establishes the theory needed to justify the platform's design. It begins with the IT/OT divide, surveys the common hardware and software found in each domain, then describes the industrial protocols, the three controller classes and their software ecosystems, and the dashboard stack. It closes with related work and the research gap this work addresses.</w:t>
      </w:r>
    </w:p>
    <w:p w14:paraId="5D432260" w14:textId="77777777" w:rsidR="003F2C2F" w:rsidRDefault="00000000">
      <w:pPr>
        <w:pStyle w:val="Heading2"/>
      </w:pPr>
      <w:r>
        <w:t>2.1  IT/OT Convergence</w:t>
      </w:r>
    </w:p>
    <w:p w14:paraId="738AB25C" w14:textId="77777777" w:rsidR="003F2C2F" w:rsidRDefault="00000000">
      <w:r>
        <w:t>Industrial automation has historically separated two technology domains. Operational technology (OT) comprises the controllers, sensors, and actuators that drive physical processes, and prizes determinism, availability, and safety. Information technology (IT) comprises the servers, databases, and dashboards that store and present data, and prizes throughput, flexibility, and confidentiality. Industry 4.0 demands that OT data reach IT systems in real time, a goal known as IT/OT convergence [1], [2].</w:t>
      </w:r>
    </w:p>
    <w:p w14:paraId="57F19F49" w14:textId="77777777" w:rsidR="003F2C2F" w:rsidRDefault="00000000">
      <w:pPr>
        <w:pStyle w:val="Heading2"/>
      </w:pPr>
      <w:r>
        <w:t>2.2  Common Software and Hardware in IT and OT</w:t>
      </w:r>
    </w:p>
    <w:p w14:paraId="6B789FDD" w14:textId="77777777" w:rsidR="003F2C2F" w:rsidRDefault="00000000">
      <w:r>
        <w:t>Beyond the conceptual divide of Section 2.1, the IT and OT domains are built from recognisably different technology stacks, and the design choices made throughout this thesis are easier to justify once those stacks are named explicitly.</w:t>
      </w:r>
    </w:p>
    <w:p w14:paraId="0D99D427" w14:textId="77777777" w:rsidR="003F2C2F" w:rsidRDefault="00000000">
      <w:pPr>
        <w:pStyle w:val="Heading3"/>
      </w:pPr>
      <w:r>
        <w:t>2.2.1  Information Technology Stack</w:t>
      </w:r>
    </w:p>
    <w:p w14:paraId="616CA12D" w14:textId="77777777" w:rsidR="003F2C2F" w:rsidRDefault="00000000">
      <w:r>
        <w:t xml:space="preserve">IT infrastructure is built around general-purpose computing and enterprise data management [1], [2]. Common hardware includes rack-mounted servers, storage-area or network-attached storage, Ethernet switches and routers, and end-user workstations, most procured as commodity x86 equipment on a three-to-five-year refresh cycle. The software layer runs general-purpose operating systems such as Windows Server or a Linux distribution, often virtualised with a hypervisor (VMware ESXi, Microsoft Hyper-V), </w:t>
      </w:r>
      <w:r>
        <w:lastRenderedPageBreak/>
        <w:t>and hosts relational or document databases (Microsoft SQL Server, PostgreSQL, Oracle Database) behind enterprise resource planning, manufacturing execution, and customer relationship management applications such as SAP or Oracle E-Business Suite. Networking is standardised on the TCP/IP suite, with application traffic carried mostly as HTTP/HTTPS and REST and secured with TLS, firewalls, and centralised identity management. This stack is patched frequently, tolerates reboots, and is optimised for throughput, flexibility, and information confidentiality rather than physical determinism [3].</w:t>
      </w:r>
    </w:p>
    <w:p w14:paraId="1F70205A" w14:textId="77777777" w:rsidR="003F2C2F" w:rsidRDefault="00000000">
      <w:pPr>
        <w:pStyle w:val="Heading3"/>
      </w:pPr>
      <w:r>
        <w:t>2.2.2  Operational Technology Stack</w:t>
      </w:r>
    </w:p>
    <w:p w14:paraId="2B95F0D7" w14:textId="77777777" w:rsidR="003F2C2F" w:rsidRDefault="00000000">
      <w:r>
        <w:t>OT infrastructure instead centres on process hardware and deterministic control. Field-level hardware comprises sensors and actuators, remote terminal units (RTUs) at distributed sites, and programmable logic controllers (PLCs) or, for large continuous processes, a distributed control system (DCS) that co-ordinates many controllers from a central engineering station. Operators interact with the process through a human-machine interface (HMI), and supervisory control and data acquisition (SCADA) software aggregates many HMIs and controllers across a site or region; a data historian logs process values for long-term trending. Representative commercial platforms include Siemens SIMATIC S7/WinCC with TIA Portal, Rockwell Automation Allen-Bradley ControlLogix/Studio 5000 with FactoryTalk, Schneider Electric Modicon with EcoStruxure, and vendor-independent SCADA/historian software such as Inductive Automation Ignition and AVEVA (Wonderware) System Platform and PI Historian. Communication relies on field protocols built for serial or deterministic networks, principally Modbus (Section 2.3.1-2.3.2), PROFIBUS/PROFINET, and DNP3, with OPC UA and MQTT (often via the Sparkplug B specification) increasingly bridging OT data to IT-facing systems. Because a control failure can damage equipment or endanger people, OT hardware is qualified for continuous duty, changed only during scheduled outages, and can remain in service for ten to twenty years, prioritising availability, safety, and deterministic timing over throughput or frequent patching [1].</w:t>
      </w:r>
    </w:p>
    <w:p w14:paraId="32454145" w14:textId="77777777" w:rsidR="003F2C2F" w:rsidRDefault="00000000">
      <w:pPr>
        <w:pStyle w:val="Caption"/>
      </w:pPr>
      <w:r>
        <w:t>Table 2.1  Representative technology stacks in Information Technology and Operational Technology.</w:t>
      </w:r>
      <w:r>
        <w:fldChar w:fldCharType="begin"/>
      </w:r>
      <w:r>
        <w:instrText xml:space="preserve"> TC "</w:instrText>
      </w:r>
      <w:bookmarkStart w:id="12" w:name="_Toc233964612"/>
      <w:r>
        <w:instrText>Table 2.1  Representative technology stacks in Information Technology and Operational Technology</w:instrText>
      </w:r>
      <w:bookmarkEnd w:id="12"/>
      <w:r>
        <w:instrText xml:space="preserve">" \f T \l "1" </w:instrText>
      </w:r>
      <w:r>
        <w:fldChar w:fldCharType="end"/>
      </w:r>
    </w:p>
    <w:tbl>
      <w:tblPr>
        <w:tblStyle w:val="TableGrid"/>
        <w:tblW w:w="0" w:type="auto"/>
        <w:tblLook w:val="04A0" w:firstRow="1" w:lastRow="0" w:firstColumn="1" w:lastColumn="0" w:noHBand="0" w:noVBand="1"/>
      </w:tblPr>
      <w:tblGrid>
        <w:gridCol w:w="2764"/>
        <w:gridCol w:w="2766"/>
        <w:gridCol w:w="2766"/>
      </w:tblGrid>
      <w:tr w:rsidR="003F2C2F" w14:paraId="33FFF106" w14:textId="77777777">
        <w:trPr>
          <w:cantSplit/>
          <w:tblHeader/>
        </w:trPr>
        <w:tc>
          <w:tcPr>
            <w:tcW w:w="2769" w:type="dxa"/>
          </w:tcPr>
          <w:p w14:paraId="25E5D3C0" w14:textId="77777777" w:rsidR="003F2C2F" w:rsidRDefault="00000000">
            <w:r>
              <w:rPr>
                <w:b/>
              </w:rPr>
              <w:t>Category</w:t>
            </w:r>
          </w:p>
        </w:tc>
        <w:tc>
          <w:tcPr>
            <w:tcW w:w="2769" w:type="dxa"/>
          </w:tcPr>
          <w:p w14:paraId="7CF944DD" w14:textId="77777777" w:rsidR="003F2C2F" w:rsidRDefault="00000000">
            <w:r>
              <w:rPr>
                <w:b/>
              </w:rPr>
              <w:t>Information Technology (IT)</w:t>
            </w:r>
          </w:p>
        </w:tc>
        <w:tc>
          <w:tcPr>
            <w:tcW w:w="2769" w:type="dxa"/>
          </w:tcPr>
          <w:p w14:paraId="01D3C382" w14:textId="77777777" w:rsidR="003F2C2F" w:rsidRDefault="00000000">
            <w:r>
              <w:rPr>
                <w:b/>
              </w:rPr>
              <w:t>Operational Technology (OT)</w:t>
            </w:r>
          </w:p>
        </w:tc>
      </w:tr>
      <w:tr w:rsidR="003F2C2F" w14:paraId="202D2D3E" w14:textId="77777777">
        <w:trPr>
          <w:cantSplit/>
        </w:trPr>
        <w:tc>
          <w:tcPr>
            <w:tcW w:w="2769" w:type="dxa"/>
          </w:tcPr>
          <w:p w14:paraId="7CCE3FC1" w14:textId="77777777" w:rsidR="003F2C2F" w:rsidRDefault="00000000">
            <w:r>
              <w:t>Typical hardware</w:t>
            </w:r>
          </w:p>
        </w:tc>
        <w:tc>
          <w:tcPr>
            <w:tcW w:w="2769" w:type="dxa"/>
          </w:tcPr>
          <w:p w14:paraId="0F70D863" w14:textId="77777777" w:rsidR="003F2C2F" w:rsidRDefault="00000000">
            <w:r>
              <w:t>Rack servers, SAN/NAS storage, Ethernet switches/routers, workstations</w:t>
            </w:r>
          </w:p>
        </w:tc>
        <w:tc>
          <w:tcPr>
            <w:tcW w:w="2769" w:type="dxa"/>
          </w:tcPr>
          <w:p w14:paraId="7729F872" w14:textId="77777777" w:rsidR="003F2C2F" w:rsidRDefault="00000000">
            <w:r>
              <w:t>Sensors/actuators, RTUs, PLCs, DCS controllers, HMI panels</w:t>
            </w:r>
          </w:p>
        </w:tc>
      </w:tr>
      <w:tr w:rsidR="003F2C2F" w14:paraId="442CF828" w14:textId="77777777">
        <w:trPr>
          <w:cantSplit/>
        </w:trPr>
        <w:tc>
          <w:tcPr>
            <w:tcW w:w="2769" w:type="dxa"/>
          </w:tcPr>
          <w:p w14:paraId="002D78B9" w14:textId="77777777" w:rsidR="003F2C2F" w:rsidRDefault="00000000">
            <w:r>
              <w:lastRenderedPageBreak/>
              <w:t>Operating environment</w:t>
            </w:r>
          </w:p>
        </w:tc>
        <w:tc>
          <w:tcPr>
            <w:tcW w:w="2769" w:type="dxa"/>
          </w:tcPr>
          <w:p w14:paraId="6B7CF279" w14:textId="77777777" w:rsidR="003F2C2F" w:rsidRDefault="00000000">
            <w:r>
              <w:t>Windows Server / Linux, hypervisor virtualisation</w:t>
            </w:r>
          </w:p>
        </w:tc>
        <w:tc>
          <w:tcPr>
            <w:tcW w:w="2769" w:type="dxa"/>
          </w:tcPr>
          <w:p w14:paraId="336EFEAD" w14:textId="77777777" w:rsidR="003F2C2F" w:rsidRDefault="00000000">
            <w:r>
              <w:t>Vendor firmware or real-time OS, deterministic scan cycle</w:t>
            </w:r>
          </w:p>
        </w:tc>
      </w:tr>
      <w:tr w:rsidR="003F2C2F" w14:paraId="3F0FF748" w14:textId="77777777">
        <w:trPr>
          <w:cantSplit/>
        </w:trPr>
        <w:tc>
          <w:tcPr>
            <w:tcW w:w="2769" w:type="dxa"/>
          </w:tcPr>
          <w:p w14:paraId="0C38F10C" w14:textId="77777777" w:rsidR="003F2C2F" w:rsidRDefault="00000000">
            <w:r>
              <w:t>Application software</w:t>
            </w:r>
          </w:p>
        </w:tc>
        <w:tc>
          <w:tcPr>
            <w:tcW w:w="2769" w:type="dxa"/>
          </w:tcPr>
          <w:p w14:paraId="7F841D04" w14:textId="77777777" w:rsidR="003F2C2F" w:rsidRDefault="00000000">
            <w:r>
              <w:t>ERP/MES/CRM (e.g., SAP, Oracle), SQL/NoSQL databases</w:t>
            </w:r>
          </w:p>
        </w:tc>
        <w:tc>
          <w:tcPr>
            <w:tcW w:w="2769" w:type="dxa"/>
          </w:tcPr>
          <w:p w14:paraId="0A5A237C" w14:textId="77777777" w:rsidR="003F2C2F" w:rsidRDefault="00000000">
            <w:r>
              <w:t>SCADA (Ignition, WinCC, FactoryTalk, System Platform), engineering software (TIA Portal, Studio 5000, LOGO! Soft Comfort), historians (PI Historian)</w:t>
            </w:r>
          </w:p>
        </w:tc>
      </w:tr>
      <w:tr w:rsidR="003F2C2F" w14:paraId="76D64A81" w14:textId="77777777">
        <w:trPr>
          <w:cantSplit/>
        </w:trPr>
        <w:tc>
          <w:tcPr>
            <w:tcW w:w="2769" w:type="dxa"/>
          </w:tcPr>
          <w:p w14:paraId="628E5793" w14:textId="77777777" w:rsidR="003F2C2F" w:rsidRDefault="00000000">
            <w:r>
              <w:t>Network protocols</w:t>
            </w:r>
          </w:p>
        </w:tc>
        <w:tc>
          <w:tcPr>
            <w:tcW w:w="2769" w:type="dxa"/>
          </w:tcPr>
          <w:p w14:paraId="09C29B1E" w14:textId="77777777" w:rsidR="003F2C2F" w:rsidRDefault="00000000">
            <w:r>
              <w:t>TCP/IP, HTTP/HTTPS, REST</w:t>
            </w:r>
          </w:p>
        </w:tc>
        <w:tc>
          <w:tcPr>
            <w:tcW w:w="2769" w:type="dxa"/>
          </w:tcPr>
          <w:p w14:paraId="09C572EB" w14:textId="77777777" w:rsidR="003F2C2F" w:rsidRDefault="00000000">
            <w:r>
              <w:t>Modbus, PROFIBUS/PROFINET, DNP3, OPC UA, MQTT (Sparkplug B)</w:t>
            </w:r>
          </w:p>
        </w:tc>
      </w:tr>
      <w:tr w:rsidR="003F2C2F" w14:paraId="2E5EC9F0" w14:textId="77777777">
        <w:trPr>
          <w:cantSplit/>
        </w:trPr>
        <w:tc>
          <w:tcPr>
            <w:tcW w:w="2769" w:type="dxa"/>
          </w:tcPr>
          <w:p w14:paraId="15F52C5B" w14:textId="77777777" w:rsidR="003F2C2F" w:rsidRDefault="00000000">
            <w:r>
              <w:t>Refresh / lifecycle</w:t>
            </w:r>
          </w:p>
        </w:tc>
        <w:tc>
          <w:tcPr>
            <w:tcW w:w="2769" w:type="dxa"/>
          </w:tcPr>
          <w:p w14:paraId="79B34B57" w14:textId="77777777" w:rsidR="003F2C2F" w:rsidRDefault="00000000">
            <w:r>
              <w:t>3-5 years, patched frequently</w:t>
            </w:r>
          </w:p>
        </w:tc>
        <w:tc>
          <w:tcPr>
            <w:tcW w:w="2769" w:type="dxa"/>
          </w:tcPr>
          <w:p w14:paraId="6E5E2FDB" w14:textId="77777777" w:rsidR="003F2C2F" w:rsidRDefault="00000000">
            <w:r>
              <w:t>10-20 years, patched only during scheduled outages</w:t>
            </w:r>
          </w:p>
        </w:tc>
      </w:tr>
      <w:tr w:rsidR="003F2C2F" w14:paraId="2A16A900" w14:textId="77777777">
        <w:trPr>
          <w:cantSplit/>
        </w:trPr>
        <w:tc>
          <w:tcPr>
            <w:tcW w:w="2769" w:type="dxa"/>
          </w:tcPr>
          <w:p w14:paraId="0575CCE4" w14:textId="77777777" w:rsidR="003F2C2F" w:rsidRDefault="00000000">
            <w:r>
              <w:t>Primary priorities</w:t>
            </w:r>
          </w:p>
        </w:tc>
        <w:tc>
          <w:tcPr>
            <w:tcW w:w="2769" w:type="dxa"/>
          </w:tcPr>
          <w:p w14:paraId="1341EBFF" w14:textId="77777777" w:rsidR="003F2C2F" w:rsidRDefault="00000000">
            <w:r>
              <w:t>Throughput, flexibility, confidentiality</w:t>
            </w:r>
          </w:p>
        </w:tc>
        <w:tc>
          <w:tcPr>
            <w:tcW w:w="2769" w:type="dxa"/>
          </w:tcPr>
          <w:p w14:paraId="63074CB5" w14:textId="77777777" w:rsidR="003F2C2F" w:rsidRDefault="00000000">
            <w:r>
              <w:t>Availability, safety, deterministic timing</w:t>
            </w:r>
          </w:p>
        </w:tc>
      </w:tr>
    </w:tbl>
    <w:p w14:paraId="425E3865" w14:textId="77777777" w:rsidR="003F2C2F" w:rsidRDefault="00000000">
      <w:pPr>
        <w:pStyle w:val="Heading2"/>
      </w:pPr>
      <w:r>
        <w:t>2.3  Industrial Communication Protocols</w:t>
      </w:r>
    </w:p>
    <w:p w14:paraId="33A65AE7" w14:textId="77777777" w:rsidR="003F2C2F" w:rsidRDefault="00000000">
      <w:pPr>
        <w:pStyle w:val="Heading3"/>
      </w:pPr>
      <w:r>
        <w:t>2.3.1  Modbus RTU</w:t>
      </w:r>
    </w:p>
    <w:p w14:paraId="0FFA0C17" w14:textId="77777777" w:rsidR="003F2C2F" w:rsidRDefault="00000000">
      <w:r>
        <w:t>Modbus, published by Modicon in 1979, is a request-response protocol in which a single master polls one or more slaves [4]. In its RTU variant the application data unit (ADU) is carried over a serial line, typically RS-485, and consists of a one-byte slave address, a one-byte function code, a data field, and a two-byte cyclic redundancy check (CRC-16). Function codes select the data model: FC01/FC05 address discrete coils, FC02 discrete inputs, FC03/FC06/FC16 holding registers, and FC04 input registers. Modbus RTU has no addressing beyond the slave id, which keeps the protocol simple to implement.</w:t>
      </w:r>
    </w:p>
    <w:p w14:paraId="06AE7C5E" w14:textId="77777777" w:rsidR="003F2C2F" w:rsidRDefault="00000000">
      <w:pPr>
        <w:pStyle w:val="Heading3"/>
      </w:pPr>
      <w:r>
        <w:lastRenderedPageBreak/>
        <w:t>2.3.2  Modbus TCP</w:t>
      </w:r>
    </w:p>
    <w:p w14:paraId="6EE5C37D" w14:textId="77777777" w:rsidR="003F2C2F" w:rsidRDefault="00000000">
      <w:r>
        <w:t>Modbus TCP carries the same protocol data unit over TCP port 502, replacing the serial frame with a seven-byte Modbus Application Protocol (MBAP) header: a transaction identifier, a protocol identifier (always zero), a length field, and a unit identifier [4]. The CRC is dropped because TCP already guarantees integrity. Because the function codes and register model are unchanged, a device that speaks both variants can act as a protocol gateway, exposing serial RTU slaves to any IP host. This equivalence is the basis of the gateway built in Chapter 3.</w:t>
      </w:r>
    </w:p>
    <w:p w14:paraId="7F898C17" w14:textId="77777777" w:rsidR="003F2C2F" w:rsidRDefault="00000000">
      <w:pPr>
        <w:pStyle w:val="Heading3"/>
      </w:pPr>
      <w:r>
        <w:t>2.3.3  MQTT</w:t>
      </w:r>
    </w:p>
    <w:p w14:paraId="5AD04DF5" w14:textId="77777777" w:rsidR="003F2C2F" w:rsidRDefault="00000000">
      <w:r>
        <w:t>Message Queuing Telemetry Transport (MQTT) is a lightweight publish-subscribe protocol standardised as ISO/IEC 20922 and widely used in IoT [5]. Clients publish messages to a topic on a broker, and the broker forwards them to all subscribers of that topic, decoupling producers from consumers. Three quality-of-service levels are offered: QoS 0 (at most once), QoS 1 (at least once, with PUBACK), and QoS 2 (exactly once). Features such as retained messages and the last-will-and-testament support intermittent connectivity. MQTT brokers permit anonymous access by default, which simplifies classroom deployment.</w:t>
      </w:r>
    </w:p>
    <w:p w14:paraId="044B96BC" w14:textId="77777777" w:rsidR="003F2C2F" w:rsidRDefault="00000000">
      <w:pPr>
        <w:pStyle w:val="Heading2"/>
      </w:pPr>
      <w:r>
        <w:t>2.4  Controller Classes: MCU, SBC, and PLC</w:t>
      </w:r>
    </w:p>
    <w:p w14:paraId="62E25EE5" w14:textId="77777777" w:rsidR="003F2C2F" w:rsidRDefault="00000000">
      <w:r>
        <w:t>Three classes of programmable device span modern automation, and a complete education must cover all three.</w:t>
      </w:r>
    </w:p>
    <w:p w14:paraId="215F64AA" w14:textId="77777777" w:rsidR="003F2C2F" w:rsidRDefault="00000000">
      <w:pPr>
        <w:pStyle w:val="Heading3"/>
      </w:pPr>
      <w:r>
        <w:t>2.4.1  Microcontroller (MCU)</w:t>
      </w:r>
    </w:p>
    <w:p w14:paraId="63A58FB1" w14:textId="77777777" w:rsidR="003F2C2F" w:rsidRDefault="00000000">
      <w:r>
        <w:t>A microcontroller integrates a processor, memory, and peripherals on a single chip. The ESP32-S3 used here is a dual-core Xtensa device with integrated Wi-Fi, multiple UARTs, and a few hundred kilobytes of RAM, running the Arduino core over the FreeRTOS real-time kernel. Its low cost, deterministic cooperative scheduling, and native serial and wireless interfaces make it a natural protocol-conversion node at the edge. Its constraints are equally instructive: flash and RAM are scarce, so resource use must be measured rather than assumed.</w:t>
      </w:r>
    </w:p>
    <w:p w14:paraId="61867382" w14:textId="77777777" w:rsidR="003F2C2F" w:rsidRDefault="00000000">
      <w:pPr>
        <w:pStyle w:val="Heading3"/>
      </w:pPr>
      <w:r>
        <w:t>2.4.2  Single-Board Computer (SBC)</w:t>
      </w:r>
    </w:p>
    <w:p w14:paraId="7E0A25E1" w14:textId="77777777" w:rsidR="003F2C2F" w:rsidRDefault="00000000">
      <w:r>
        <w:t xml:space="preserve">A single-board computer runs a full operating system on commodity hardware. The Raspberry Pi 4 used here runs Linux with a complete IP stack and the Docker container runtime, hosting the data-plane services. It trades the MCU's determinism (a </w:t>
      </w:r>
      <w:r>
        <w:lastRenderedPageBreak/>
        <w:t>general-purpose scheduler introduces jitter) for the flexibility of a general computer: any service that runs in a container can run on it.</w:t>
      </w:r>
    </w:p>
    <w:p w14:paraId="665C18E7" w14:textId="77777777" w:rsidR="003F2C2F" w:rsidRDefault="00000000">
      <w:pPr>
        <w:pStyle w:val="Heading3"/>
      </w:pPr>
      <w:r>
        <w:t>2.4.3  Programmable Logic Controller (PLC)</w:t>
      </w:r>
    </w:p>
    <w:p w14:paraId="763452F8" w14:textId="77777777" w:rsidR="003F2C2F" w:rsidRDefault="00000000">
      <w:r>
        <w:t>A programmable logic controller is a ruggedised industrial computer designed for deterministic control. It executes a fixed scan cycle (read inputs, solve program, write outputs) and is programmed in the IEC 61131-3 languages, most commonly ladder diagram (LAD) and function block diagram (FBD). The Siemens LOGO! 24CE used here provides industrial 24 V DC I/O and a native Modbus TCP server, but is programmed only through the vendor's LOGO! Soft Comfort software. It contributes real industrial signalling and certified hardware that neither the MCU nor the SBC offers.</w:t>
      </w:r>
    </w:p>
    <w:p w14:paraId="505FFA5D" w14:textId="77777777" w:rsidR="003F2C2F" w:rsidRDefault="00000000">
      <w:pPr>
        <w:pStyle w:val="Heading2"/>
      </w:pPr>
      <w:r>
        <w:t>2.5  Open-Source versus Proprietary Toolchains</w:t>
      </w:r>
    </w:p>
    <w:p w14:paraId="0D14AECF" w14:textId="77777777" w:rsidR="003F2C2F" w:rsidRDefault="00000000">
      <w:r>
        <w:t>Beyond compute and I/O, the three classes differ sharply in the openness of their software, a distinction this work treats as a first-class teaching point. The MCU is programmed with the open-source Arduino core and the PlatformIO build system; the SBC runs open-source Linux, Docker, the Telegraf-InfluxDB-Grafana stack, Node-RED, and the Mosquitto MQTT broker. The PLC, by contrast, can be programmed only through Siemens' proprietary LOGO! Soft Comfort, a closed, licensed application. The open stack is inspectable, scriptable, free to reproduce, and community-supported; the proprietary stack offers vendor support and certification but binds the user to one supplier. This contrast lets students experience vendor lock-in directly rather than as an abstraction, and motivates the platform's deliberate mix of both worlds.</w:t>
      </w:r>
    </w:p>
    <w:p w14:paraId="6D82F9B0" w14:textId="77777777" w:rsidR="003F2C2F" w:rsidRDefault="00000000">
      <w:pPr>
        <w:pStyle w:val="Heading2"/>
      </w:pPr>
      <w:r>
        <w:t>2.6  Time-Series Dashboard Stack (TIG)</w:t>
      </w:r>
    </w:p>
    <w:p w14:paraId="54B1C182" w14:textId="77777777" w:rsidR="003F2C2F" w:rsidRDefault="00000000">
      <w:r>
        <w:t>Telemetry in this work is stored and visualised with the TIG stack, a widely used open-source combination. Telegraf is a plug-in-based collection agent; its mqtt_consumer input subscribes to the broker and its influxdb_v2 output writes to the database, while additional inputs gather host metrics [6]. InfluxDB is a time-series database that stores points in buckets and is queried with the Flux language [7]. Grafana renders dashboards from those queries and supports anonymous read-only viewing for kiosk displays [8]. The three components are distributed as Docker images and orchestrated with Docker Compose, which pins image tags and injects secrets through environment variables.</w:t>
      </w:r>
    </w:p>
    <w:p w14:paraId="6D82F9B0" w14:textId="77777777" w:rsidR="003F2C2F" w:rsidRDefault="00000000">
      <w:pPr>
        <w:pStyle w:val="Heading2"/>
      </w:pPr>
      <w:r>
        <w:t>2.7  MQTT Broker (Mosquitto)</w:t>
      </w:r>
    </w:p>
    <w:p w14:paraId="54B1C182" w14:textId="77777777" w:rsidR="003F2C2F" w:rsidRDefault="00000000">
      <w:r>
        <w:t>The Mosquitto broker connects the edge devices to the dashboard stack over MQTT, the publish-subscribe protocol described in Section 2.3.3. Edge devices publish telemetry to topics on the broker, and Telegraf's mqtt_consumer input subscribes to those topics to ingest the data. Like the TIG components, Mosquitto is lightweight, widely deployed, and distributed as a Docker image orchestrated with Docker Compose.</w:t>
      </w:r>
    </w:p>
    <w:p w14:paraId="425979B5" w14:textId="77777777" w:rsidR="003F2C2F" w:rsidRDefault="00000000">
      <w:pPr>
        <w:pStyle w:val="Heading2"/>
      </w:pPr>
      <w:r>
        <w:t>2.8  Related Work and Research Gap</w:t>
      </w:r>
    </w:p>
    <w:p w14:paraId="7D9EFAA7" w14:textId="77777777" w:rsidR="003F2C2F" w:rsidRDefault="00000000">
      <w:r>
        <w:t>Prior work has built ESP32-based Modbus gateways and IoT monitoring testbeds, and surveys of IIoT protocols are plentiful [1]-[5]. A consistent finding across this literature is that a small set of open-source tools recurs in IIoT data pipelines: the MQTT broker as the messaging fabric, Node-RED as the flow-based integration layer, and the TIG stack (Telegraf, InfluxDB, Grafana) for collection, storage, and visualisation [6]-[8]. This work adopts that de-facto stack rather than inventing bespoke components, which keeps the platform familiar and reproducible. However, two gaps remain. First, existing testbeds typically demonstrate one controller class rather than integrating the MCU, SBC, and PLC together so their roles can be compared. Second, although numerous open-source ESP32 Modbus libraries exist, no published empirical benchmark compares them on the same hardware to guide selection. This thesis addresses both: it integrates the three controller classes on one low-cost bench, and benchmarks eight open-source Modbus gateway libraries to select an implementation.</w:t>
      </w:r>
    </w:p>
    <w:p w14:paraId="5702DA11" w14:textId="77777777" w:rsidR="003F2C2F" w:rsidRDefault="003F2C2F">
      <w:pPr>
        <w:sectPr w:rsidR="003F2C2F" w:rsidSect="002D7855">
          <w:headerReference w:type="default" r:id="rId15"/>
          <w:pgSz w:w="11906" w:h="16838" w:code="9"/>
          <w:pgMar w:top="2160" w:right="1440" w:bottom="1440" w:left="2160" w:header="1440" w:footer="709" w:gutter="0"/>
          <w:cols w:space="708"/>
          <w:titlePg/>
          <w:docGrid w:linePitch="360"/>
        </w:sectPr>
      </w:pP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