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2.png" ContentType="image/png"/>
  <Override PartName="/word/media/rId53.png" ContentType="image/png"/>
  <Override PartName="/word/media/rId23.png" ContentType="image/png"/>
  <Override PartName="/word/media/rId61.png" ContentType="image/png"/>
  <Override PartName="/word/media/rId58.png" ContentType="image/png"/>
  <Override PartName="/word/media/rId59.png" ContentType="image/png"/>
  <Override PartName="/word/media/rId46.png" ContentType="image/png"/>
  <Override PartName="/word/media/rId47.png" ContentType="image/png"/>
  <Override PartName="/word/media/rId29.png" ContentType="image/png"/>
  <Override PartName="/word/media/rId25.png" ContentType="image/png"/>
  <Override PartName="/word/media/rId54.png" ContentType="image/png"/>
  <Override PartName="/word/media/rId48.png" ContentType="image/png"/>
  <Override PartName="/word/media/rId42.png" ContentType="image/png"/>
  <Override PartName="/word/media/rId70.png" ContentType="image/png"/>
  <Override PartName="/word/media/rId33.png" ContentType="image/png"/>
  <Override PartName="/word/media/rId63.png" ContentType="image/png"/>
  <Override PartName="/word/media/rId37.png" ContentType="image/png"/>
  <Override PartName="/word/media/rId66.png" ContentType="image/png"/>
  <Override PartName="/word/media/rId38.png" ContentType="image/png"/>
  <Override PartName="/word/media/rId67.png" ContentType="image/png"/>
  <Override PartName="/word/media/rId26.png" ContentType="image/png"/>
  <Override PartName="/word/media/rId55.png" ContentType="image/png"/>
  <Override PartName="/word/media/rId49.png" ContentType="image/png"/>
  <Override PartName="/word/media/rId43.png" ContentType="image/png"/>
  <Override PartName="/word/media/rId71.png" ContentType="image/png"/>
  <Override PartName="/word/media/rId34.png" ContentType="image/png"/>
  <Override PartName="/word/media/rId64.png" ContentType="image/png"/>
  <Override PartName="/word/media/rId39.png" ContentType="image/png"/>
  <Override PartName="/word/media/rId68.png" ContentType="image/png"/>
  <Override PartName="/word/media/rId22.png" ContentType="image/png"/>
  <Override PartName="/word/media/rId27.png" ContentType="image/png"/>
  <Override PartName="/word/media/rId56.png" ContentType="image/png"/>
  <Override PartName="/word/media/rId50.png" ContentType="image/png"/>
  <Override PartName="/word/media/rId44.png" ContentType="image/png"/>
  <Override PartName="/word/media/rId72.png" ContentType="image/png"/>
  <Override PartName="/word/media/rId35.png" ContentType="image/png"/>
  <Override PartName="/word/media/rId6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Comparison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SonicLib</w:t>
      </w:r>
      <w:r>
        <w:t xml:space="preserve"> </w:t>
      </w:r>
      <w:r>
        <w:t xml:space="preserve">and</w:t>
      </w:r>
      <w:r>
        <w:t xml:space="preserve"> </w:t>
      </w:r>
      <w:r>
        <w:t xml:space="preserve">pbl_met</w:t>
      </w:r>
    </w:p>
    <w:p>
      <w:pPr>
        <w:pStyle w:val="Author"/>
      </w:pPr>
      <w:r>
        <w:t xml:space="preserve">Mauri</w:t>
      </w:r>
      <w:r>
        <w:t xml:space="preserve"> </w:t>
      </w:r>
      <w:r>
        <w:t xml:space="preserve">Favaron</w:t>
      </w:r>
    </w:p>
    <w:p>
      <w:pPr>
        <w:pStyle w:val="Date"/>
      </w:pPr>
      <w:r>
        <w:t xml:space="preserve">4</w:t>
      </w:r>
      <w:r>
        <w:t xml:space="preserve"> </w:t>
      </w:r>
      <w:r>
        <w:t xml:space="preserve">October</w:t>
      </w:r>
      <w:r>
        <w:t xml:space="preserve"> </w:t>
      </w:r>
      <w:r>
        <w:t xml:space="preserve">2018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the Comparison Report, documenting the similarity (or not) between analogous computations in SonicLib and pbl_met.</w:t>
      </w:r>
    </w:p>
    <w:p>
      <w:pPr>
        <w:pStyle w:val="BodyText"/>
      </w:pPr>
      <w:r>
        <w:t xml:space="preserve">Its use is basically as a test report, starting from the assumption the well-established SonicLib library can be considered as a sort of higher-order instrument than pbl_met eddy covariance section.</w:t>
      </w:r>
    </w:p>
    <w:p>
      <w:pPr>
        <w:pStyle w:val="BodyText"/>
      </w:pPr>
      <w:r>
        <w:t xml:space="preserve">The comparison is documented through a set of scatter plots, in which supposedly</w:t>
      </w:r>
      <w:r>
        <w:t xml:space="preserve"> </w:t>
      </w:r>
      <w:r>
        <w:t xml:space="preserve">“</w:t>
      </w:r>
      <w:r>
        <w:t xml:space="preserve">identical</w:t>
      </w:r>
      <w:r>
        <w:t xml:space="preserve">”</w:t>
      </w:r>
      <w:r>
        <w:t xml:space="preserve"> </w:t>
      </w:r>
      <w:r>
        <w:t xml:space="preserve">quantities from the two libraries are plotted along with the 1st quadrant bisector: ideally, all experimental points should be on this line.</w:t>
      </w:r>
    </w:p>
    <w:p>
      <w:pPr>
        <w:pStyle w:val="BodyText"/>
      </w:pPr>
      <w:r>
        <w:t xml:space="preserve">The output report - a Word document - will be expanded as test progress, along with this source file. Scatter plots showing a significant deviation do typically result in issues and investigations, which will result in pbl_met corrections and comparison remakes. As a result, the</w:t>
      </w:r>
      <w:r>
        <w:t xml:space="preserve"> </w:t>
      </w:r>
      <w:r>
        <w:t xml:space="preserve">“</w:t>
      </w:r>
      <w:r>
        <w:t xml:space="preserve">wrong</w:t>
      </w:r>
      <w:r>
        <w:t xml:space="preserve">”</w:t>
      </w:r>
      <w:r>
        <w:t xml:space="preserve"> </w:t>
      </w:r>
      <w:r>
        <w:t xml:space="preserve">plot will be sooner or later be replaced by a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one, and this report will then expand on.</w:t>
      </w:r>
    </w:p>
    <w:p>
      <w:pPr>
        <w:pStyle w:val="BodyText"/>
      </w:pPr>
      <w:r>
        <w:t xml:space="preserve">Comparisons are made assuming delay is zero, no trend removal is made, and spikes are detected with a threshold of 3000 standard deviations - that is, it is actually disabled in SonicLib, but</w:t>
      </w:r>
      <w:r>
        <w:t xml:space="preserve"> </w:t>
      </w:r>
      <w:r>
        <w:t xml:space="preserve">“</w:t>
      </w:r>
      <w:r>
        <w:t xml:space="preserve">results</w:t>
      </w:r>
      <w:r>
        <w:t xml:space="preserve">”</w:t>
      </w:r>
      <w:r>
        <w:t xml:space="preserve"> </w:t>
      </w:r>
      <w:r>
        <w:t xml:space="preserve">of it are reported so to confirm officially that the number of spikes processed is always positively zero.</w:t>
      </w:r>
    </w:p>
    <w:p>
      <w:pPr>
        <w:pStyle w:val="BodyText"/>
      </w:pPr>
      <w:r>
        <w:t xml:space="preserve">The test data set is the two days of AmeriFlux Golden Files.</w:t>
      </w:r>
    </w:p>
    <w:p>
      <w:pPr>
        <w:pStyle w:val="BodyText"/>
      </w:pPr>
      <w:r>
        <w:t xml:space="preserve">Processing has been made on behalf os a fictional location, let’s name it Arcadia (but in reality it’s unexistent, despite having well defined coordinates), on two fake dates (compatible with the Ameriflux Golden File day-in-the-year). As indicated by Ameriflux Golden Files instruction, averaging time is set to 30 minutes.</w:t>
      </w:r>
    </w:p>
    <w:p>
      <w:pPr>
        <w:pStyle w:val="BodyText"/>
      </w:pPr>
      <w:r>
        <w:t xml:space="preserve">Note the purpose of the test documented in this report is to check</w:t>
      </w:r>
      <w:r>
        <w:t xml:space="preserve"> </w:t>
      </w:r>
      <w:r>
        <w:t xml:space="preserve">“</w:t>
      </w:r>
      <w:r>
        <w:t xml:space="preserve">bare</w:t>
      </w:r>
      <w:r>
        <w:t xml:space="preserve">”</w:t>
      </w:r>
      <w:r>
        <w:t xml:space="preserve"> </w:t>
      </w:r>
      <w:r>
        <w:t xml:space="preserve">eddy covariance, and not trend removal, nor spike detection and treatment. These may devise their own test reports in future - but you will not find them here.</w:t>
      </w:r>
    </w:p>
    <w:p>
      <w:pPr>
        <w:pStyle w:val="Heading2"/>
      </w:pPr>
      <w:bookmarkStart w:id="21" w:name="wind-speed-and-direction"/>
      <w:r>
        <w:t xml:space="preserve">Wind speed and direction</w:t>
      </w:r>
      <w:bookmarkEnd w:id="21"/>
    </w:p>
    <w:p>
      <w:pPr>
        <w:pStyle w:val="FirstParagraph"/>
      </w:pPr>
      <w:r>
        <w:t xml:space="preserve">Wind speed and direction are the two most basic derivate quantities from wind vector statistics.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el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Dir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wind-components"/>
      <w:r>
        <w:t xml:space="preserve">Wind components</w:t>
      </w:r>
      <w:bookmarkEnd w:id="24"/>
    </w:p>
    <w:p>
      <w:pPr>
        <w:pStyle w:val="FirstParagraph"/>
      </w:pPr>
      <w:r>
        <w:t xml:space="preserve">The block-averages of wind components are expected to be the same in SonicLib and pbl_met - up to rounding and the number of significant figures printed by R and the am_test.f90 pbl_met test procedure.</w:t>
      </w:r>
    </w:p>
    <w:p>
      <w:pPr>
        <w:pStyle w:val="BodyText"/>
      </w:pPr>
      <w:r>
        <w:t xml:space="preserve">And here are the plots.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W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 can be seen, nothing to say: unanimous identity.</w:t>
      </w:r>
    </w:p>
    <w:p>
      <w:pPr>
        <w:pStyle w:val="Heading2"/>
      </w:pPr>
      <w:bookmarkStart w:id="28" w:name="temperature"/>
      <w:r>
        <w:t xml:space="preserve">Temperature</w:t>
      </w:r>
      <w:bookmarkEnd w:id="28"/>
    </w:p>
    <w:p>
      <w:pPr>
        <w:pStyle w:val="FirstParagraph"/>
      </w:pPr>
      <w:r>
        <w:t xml:space="preserve">Here’s the comparison plot: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All right - or so it visually seems to me.</w:t>
      </w:r>
    </w:p>
    <w:p>
      <w:pPr>
        <w:pStyle w:val="Heading2"/>
      </w:pPr>
      <w:bookmarkStart w:id="30" w:name="raw-un-rotated-2nd-moments"/>
      <w:r>
        <w:t xml:space="preserve">Raw (un-rotated) 2nd moments</w:t>
      </w:r>
      <w:bookmarkEnd w:id="30"/>
    </w:p>
    <w:p>
      <w:pPr>
        <w:pStyle w:val="Heading3"/>
      </w:pPr>
      <w:bookmarkStart w:id="31" w:name="some-points"/>
      <w:r>
        <w:t xml:space="preserve">Some points</w:t>
      </w:r>
      <w:bookmarkEnd w:id="31"/>
    </w:p>
    <w:p>
      <w:pPr>
        <w:pStyle w:val="FirstParagraph"/>
      </w:pPr>
      <w:r>
        <w:t xml:space="preserve">Second moments constitute in a sense the core of eddy covariance, and demand very close attention. Their computing by means of the accumulator method, as used in pbl_met, is notoriously numerically unstable (this is why all moments are computed in double precision in pbl_met).</w:t>
      </w:r>
    </w:p>
    <w:p>
      <w:pPr>
        <w:pStyle w:val="BodyText"/>
      </w:pPr>
      <w:r>
        <w:t xml:space="preserve">In addition, an ambiguity arises: when computing the final values, should we divide by N or N-1? That is, would we love more population, or sample statistics? And, may we do something more than just</w:t>
      </w:r>
      <w:r>
        <w:t xml:space="preserve"> </w:t>
      </w:r>
      <w:r>
        <w:t xml:space="preserve">“</w:t>
      </w:r>
      <w:r>
        <w:t xml:space="preserve">loving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Questions.</w:t>
      </w:r>
    </w:p>
    <w:p>
      <w:pPr>
        <w:pStyle w:val="BodyText"/>
      </w:pPr>
      <w:r>
        <w:t xml:space="preserve">Nevertheless, their answer comes necessarily from comparisons.</w:t>
      </w:r>
    </w:p>
    <w:p>
      <w:pPr>
        <w:pStyle w:val="Heading3"/>
      </w:pPr>
      <w:bookmarkStart w:id="32" w:name="momentum-variances"/>
      <w:r>
        <w:t xml:space="preserve">Momentum variances</w:t>
      </w:r>
      <w:bookmarkEnd w:id="3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U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V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WW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All rights visually.</w:t>
      </w:r>
    </w:p>
    <w:p>
      <w:pPr>
        <w:pStyle w:val="Heading3"/>
      </w:pPr>
      <w:bookmarkStart w:id="36" w:name="momentum-covariances"/>
      <w:r>
        <w:t xml:space="preserve">Momentum covariances</w:t>
      </w:r>
      <w:bookmarkEnd w:id="36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V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W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W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All rights visually.</w:t>
      </w:r>
    </w:p>
    <w:p>
      <w:pPr>
        <w:pStyle w:val="Heading3"/>
      </w:pPr>
      <w:bookmarkStart w:id="40" w:name="temperature-variance"/>
      <w:r>
        <w:t xml:space="preserve">Temperature variance</w:t>
      </w:r>
      <w:bookmarkEnd w:id="40"/>
    </w:p>
    <w:p>
      <w:pPr>
        <w:pStyle w:val="FirstParagraph"/>
      </w:pPr>
      <w:r>
        <w:t xml:space="preserve">No plot is supplied, because SonicLib does not evaluate this parameter, and consequently no comparison can be made.</w:t>
      </w:r>
    </w:p>
    <w:p>
      <w:pPr>
        <w:pStyle w:val="Heading3"/>
      </w:pPr>
      <w:bookmarkStart w:id="41" w:name="momentum---temperature-covariances"/>
      <w:r>
        <w:t xml:space="preserve">Momentum - Temperature covariances</w:t>
      </w:r>
      <w:bookmarkEnd w:id="41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W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water-vapor"/>
      <w:r>
        <w:t xml:space="preserve">Water vapor</w:t>
      </w:r>
      <w:bookmarkEnd w:id="45"/>
    </w:p>
    <w:p>
      <w:pPr>
        <w:pStyle w:val="FirstParagraph"/>
      </w:pPr>
      <w:r>
        <w:t xml:space="preserve">Here comes the mean concentration: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Q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QQ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Q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Q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WQ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1" w:name="carbon-dioxide"/>
      <w:r>
        <w:t xml:space="preserve">Carbon dioxide</w:t>
      </w:r>
      <w:bookmarkEnd w:id="51"/>
    </w:p>
    <w:p>
      <w:pPr>
        <w:pStyle w:val="FirstParagraph"/>
      </w:pPr>
      <w:r>
        <w:t xml:space="preserve">Here comes the mean concentration: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C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CC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C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C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WC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7" w:name="rotation-angles"/>
      <w:r>
        <w:t xml:space="preserve">Rotation angles</w:t>
      </w:r>
      <w:bookmarkEnd w:id="57"/>
    </w:p>
    <w:p>
      <w:pPr>
        <w:pStyle w:val="FirstParagraph"/>
      </w:pPr>
      <w:r>
        <w:t xml:space="preserve">First and second rotation angles are the numerical core of eddy-covariance, and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 </w:t>
      </w:r>
      <w:r>
        <w:t xml:space="preserve">equal between SonicLib and pbl_met.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Iheta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Phi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0" w:name="wind-direction-vs-first-rotation-angle"/>
      <w:r>
        <w:t xml:space="preserve">Wind direction vs first rotation angle</w:t>
      </w:r>
      <w:bookmarkEnd w:id="60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Dir.theta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2" w:name="rotated-2nd-moments-of-momentum"/>
      <w:r>
        <w:t xml:space="preserve">Rotated 2nd moments of momentum</w:t>
      </w:r>
      <w:bookmarkEnd w:id="6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U.r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V.r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WW.r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V.r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W.r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W.r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9" w:name="rotated-temperature-momentum-covariances"/>
      <w:r>
        <w:t xml:space="preserve">Rotated temperature-momentum covariances</w:t>
      </w:r>
      <w:bookmarkEnd w:id="69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T.r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T.r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WT.r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23" Target="media/rId23.png" /><Relationship Type="http://schemas.openxmlformats.org/officeDocument/2006/relationships/image" Id="rId61" Target="media/rId61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29" Target="media/rId29.png" /><Relationship Type="http://schemas.openxmlformats.org/officeDocument/2006/relationships/image" Id="rId25" Target="media/rId25.png" /><Relationship Type="http://schemas.openxmlformats.org/officeDocument/2006/relationships/image" Id="rId54" Target="media/rId54.png" /><Relationship Type="http://schemas.openxmlformats.org/officeDocument/2006/relationships/image" Id="rId48" Target="media/rId48.png" /><Relationship Type="http://schemas.openxmlformats.org/officeDocument/2006/relationships/image" Id="rId42" Target="media/rId42.png" /><Relationship Type="http://schemas.openxmlformats.org/officeDocument/2006/relationships/image" Id="rId70" Target="media/rId70.png" /><Relationship Type="http://schemas.openxmlformats.org/officeDocument/2006/relationships/image" Id="rId33" Target="media/rId33.png" /><Relationship Type="http://schemas.openxmlformats.org/officeDocument/2006/relationships/image" Id="rId63" Target="media/rId63.png" /><Relationship Type="http://schemas.openxmlformats.org/officeDocument/2006/relationships/image" Id="rId37" Target="media/rId37.png" /><Relationship Type="http://schemas.openxmlformats.org/officeDocument/2006/relationships/image" Id="rId66" Target="media/rId66.png" /><Relationship Type="http://schemas.openxmlformats.org/officeDocument/2006/relationships/image" Id="rId38" Target="media/rId38.png" /><Relationship Type="http://schemas.openxmlformats.org/officeDocument/2006/relationships/image" Id="rId67" Target="media/rId67.png" /><Relationship Type="http://schemas.openxmlformats.org/officeDocument/2006/relationships/image" Id="rId26" Target="media/rId26.png" /><Relationship Type="http://schemas.openxmlformats.org/officeDocument/2006/relationships/image" Id="rId55" Target="media/rId55.png" /><Relationship Type="http://schemas.openxmlformats.org/officeDocument/2006/relationships/image" Id="rId49" Target="media/rId49.png" /><Relationship Type="http://schemas.openxmlformats.org/officeDocument/2006/relationships/image" Id="rId43" Target="media/rId43.png" /><Relationship Type="http://schemas.openxmlformats.org/officeDocument/2006/relationships/image" Id="rId71" Target="media/rId71.png" /><Relationship Type="http://schemas.openxmlformats.org/officeDocument/2006/relationships/image" Id="rId34" Target="media/rId34.png" /><Relationship Type="http://schemas.openxmlformats.org/officeDocument/2006/relationships/image" Id="rId64" Target="media/rId64.png" /><Relationship Type="http://schemas.openxmlformats.org/officeDocument/2006/relationships/image" Id="rId39" Target="media/rId39.png" /><Relationship Type="http://schemas.openxmlformats.org/officeDocument/2006/relationships/image" Id="rId68" Target="media/rId68.png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image" Id="rId56" Target="media/rId56.png" /><Relationship Type="http://schemas.openxmlformats.org/officeDocument/2006/relationships/image" Id="rId50" Target="media/rId50.png" /><Relationship Type="http://schemas.openxmlformats.org/officeDocument/2006/relationships/image" Id="rId44" Target="media/rId44.png" /><Relationship Type="http://schemas.openxmlformats.org/officeDocument/2006/relationships/image" Id="rId72" Target="media/rId72.png" /><Relationship Type="http://schemas.openxmlformats.org/officeDocument/2006/relationships/image" Id="rId35" Target="media/rId35.png" /><Relationship Type="http://schemas.openxmlformats.org/officeDocument/2006/relationships/image" Id="rId65" Target="media/rId6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Comparison Report for SonicLib and pbl_met</dc:title>
  <dc:creator>Mauri Favaron</dc:creator>
  <cp:keywords/>
  <dcterms:created xsi:type="dcterms:W3CDTF">2018-10-08T22:57:35Z</dcterms:created>
  <dcterms:modified xsi:type="dcterms:W3CDTF">2018-10-08T22:57:35Z</dcterms:modified>
</cp:coreProperties>
</file>