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AI Analytics — WebApp (Blazor) Integration Reference</w:t>
      </w:r>
    </w:p>
    <w:p>
      <w:pPr>
        <w:spacing w:after="120"/>
      </w:pPr>
      <w:r>
        <w:t xml:space="preserve">This document describes how the AI Analytics feature works within the PlanetTogether WebApp (Blazor Server). It covers menu visibility, access control, and the embed token handshake used to authenticate users into the AI Analytics iframe app.</w:t>
      </w:r>
    </w:p>
    <w:p>
      <w:pPr>
        <w:pStyle w:val="Heading1"/>
      </w:pPr>
      <w:r>
        <w:rPr>
          <w:b/>
          <w:bCs/>
        </w:rPr>
        <w:t xml:space="preserve">1. Menu Visibility</w:t>
      </w:r>
    </w:p>
    <w:p>
      <w:pPr>
        <w:spacing w:after="120"/>
      </w:pPr>
      <w:r>
        <w:t xml:space="preserve">The "AI Analytics" menu item is added in NavigationStateService.cs. It appears in the left navigation menu only if the logged-in user has a role named AI_Analytics scoped to their company.</w:t>
      </w:r>
    </w:p>
    <w:p>
      <w:pPr>
        <w:spacing w:after="120"/>
      </w:pPr>
      <w:r>
        <w:rPr>
          <w:b/>
          <w:bCs/>
        </w:rPr>
        <w:t xml:space="preserve">Role check:</w:t>
      </w:r>
    </w:p>
    <w:p>
      <w:pPr>
        <w:shd w:fill="F2F2F2"/>
        <w:spacing w:after="20"/>
        <w:ind w:left="360"/>
      </w:pPr>
      <w:r>
        <w:rPr>
          <w:rFonts w:ascii="Courier New" w:cs="Courier New" w:eastAsia="Courier New" w:hAnsi="Courier New"/>
          <w:sz w:val="18"/>
          <w:szCs w:val="18"/>
        </w:rPr>
        <w:t xml:space="preserve">User.Roles.Any(r =&gt; r.Name == "AI_Analytics" &amp;&amp; r.CompanyId == User.CompanyId)</w:t>
      </w:r>
    </w:p>
    <w:p>
      <w:pPr>
        <w:pStyle w:val="ListParagraph"/>
        <w:numPr>
          <w:ilvl w:val="0"/>
          <w:numId w:val="1"/>
        </w:numPr>
        <w:spacing w:after="60"/>
      </w:pPr>
      <w:r>
        <w:t xml:space="preserve">The role AI_Analytics must exist in the dbo.Role table with the user's CompanyId.</w:t>
      </w:r>
    </w:p>
    <w:p>
      <w:pPr>
        <w:pStyle w:val="ListParagraph"/>
        <w:numPr>
          <w:ilvl w:val="0"/>
          <w:numId w:val="1"/>
        </w:numPr>
        <w:spacing w:after="60"/>
      </w:pPr>
      <w:r>
        <w:t xml:space="preserve">The user must be assigned that role via the dbo.UserRole join table (columns: UsersId, RoleId).</w:t>
      </w:r>
    </w:p>
    <w:p>
      <w:pPr>
        <w:pStyle w:val="ListParagraph"/>
        <w:numPr>
          <w:ilvl w:val="0"/>
          <w:numId w:val="1"/>
        </w:numPr>
        <w:spacing w:after="60"/>
      </w:pPr>
      <w:r>
        <w:t xml:space="preserve">The menu item appears after the "KB AI Chatbot" item.</w:t>
      </w:r>
    </w:p>
    <w:p>
      <w:pPr>
        <w:pStyle w:val="ListParagraph"/>
        <w:numPr>
          <w:ilvl w:val="0"/>
          <w:numId w:val="1"/>
        </w:numPr>
        <w:spacing w:after="60"/>
      </w:pPr>
      <w:r>
        <w:t xml:space="preserve">Menu item properties: Text = "AI Analytics", URL = "ai_analytics", Icon = "fa fa-chart-line".</w:t>
      </w:r>
    </w:p>
    <w:p>
      <w:pPr>
        <w:spacing w:after="120"/>
      </w:pPr>
      <w:r>
        <w:t xml:space="preserve">If the user does not have this role, the menu item is not rendered at all.</w:t>
      </w:r>
    </w:p>
    <w:p>
      <w:pPr>
        <w:pStyle w:val="Heading1"/>
      </w:pPr>
      <w:r>
        <w:rPr>
          <w:b/>
          <w:bCs/>
        </w:rPr>
        <w:t xml:space="preserve">2. Page Access Control</w:t>
      </w:r>
    </w:p>
    <w:p>
      <w:pPr>
        <w:spacing w:after="120"/>
      </w:pPr>
      <w:r>
        <w:t xml:space="preserve">The Blazor page is at route /ai_analytics (AIAnalytics.razor).</w:t>
      </w:r>
    </w:p>
    <w:p>
      <w:pPr>
        <w:pStyle w:val="ListParagraph"/>
        <w:numPr>
          <w:ilvl w:val="0"/>
          <w:numId w:val="1"/>
        </w:numPr>
        <w:spacing w:after="60"/>
      </w:pPr>
      <w:r>
        <w:t xml:space="preserve">The page has [Authorize], so unauthenticated users are redirected to login.</w:t>
      </w:r>
    </w:p>
    <w:p>
      <w:pPr>
        <w:pStyle w:val="ListParagraph"/>
        <w:numPr>
          <w:ilvl w:val="0"/>
          <w:numId w:val="1"/>
        </w:numPr>
        <w:spacing w:after="60"/>
      </w:pPr>
      <w:r>
        <w:t xml:space="preserve">On load, it checks BlockUsersByAuthStatus (standard WebApp auth pattern).</w:t>
      </w:r>
    </w:p>
    <w:p>
      <w:pPr>
        <w:pStyle w:val="ListParagraph"/>
        <w:numPr>
          <w:ilvl w:val="0"/>
          <w:numId w:val="1"/>
        </w:numPr>
        <w:spacing w:after="60"/>
      </w:pPr>
      <w:r>
        <w:t xml:space="preserve">It then checks for the AI_Analytics role (same check as the menu).</w:t>
      </w:r>
    </w:p>
    <w:p>
      <w:pPr>
        <w:pStyle w:val="ListParagraph"/>
        <w:numPr>
          <w:ilvl w:val="0"/>
          <w:numId w:val="1"/>
        </w:numPr>
        <w:spacing w:after="60"/>
      </w:pPr>
      <w:r>
        <w:t xml:space="preserve">If the user lacks the role, the page shows an "Access Denied" message instead of the iframe.</w:t>
      </w:r>
    </w:p>
    <w:p>
      <w:pPr>
        <w:spacing w:after="120"/>
      </w:pPr>
      <w:r>
        <w:t xml:space="preserve">Additionally, the page checks for the Company Admin role:</w:t>
      </w:r>
    </w:p>
    <w:p>
      <w:pPr>
        <w:shd w:fill="F2F2F2"/>
        <w:spacing w:after="20"/>
        <w:ind w:left="360"/>
      </w:pPr>
      <w:r>
        <w:rPr>
          <w:rFonts w:ascii="Courier New" w:cs="Courier New" w:eastAsia="Courier New" w:hAnsi="Courier New"/>
          <w:sz w:val="18"/>
          <w:szCs w:val="18"/>
        </w:rPr>
        <w:t xml:space="preserve">var isCompanyAdmin = User.Roles.Any(r =&gt; r.Name == "Company Admin"</w:t>
      </w:r>
    </w:p>
    <w:p>
      <w:pPr>
        <w:shd w:fill="F2F2F2"/>
        <w:spacing w:after="20"/>
        <w:ind w:left="360"/>
      </w:pPr>
      <w:r>
        <w:rPr>
          <w:rFonts w:ascii="Courier New" w:cs="Courier New" w:eastAsia="Courier New" w:hAnsi="Courier New"/>
          <w:sz w:val="18"/>
          <w:szCs w:val="18"/>
        </w:rPr>
        <w:t xml:space="preserve">    &amp;&amp; r.CompanyId == User.CompanyId);</w:t>
      </w:r>
    </w:p>
    <w:p>
      <w:pPr>
        <w:spacing w:after="120"/>
      </w:pPr>
      <w:r>
        <w:t xml:space="preserve">This flag is passed to the iframe app via the embed token (see below). The iframe app uses it to control access to its admin features.</w:t>
      </w:r>
    </w:p>
    <w:p>
      <w:pPr>
        <w:pStyle w:val="Heading1"/>
      </w:pPr>
      <w:r>
        <w:rPr>
          <w:b/>
          <w:bCs/>
        </w:rPr>
        <w:t xml:space="preserve">3. Embed Token (JWT)</w:t>
      </w:r>
    </w:p>
    <w:p>
      <w:pPr>
        <w:spacing w:after="120"/>
      </w:pPr>
      <w:r>
        <w:t xml:space="preserve">The WebApp does not pass Auth0 tokens to the iframe. Instead, it generates a short-lived, purpose-built JWT called an "embed token" and sends it via postMessage.</w:t>
      </w:r>
    </w:p>
    <w:p>
      <w:pPr>
        <w:pStyle w:val="Heading2"/>
      </w:pPr>
      <w:r>
        <w:rPr>
          <w:b/>
          <w:bCs/>
        </w:rPr>
        <w:t xml:space="preserve">Token Generation (EmbedTokenService)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sz w:val="20"/>
                <w:szCs w:val="20"/>
              </w:rPr>
              <w:t xml:space="preserve">Property</w:t>
            </w:r>
          </w:p>
        </w:tc>
        <w:tc>
          <w:tcPr>
            <w:tcW w:type="pct" w:w="50%"/>
          </w:tcPr>
          <w:p>
            <w:r>
              <w:rPr>
                <w:b/>
                <w:bCs/>
                <w:sz w:val="20"/>
                <w:szCs w:val="20"/>
              </w:rPr>
              <w:t xml:space="preserve">Value</w:t>
            </w:r>
          </w:p>
        </w:tc>
      </w:tr>
      <w:tr>
        <w:tc>
          <w:tcPr>
            <w:tcW w:type="pct" w:w="50%"/>
          </w:tcPr>
          <w:p>
            <w:r>
              <w:rPr>
                <w:b w:val="false"/>
                <w:bCs w:val="false"/>
                <w:sz w:val="20"/>
                <w:szCs w:val="20"/>
              </w:rPr>
              <w:t xml:space="preserve">Algorithm</w:t>
            </w:r>
          </w:p>
        </w:tc>
        <w:tc>
          <w:tcPr>
            <w:tcW w:type="pct" w:w="50%"/>
          </w:tcPr>
          <w:p>
            <w:r>
              <w:rPr>
                <w:b w:val="false"/>
                <w:bCs w:val="false"/>
                <w:sz w:val="20"/>
                <w:szCs w:val="20"/>
              </w:rPr>
              <w:t xml:space="preserve">HMAC-SHA256 (symmetric)</w:t>
            </w:r>
          </w:p>
        </w:tc>
      </w:tr>
      <w:tr>
        <w:tc>
          <w:tcPr>
            <w:tcW w:type="pct" w:w="50%"/>
          </w:tcPr>
          <w:p>
            <w:r>
              <w:rPr>
                <w:b w:val="false"/>
                <w:bCs w:val="false"/>
                <w:sz w:val="20"/>
                <w:szCs w:val="20"/>
              </w:rPr>
              <w:t xml:space="preserve">Signing Key</w:t>
            </w:r>
          </w:p>
        </w:tc>
        <w:tc>
          <w:tcPr>
            <w:tcW w:type="pct" w:w="50%"/>
          </w:tcPr>
          <w:p>
            <w:r>
              <w:rPr>
                <w:b w:val="false"/>
                <w:bCs w:val="false"/>
                <w:sz w:val="20"/>
                <w:szCs w:val="20"/>
              </w:rPr>
              <w:t xml:space="preserve">EMBED_TOKEN_SECRET environment variable (or Azure Key Vault secret EMBED-TOKEN-SECRET)</w:t>
            </w:r>
          </w:p>
        </w:tc>
      </w:tr>
      <w:tr>
        <w:tc>
          <w:tcPr>
            <w:tcW w:type="pct" w:w="50%"/>
          </w:tcPr>
          <w:p>
            <w:r>
              <w:rPr>
                <w:b w:val="false"/>
                <w:bCs w:val="false"/>
                <w:sz w:val="20"/>
                <w:szCs w:val="20"/>
              </w:rPr>
              <w:t xml:space="preserve">Issuer (iss)</w:t>
            </w:r>
          </w:p>
        </w:tc>
        <w:tc>
          <w:tcPr>
            <w:tcW w:type="pct" w:w="50%"/>
          </w:tcPr>
          <w:p>
            <w:r>
              <w:rPr>
                <w:b w:val="false"/>
                <w:bCs w:val="false"/>
                <w:sz w:val="20"/>
                <w:szCs w:val="20"/>
              </w:rPr>
              <w:t xml:space="preserve">PlanetTogether.WebApp</w:t>
            </w:r>
          </w:p>
        </w:tc>
      </w:tr>
      <w:tr>
        <w:tc>
          <w:tcPr>
            <w:tcW w:type="pct" w:w="50%"/>
          </w:tcPr>
          <w:p>
            <w:r>
              <w:rPr>
                <w:b w:val="false"/>
                <w:bCs w:val="false"/>
                <w:sz w:val="20"/>
                <w:szCs w:val="20"/>
              </w:rPr>
              <w:t xml:space="preserve">Audience (aud)</w:t>
            </w:r>
          </w:p>
        </w:tc>
        <w:tc>
          <w:tcPr>
            <w:tcW w:type="pct" w:w="50%"/>
          </w:tcPr>
          <w:p>
            <w:r>
              <w:rPr>
                <w:b w:val="false"/>
                <w:bCs w:val="false"/>
                <w:sz w:val="20"/>
                <w:szCs w:val="20"/>
              </w:rPr>
              <w:t xml:space="preserve">PlanetTogether.EmbedApp</w:t>
            </w:r>
          </w:p>
        </w:tc>
      </w:tr>
      <w:tr>
        <w:tc>
          <w:tcPr>
            <w:tcW w:type="pct" w:w="50%"/>
          </w:tcPr>
          <w:p>
            <w:r>
              <w:rPr>
                <w:b w:val="false"/>
                <w:bCs w:val="false"/>
                <w:sz w:val="20"/>
                <w:szCs w:val="20"/>
              </w:rPr>
              <w:t xml:space="preserve">Expiry (exp)</w:t>
            </w:r>
          </w:p>
        </w:tc>
        <w:tc>
          <w:tcPr>
            <w:tcW w:type="pct" w:w="50%"/>
          </w:tcPr>
          <w:p>
            <w:r>
              <w:rPr>
                <w:b w:val="false"/>
                <w:bCs w:val="false"/>
                <w:sz w:val="20"/>
                <w:szCs w:val="20"/>
              </w:rPr>
              <w:t xml:space="preserve">5 minutes from creation</w:t>
            </w:r>
          </w:p>
        </w:tc>
      </w:tr>
      <w:tr>
        <w:tc>
          <w:tcPr>
            <w:tcW w:type="pct" w:w="50%"/>
          </w:tcPr>
          <w:p>
            <w:r>
              <w:rPr>
                <w:b w:val="false"/>
                <w:bCs w:val="false"/>
                <w:sz w:val="20"/>
                <w:szCs w:val="20"/>
              </w:rPr>
              <w:t xml:space="preserve">Not Before (nbf)</w:t>
            </w:r>
          </w:p>
        </w:tc>
        <w:tc>
          <w:tcPr>
            <w:tcW w:type="pct" w:w="50%"/>
          </w:tcPr>
          <w:p>
            <w:r>
              <w:rPr>
                <w:b w:val="false"/>
                <w:bCs w:val="false"/>
                <w:sz w:val="20"/>
                <w:szCs w:val="20"/>
              </w:rPr>
              <w:t xml:space="preserve">30 seconds before creation (clock skew allowance)</w:t>
            </w:r>
          </w:p>
        </w:tc>
      </w:tr>
      <w:tr>
        <w:tc>
          <w:tcPr>
            <w:tcW w:type="pct" w:w="50%"/>
          </w:tcPr>
          <w:p>
            <w:r>
              <w:rPr>
                <w:b w:val="false"/>
                <w:bCs w:val="false"/>
                <w:sz w:val="20"/>
                <w:szCs w:val="20"/>
              </w:rPr>
              <w:t xml:space="preserve">JTI (jti)</w:t>
            </w:r>
          </w:p>
        </w:tc>
        <w:tc>
          <w:tcPr>
            <w:tcW w:type="pct" w:w="50%"/>
          </w:tcPr>
          <w:p>
            <w:r>
              <w:rPr>
                <w:b w:val="false"/>
                <w:bCs w:val="false"/>
                <w:sz w:val="20"/>
                <w:szCs w:val="20"/>
              </w:rPr>
              <w:t xml:space="preserve">Random GUID (prevents replay)</w:t>
            </w:r>
          </w:p>
        </w:tc>
      </w:tr>
    </w:tbl>
    <w:p>
      <w:pPr>
        <w:spacing w:after="120"/>
      </w:pPr>
      <w:r>
        <w:t xml:space="preserve"/>
      </w:r>
    </w:p>
    <w:p>
      <w:pPr>
        <w:pStyle w:val="Heading2"/>
      </w:pPr>
      <w:r>
        <w:rPr>
          <w:b/>
          <w:bCs/>
        </w:rPr>
        <w:t xml:space="preserve">Claims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sz w:val="20"/>
                <w:szCs w:val="20"/>
              </w:rPr>
              <w:t xml:space="preserve">Claim</w:t>
            </w:r>
          </w:p>
        </w:tc>
        <w:tc>
          <w:tcPr>
            <w:tcW w:type="pct" w:w="33.333333333333336%"/>
          </w:tcPr>
          <w:p>
            <w:r>
              <w:rPr>
                <w:b/>
                <w:bCs/>
                <w:sz w:val="20"/>
                <w:szCs w:val="20"/>
              </w:rPr>
              <w:t xml:space="preserve">Type</w:t>
            </w:r>
          </w:p>
        </w:tc>
        <w:tc>
          <w:tcPr>
            <w:tcW w:type="pct" w:w="33.333333333333336%"/>
          </w:tcPr>
          <w:p>
            <w:r>
              <w:rPr>
                <w:b/>
                <w:bCs/>
                <w:sz w:val="20"/>
                <w:szCs w:val="20"/>
              </w:rPr>
              <w:t xml:space="preserve">Description</w:t>
            </w:r>
          </w:p>
        </w:tc>
      </w:tr>
      <w:tr>
        <w:tc>
          <w:tcPr>
            <w:tcW w:type="pct" w:w="33.333333333333336%"/>
          </w:tcPr>
          <w:p>
            <w:r>
              <w:rPr>
                <w:b w:val="false"/>
                <w:bCs w:val="false"/>
                <w:sz w:val="20"/>
                <w:szCs w:val="20"/>
              </w:rPr>
              <w:t xml:space="preserve">email</w:t>
            </w:r>
          </w:p>
        </w:tc>
        <w:tc>
          <w:tcPr>
            <w:tcW w:type="pct" w:w="33.333333333333336%"/>
          </w:tcPr>
          <w:p>
            <w:r>
              <w:rPr>
                <w:b w:val="false"/>
                <w:bCs w:val="false"/>
                <w:sz w:val="20"/>
                <w:szCs w:val="20"/>
              </w:rPr>
              <w:t xml:space="preserve">string</w:t>
            </w:r>
          </w:p>
        </w:tc>
        <w:tc>
          <w:tcPr>
            <w:tcW w:type="pct" w:w="33.333333333333336%"/>
          </w:tcPr>
          <w:p>
            <w:r>
              <w:rPr>
                <w:b w:val="false"/>
                <w:bCs w:val="false"/>
                <w:sz w:val="20"/>
                <w:szCs w:val="20"/>
              </w:rPr>
              <w:t xml:space="preserve">User's email from Auth0 claims</w:t>
            </w:r>
          </w:p>
        </w:tc>
      </w:tr>
      <w:tr>
        <w:tc>
          <w:tcPr>
            <w:tcW w:type="pct" w:w="33.333333333333336%"/>
          </w:tcPr>
          <w:p>
            <w:r>
              <w:rPr>
                <w:b w:val="false"/>
                <w:bCs w:val="false"/>
                <w:sz w:val="20"/>
                <w:szCs w:val="20"/>
              </w:rPr>
              <w:t xml:space="preserve">companyId</w:t>
            </w:r>
          </w:p>
        </w:tc>
        <w:tc>
          <w:tcPr>
            <w:tcW w:type="pct" w:w="33.333333333333336%"/>
          </w:tcPr>
          <w:p>
            <w:r>
              <w:rPr>
                <w:b w:val="false"/>
                <w:bCs w:val="false"/>
                <w:sz w:val="20"/>
                <w:szCs w:val="20"/>
              </w:rPr>
              <w:t xml:space="preserve">int (as string)</w:t>
            </w:r>
          </w:p>
        </w:tc>
        <w:tc>
          <w:tcPr>
            <w:tcW w:type="pct" w:w="33.333333333333336%"/>
          </w:tcPr>
          <w:p>
            <w:r>
              <w:rPr>
                <w:b w:val="false"/>
                <w:bCs w:val="false"/>
                <w:sz w:val="20"/>
                <w:szCs w:val="20"/>
              </w:rPr>
              <w:t xml:space="preserve">User's CompanyId from the WebApp database</w:t>
            </w:r>
          </w:p>
        </w:tc>
      </w:tr>
      <w:tr>
        <w:tc>
          <w:tcPr>
            <w:tcW w:type="pct" w:w="33.333333333333336%"/>
          </w:tcPr>
          <w:p>
            <w:r>
              <w:rPr>
                <w:b w:val="false"/>
                <w:bCs w:val="false"/>
                <w:sz w:val="20"/>
                <w:szCs w:val="20"/>
              </w:rPr>
              <w:t xml:space="preserve">hasAIAnalyticsRole</w:t>
            </w:r>
          </w:p>
        </w:tc>
        <w:tc>
          <w:tcPr>
            <w:tcW w:type="pct" w:w="33.333333333333336%"/>
          </w:tcPr>
          <w:p>
            <w:r>
              <w:rPr>
                <w:b w:val="false"/>
                <w:bCs w:val="false"/>
                <w:sz w:val="20"/>
                <w:szCs w:val="20"/>
              </w:rPr>
              <w:t xml:space="preserve">"true"/"false"</w:t>
            </w:r>
          </w:p>
        </w:tc>
        <w:tc>
          <w:tcPr>
            <w:tcW w:type="pct" w:w="33.333333333333336%"/>
          </w:tcPr>
          <w:p>
            <w:r>
              <w:rPr>
                <w:b w:val="false"/>
                <w:bCs w:val="false"/>
                <w:sz w:val="20"/>
                <w:szCs w:val="20"/>
              </w:rPr>
              <w:t xml:space="preserve">Whether the user has the AI_Analytics role</w:t>
            </w:r>
          </w:p>
        </w:tc>
      </w:tr>
      <w:tr>
        <w:tc>
          <w:tcPr>
            <w:tcW w:type="pct" w:w="33.333333333333336%"/>
          </w:tcPr>
          <w:p>
            <w:r>
              <w:rPr>
                <w:b w:val="false"/>
                <w:bCs w:val="false"/>
                <w:sz w:val="20"/>
                <w:szCs w:val="20"/>
              </w:rPr>
              <w:t xml:space="preserve">isCompanyAdmin</w:t>
            </w:r>
          </w:p>
        </w:tc>
        <w:tc>
          <w:tcPr>
            <w:tcW w:type="pct" w:w="33.333333333333336%"/>
          </w:tcPr>
          <w:p>
            <w:r>
              <w:rPr>
                <w:b w:val="false"/>
                <w:bCs w:val="false"/>
                <w:sz w:val="20"/>
                <w:szCs w:val="20"/>
              </w:rPr>
              <w:t xml:space="preserve">"true"/"false"</w:t>
            </w:r>
          </w:p>
        </w:tc>
        <w:tc>
          <w:tcPr>
            <w:tcW w:type="pct" w:w="33.333333333333336%"/>
          </w:tcPr>
          <w:p>
            <w:r>
              <w:rPr>
                <w:b w:val="false"/>
                <w:bCs w:val="false"/>
                <w:sz w:val="20"/>
                <w:szCs w:val="20"/>
              </w:rPr>
              <w:t xml:space="preserve">Whether the user has the Company Admin role</w:t>
            </w:r>
          </w:p>
        </w:tc>
      </w:tr>
    </w:tbl>
    <w:p>
      <w:pPr>
        <w:spacing w:after="120"/>
      </w:pPr>
      <w:r>
        <w:t xml:space="preserve"/>
      </w:r>
    </w:p>
    <w:p>
      <w:pPr>
        <w:pStyle w:val="Heading2"/>
      </w:pPr>
      <w:r>
        <w:rPr>
          <w:b/>
          <w:bCs/>
        </w:rPr>
        <w:t xml:space="preserve">Secret Management</w:t>
      </w:r>
    </w:p>
    <w:p>
      <w:pPr>
        <w:spacing w:after="120"/>
      </w:pPr>
      <w:r>
        <w:t xml:space="preserve">The EMBED_TOKEN_SECRET is a shared symmetric key. Both the WebApp (token creator) and the iframe app (token verifier) must have the same value.</w:t>
      </w:r>
    </w:p>
    <w:p>
      <w:pPr>
        <w:pStyle w:val="ListParagraph"/>
        <w:numPr>
          <w:ilvl w:val="0"/>
          <w:numId w:val="1"/>
        </w:numPr>
        <w:spacing w:after="60"/>
      </w:pPr>
      <w:r>
        <w:t xml:space="preserve">Replit/Dev: Stored as an environment variable EMBED_TOKEN_SECRET</w:t>
      </w:r>
    </w:p>
    <w:p>
      <w:pPr>
        <w:pStyle w:val="ListParagraph"/>
        <w:numPr>
          <w:ilvl w:val="0"/>
          <w:numId w:val="1"/>
        </w:numPr>
        <w:spacing w:after="60"/>
      </w:pPr>
      <w:r>
        <w:t xml:space="preserve">Azure/Production: Stored in Azure Key Vault as EMBED-TOKEN-SECRET. The WebApp reads it via IConfiguration (Key Vault is registered as a configuration source). Azure Key Vault does not allow underscores in secret names, so hyphens are used; ASP.NET Core's Key Vault provider maps them automatically.</w:t>
      </w:r>
    </w:p>
    <w:p>
      <w:pPr>
        <w:spacing w:after="120"/>
      </w:pPr>
      <w:r>
        <w:t xml:space="preserve">The EmbedTokenService reads the secret with this fallback chain:</w:t>
      </w:r>
    </w:p>
    <w:p>
      <w:pPr>
        <w:spacing w:after="60"/>
        <w:ind w:left="360"/>
      </w:pPr>
      <w:r>
        <w:t xml:space="preserve">1. IConfiguration["EMBED_TOKEN_SECRET"] (covers appsettings.json, env vars, Key Vault)</w:t>
      </w:r>
    </w:p>
    <w:p>
      <w:pPr>
        <w:spacing w:after="60"/>
        <w:ind w:left="360"/>
      </w:pPr>
      <w:r>
        <w:t xml:space="preserve">2. Environment.GetEnvironmentVariable("EMBED_TOKEN_SECRET") (fallback)</w:t>
      </w:r>
    </w:p>
    <w:p>
      <w:pPr>
        <w:spacing w:after="60"/>
        <w:ind w:left="360"/>
      </w:pPr>
      <w:r>
        <w:t xml:space="preserve">3. Throws InvalidOperationException if neither is set</w:t>
      </w:r>
    </w:p>
    <w:p>
      <w:pPr>
        <w:pStyle w:val="Heading1"/>
      </w:pPr>
      <w:r>
        <w:rPr>
          <w:b/>
          <w:bCs/>
        </w:rPr>
        <w:t xml:space="preserve">4. postMessage Handshake</w:t>
      </w:r>
    </w:p>
    <w:p>
      <w:pPr>
        <w:spacing w:after="120"/>
      </w:pPr>
      <w:r>
        <w:t xml:space="preserve">The WebApp and iframe app communicate via the browser postMessage API. The handshake ensures the iframe is ready before credentials are sent.</w:t>
      </w:r>
    </w:p>
    <w:p>
      <w:pPr>
        <w:pStyle w:val="Heading2"/>
      </w:pPr>
      <w:r>
        <w:rPr>
          <w:b/>
          <w:bCs/>
        </w:rPr>
        <w:t xml:space="preserve">Sequence</w:t>
      </w:r>
    </w:p>
    <w:p>
      <w:pPr>
        <w:shd w:fill="F2F2F2"/>
        <w:spacing w:after="20"/>
        <w:ind w:left="360"/>
      </w:pPr>
      <w:r>
        <w:rPr>
          <w:rFonts w:ascii="Courier New" w:cs="Courier New" w:eastAsia="Courier New" w:hAnsi="Courier New"/>
          <w:sz w:val="18"/>
          <w:szCs w:val="18"/>
        </w:rPr>
        <w:t xml:space="preserve">Iframe App                          WebApp (parent)</w:t>
      </w:r>
    </w:p>
    <w:p>
      <w:pPr>
        <w:shd w:fill="F2F2F2"/>
        <w:spacing w:after="20"/>
        <w:ind w:left="360"/>
      </w:pPr>
      <w:r>
        <w:rPr>
          <w:rFonts w:ascii="Courier New" w:cs="Courier New" w:eastAsia="Courier New" w:hAnsi="Courier New"/>
          <w:sz w:val="18"/>
          <w:szCs w:val="18"/>
        </w:rPr>
        <w:t xml:space="preserve">    |                                     |</w:t>
      </w:r>
    </w:p>
    <w:p>
      <w:pPr>
        <w:shd w:fill="F2F2F2"/>
        <w:spacing w:after="20"/>
        <w:ind w:left="360"/>
      </w:pPr>
      <w:r>
        <w:rPr>
          <w:rFonts w:ascii="Courier New" w:cs="Courier New" w:eastAsia="Courier New" w:hAnsi="Courier New"/>
          <w:sz w:val="18"/>
          <w:szCs w:val="18"/>
        </w:rPr>
        <w:t xml:space="preserve">    |--- PT.EMBED.READY ---------------&gt;&gt;|   (iframe signals ready)</w:t>
      </w:r>
    </w:p>
    <w:p>
      <w:pPr>
        <w:shd w:fill="F2F2F2"/>
        <w:spacing w:after="20"/>
        <w:ind w:left="360"/>
      </w:pPr>
      <w:r>
        <w:rPr>
          <w:rFonts w:ascii="Courier New" w:cs="Courier New" w:eastAsia="Courier New" w:hAnsi="Courier New"/>
          <w:sz w:val="18"/>
          <w:szCs w:val="18"/>
        </w:rPr>
        <w:t xml:space="preserve">    |                                     |</w:t>
      </w:r>
    </w:p>
    <w:p>
      <w:pPr>
        <w:shd w:fill="F2F2F2"/>
        <w:spacing w:after="20"/>
        <w:ind w:left="360"/>
      </w:pPr>
      <w:r>
        <w:rPr>
          <w:rFonts w:ascii="Courier New" w:cs="Courier New" w:eastAsia="Courier New" w:hAnsi="Courier New"/>
          <w:sz w:val="18"/>
          <w:szCs w:val="18"/>
        </w:rPr>
        <w:t xml:space="preserve">    |&lt;&lt;--- PT.EMBED.AUTH -----------------|   (parent sends token + theme)</w:t>
      </w:r>
    </w:p>
    <w:p>
      <w:pPr>
        <w:shd w:fill="F2F2F2"/>
        <w:spacing w:after="20"/>
        <w:ind w:left="360"/>
      </w:pPr>
      <w:r>
        <w:rPr>
          <w:rFonts w:ascii="Courier New" w:cs="Courier New" w:eastAsia="Courier New" w:hAnsi="Courier New"/>
          <w:sz w:val="18"/>
          <w:szCs w:val="18"/>
        </w:rPr>
        <w:t xml:space="preserve">    |                                     |</w:t>
      </w:r>
    </w:p>
    <w:p>
      <w:pPr>
        <w:pStyle w:val="Heading2"/>
      </w:pPr>
      <w:r>
        <w:rPr>
          <w:b/>
          <w:bCs/>
        </w:rPr>
        <w:t xml:space="preserve">Step 1: Iframe sends READY signal</w:t>
      </w:r>
    </w:p>
    <w:p>
      <w:pPr>
        <w:spacing w:after="120"/>
      </w:pPr>
      <w:r>
        <w:t xml:space="preserve">The iframe app posts a message when it is ready to receive authentication:</w:t>
      </w:r>
    </w:p>
    <w:p>
      <w:pPr>
        <w:shd w:fill="F2F2F2"/>
        <w:spacing w:after="20"/>
        <w:ind w:left="360"/>
      </w:pPr>
      <w:r>
        <w:rPr>
          <w:rFonts w:ascii="Courier New" w:cs="Courier New" w:eastAsia="Courier New" w:hAnsi="Courier New"/>
          <w:sz w:val="18"/>
          <w:szCs w:val="18"/>
        </w:rPr>
        <w:t xml:space="preserve">{ "type": "PT.EMBED.READY" }</w:t>
      </w:r>
    </w:p>
    <w:p>
      <w:pPr>
        <w:pStyle w:val="Heading2"/>
      </w:pPr>
      <w:r>
        <w:rPr>
          <w:b/>
          <w:bCs/>
        </w:rPr>
        <w:t xml:space="preserve">Step 2: WebApp sends AUTH payload</w:t>
      </w:r>
    </w:p>
    <w:p>
      <w:pPr>
        <w:spacing w:after="120"/>
      </w:pPr>
      <w:r>
        <w:t xml:space="preserve">The WebApp listens for the READY signal, validates the message origin, then responds:</w:t>
      </w:r>
    </w:p>
    <w:p>
      <w:pPr>
        <w:shd w:fill="F2F2F2"/>
        <w:spacing w:after="20"/>
        <w:ind w:left="360"/>
      </w:pPr>
      <w:r>
        <w:rPr>
          <w:rFonts w:ascii="Courier New" w:cs="Courier New" w:eastAsia="Courier New" w:hAnsi="Courier New"/>
          <w:sz w:val="18"/>
          <w:szCs w:val="18"/>
        </w:rPr>
        <w:t xml:space="preserve">{</w:t>
      </w:r>
    </w:p>
    <w:p>
      <w:pPr>
        <w:shd w:fill="F2F2F2"/>
        <w:spacing w:after="20"/>
        <w:ind w:left="360"/>
      </w:pPr>
      <w:r>
        <w:rPr>
          <w:rFonts w:ascii="Courier New" w:cs="Courier New" w:eastAsia="Courier New" w:hAnsi="Courier New"/>
          <w:sz w:val="18"/>
          <w:szCs w:val="18"/>
        </w:rPr>
        <w:t xml:space="preserve">  "type": "PT.EMBED.AUTH",</w:t>
      </w:r>
    </w:p>
    <w:p>
      <w:pPr>
        <w:shd w:fill="F2F2F2"/>
        <w:spacing w:after="20"/>
        <w:ind w:left="360"/>
      </w:pPr>
      <w:r>
        <w:rPr>
          <w:rFonts w:ascii="Courier New" w:cs="Courier New" w:eastAsia="Courier New" w:hAnsi="Courier New"/>
          <w:sz w:val="18"/>
          <w:szCs w:val="18"/>
        </w:rPr>
        <w:t xml:space="preserve">  "version": 1,</w:t>
      </w:r>
    </w:p>
    <w:p>
      <w:pPr>
        <w:shd w:fill="F2F2F2"/>
        <w:spacing w:after="20"/>
        <w:ind w:left="360"/>
      </w:pPr>
      <w:r>
        <w:rPr>
          <w:rFonts w:ascii="Courier New" w:cs="Courier New" w:eastAsia="Courier New" w:hAnsi="Courier New"/>
          <w:sz w:val="18"/>
          <w:szCs w:val="18"/>
        </w:rPr>
        <w:t xml:space="preserve">  "payload": {</w:t>
      </w:r>
    </w:p>
    <w:p>
      <w:pPr>
        <w:shd w:fill="F2F2F2"/>
        <w:spacing w:after="20"/>
        <w:ind w:left="360"/>
      </w:pPr>
      <w:r>
        <w:rPr>
          <w:rFonts w:ascii="Courier New" w:cs="Courier New" w:eastAsia="Courier New" w:hAnsi="Courier New"/>
          <w:sz w:val="18"/>
          <w:szCs w:val="18"/>
        </w:rPr>
        <w:t xml:space="preserve">    "embedToken": "&lt;JWT string&gt;",</w:t>
      </w:r>
    </w:p>
    <w:p>
      <w:pPr>
        <w:shd w:fill="F2F2F2"/>
        <w:spacing w:after="20"/>
        <w:ind w:left="360"/>
      </w:pPr>
      <w:r>
        <w:rPr>
          <w:rFonts w:ascii="Courier New" w:cs="Courier New" w:eastAsia="Courier New" w:hAnsi="Courier New"/>
          <w:sz w:val="18"/>
          <w:szCs w:val="18"/>
        </w:rPr>
        <w:t xml:space="preserve">    "ui": {</w:t>
      </w:r>
    </w:p>
    <w:p>
      <w:pPr>
        <w:shd w:fill="F2F2F2"/>
        <w:spacing w:after="20"/>
        <w:ind w:left="360"/>
      </w:pPr>
      <w:r>
        <w:rPr>
          <w:rFonts w:ascii="Courier New" w:cs="Courier New" w:eastAsia="Courier New" w:hAnsi="Courier New"/>
          <w:sz w:val="18"/>
          <w:szCs w:val="18"/>
        </w:rPr>
        <w:t xml:space="preserve">      "theme": "dark" | "light"</w:t>
      </w:r>
    </w:p>
    <w:p>
      <w:pPr>
        <w:shd w:fill="F2F2F2"/>
        <w:spacing w:after="20"/>
        <w:ind w:left="360"/>
      </w:pPr>
      <w:r>
        <w:rPr>
          <w:rFonts w:ascii="Courier New" w:cs="Courier New" w:eastAsia="Courier New" w:hAnsi="Courier New"/>
          <w:sz w:val="18"/>
          <w:szCs w:val="18"/>
        </w:rPr>
        <w:t xml:space="preserve">    }</w:t>
      </w:r>
    </w:p>
    <w:p>
      <w:pPr>
        <w:shd w:fill="F2F2F2"/>
        <w:spacing w:after="20"/>
        <w:ind w:left="360"/>
      </w:pPr>
      <w:r>
        <w:rPr>
          <w:rFonts w:ascii="Courier New" w:cs="Courier New" w:eastAsia="Courier New" w:hAnsi="Courier New"/>
          <w:sz w:val="18"/>
          <w:szCs w:val="18"/>
        </w:rPr>
        <w:t xml:space="preserve">  }</w:t>
      </w:r>
    </w:p>
    <w:p>
      <w:pPr>
        <w:shd w:fill="F2F2F2"/>
        <w:spacing w:after="20"/>
        <w:ind w:left="360"/>
      </w:pPr>
      <w:r>
        <w:rPr>
          <w:rFonts w:ascii="Courier New" w:cs="Courier New" w:eastAsia="Courier New" w:hAnsi="Courier New"/>
          <w:sz w:val="18"/>
          <w:szCs w:val="18"/>
        </w:rPr>
        <w:t xml:space="preserve">}</w:t>
      </w:r>
    </w:p>
    <w:p>
      <w:pPr>
        <w:pStyle w:val="Heading2"/>
      </w:pPr>
      <w:r>
        <w:rPr>
          <w:b/>
          <w:bCs/>
        </w:rPr>
        <w:t xml:space="preserve">Security</w:t>
      </w:r>
    </w:p>
    <w:p>
      <w:pPr>
        <w:pStyle w:val="ListParagraph"/>
        <w:numPr>
          <w:ilvl w:val="0"/>
          <w:numId w:val="1"/>
        </w:numPr>
        <w:spacing w:after="60"/>
      </w:pPr>
      <w:r>
        <w:t xml:space="preserve">The WebApp validates event.origin matches the expected iframe origin before processing any message.</w:t>
      </w:r>
    </w:p>
    <w:p>
      <w:pPr>
        <w:pStyle w:val="ListParagraph"/>
        <w:numPr>
          <w:ilvl w:val="0"/>
          <w:numId w:val="1"/>
        </w:numPr>
        <w:spacing w:after="60"/>
      </w:pPr>
      <w:r>
        <w:t xml:space="preserve">The WebApp sends the response with an explicit targetOrigin (not "*").</w:t>
      </w:r>
    </w:p>
    <w:p>
      <w:pPr>
        <w:pStyle w:val="ListParagraph"/>
        <w:numPr>
          <w:ilvl w:val="0"/>
          <w:numId w:val="1"/>
        </w:numPr>
        <w:spacing w:after="60"/>
      </w:pPr>
      <w:r>
        <w:t xml:space="preserve">The listener is one-shot: it removes itself after sending the auth payload.</w:t>
      </w:r>
    </w:p>
    <w:p>
      <w:pPr>
        <w:pStyle w:val="ListParagraph"/>
        <w:numPr>
          <w:ilvl w:val="0"/>
          <w:numId w:val="1"/>
        </w:numPr>
        <w:spacing w:after="60"/>
      </w:pPr>
      <w:r>
        <w:t xml:space="preserve">The listener is cleaned up on page dispose (via IAsyncDisposable).</w:t>
      </w:r>
    </w:p>
    <w:p>
      <w:pPr>
        <w:pStyle w:val="ListParagraph"/>
        <w:numPr>
          <w:ilvl w:val="0"/>
          <w:numId w:val="1"/>
        </w:numPr>
        <w:spacing w:after="60"/>
      </w:pPr>
      <w:r>
        <w:t xml:space="preserve">The theme value ("dark" or "light") comes from the WebApp's IDarkModeService.</w:t>
      </w:r>
    </w:p>
    <w:p>
      <w:pPr>
        <w:pStyle w:val="Heading1"/>
      </w:pPr>
      <w:r>
        <w:rPr>
          <w:b/>
          <w:bCs/>
        </w:rPr>
        <w:t xml:space="preserve">5. Iframe App URL</w:t>
      </w:r>
    </w:p>
    <w:p>
      <w:pPr>
        <w:spacing w:after="120"/>
      </w:pPr>
      <w:r>
        <w:t xml:space="preserve">The iframe app is hosted at:</w:t>
      </w:r>
    </w:p>
    <w:p>
      <w:pPr>
        <w:shd w:fill="F2F2F2"/>
        <w:spacing w:after="20"/>
        <w:ind w:left="360"/>
      </w:pPr>
      <w:r>
        <w:rPr>
          <w:rFonts w:ascii="Courier New" w:cs="Courier New" w:eastAsia="Courier New" w:hAnsi="Courier New"/>
          <w:sz w:val="18"/>
          <w:szCs w:val="18"/>
        </w:rPr>
        <w:t xml:space="preserve">https://query-insight-hvdvbpaugearfba2.westus2-01.azurewebsites.net/</w:t>
      </w:r>
    </w:p>
    <w:p>
      <w:pPr>
        <w:spacing w:after="120"/>
      </w:pPr>
      <w:r>
        <w:t xml:space="preserve">This URL is hardcoded as both IframeUrl (the iframe src) and IframeOrigin (for postMessage origin validation) in AIAnalytics.razor.</w:t>
      </w:r>
    </w:p>
    <w:p>
      <w:pPr>
        <w:pStyle w:val="Heading1"/>
      </w:pPr>
      <w:r>
        <w:rPr>
          <w:b/>
          <w:bCs/>
        </w:rPr>
        <w:t xml:space="preserve">6. What the Iframe App Must Do</w:t>
      </w:r>
    </w:p>
    <w:p>
      <w:pPr>
        <w:spacing w:after="120"/>
      </w:pPr>
      <w:r>
        <w:t xml:space="preserve">The iframe app (separate codebase) is responsible for:</w:t>
      </w:r>
    </w:p>
    <w:p>
      <w:pPr>
        <w:spacing w:after="60"/>
        <w:ind w:left="360"/>
      </w:pPr>
      <w:r>
        <w:t xml:space="preserve">1. Posting PT.EMBED.READY when loaded.</w:t>
      </w:r>
    </w:p>
    <w:p>
      <w:pPr>
        <w:spacing w:after="60"/>
        <w:ind w:left="360"/>
      </w:pPr>
      <w:r>
        <w:t xml:space="preserve">2. Listening for PT.EMBED.AUTH messages, validating the parent origin.</w:t>
      </w:r>
    </w:p>
    <w:p>
      <w:pPr>
        <w:spacing w:after="60"/>
        <w:ind w:left="360"/>
      </w:pPr>
      <w:r>
        <w:t xml:space="preserve">3. Sending the received embedToken to its own backend: POST /api/session/from-embed.</w:t>
      </w:r>
    </w:p>
    <w:p>
      <w:pPr>
        <w:spacing w:after="60"/>
        <w:ind w:left="360"/>
      </w:pPr>
      <w:r>
        <w:t xml:space="preserve">4. Backend validates the JWT signature, exp, iss, aud, and extracts claims.</w:t>
      </w:r>
    </w:p>
    <w:p>
      <w:pPr>
        <w:spacing w:after="60"/>
        <w:ind w:left="360"/>
      </w:pPr>
      <w:r>
        <w:t xml:space="preserve">5. Backend creates a server-side session (HttpOnly Secure cookie). All subsequent requests use this session.</w:t>
      </w:r>
    </w:p>
    <w:p>
      <w:pPr>
        <w:spacing w:after="60"/>
        <w:ind w:left="360"/>
      </w:pPr>
      <w:r>
        <w:t xml:space="preserve">6. Applying the ui.theme preference to its UI.</w:t>
      </w:r>
    </w:p>
    <w:p>
      <w:pPr>
        <w:pStyle w:val="Heading1"/>
      </w:pPr>
      <w:r>
        <w:rPr>
          <w:b/>
          <w:bCs/>
        </w:rPr>
        <w:t xml:space="preserve">7. Database Roles (pt_webapp_dev)</w:t>
      </w:r>
    </w:p>
    <w:p>
      <w:pPr>
        <w:pStyle w:val="Heading2"/>
      </w:pPr>
      <w:r>
        <w:rPr>
          <w:b/>
          <w:bCs/>
        </w:rPr>
        <w:t xml:space="preserve">Relevant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sz w:val="20"/>
                <w:szCs w:val="20"/>
              </w:rPr>
              <w:t xml:space="preserve">Table</w:t>
            </w:r>
          </w:p>
        </w:tc>
        <w:tc>
          <w:tcPr>
            <w:tcW w:type="pct" w:w="50%"/>
          </w:tcPr>
          <w:p>
            <w:r>
              <w:rPr>
                <w:b/>
                <w:bCs/>
                <w:sz w:val="20"/>
                <w:szCs w:val="20"/>
              </w:rPr>
              <w:t xml:space="preserve">Purpose</w:t>
            </w:r>
          </w:p>
        </w:tc>
      </w:tr>
      <w:tr>
        <w:tc>
          <w:tcPr>
            <w:tcW w:type="pct" w:w="50%"/>
          </w:tcPr>
          <w:p>
            <w:r>
              <w:rPr>
                <w:b w:val="false"/>
                <w:bCs w:val="false"/>
                <w:sz w:val="20"/>
                <w:szCs w:val="20"/>
              </w:rPr>
              <w:t xml:space="preserve">dbo.Role</w:t>
            </w:r>
          </w:p>
        </w:tc>
        <w:tc>
          <w:tcPr>
            <w:tcW w:type="pct" w:w="50%"/>
          </w:tcPr>
          <w:p>
            <w:r>
              <w:rPr>
                <w:b w:val="false"/>
                <w:bCs w:val="false"/>
                <w:sz w:val="20"/>
                <w:szCs w:val="20"/>
              </w:rPr>
              <w:t xml:space="preserve">Role definitions (Id, Name, CompanyId)</w:t>
            </w:r>
          </w:p>
        </w:tc>
      </w:tr>
      <w:tr>
        <w:tc>
          <w:tcPr>
            <w:tcW w:type="pct" w:w="50%"/>
          </w:tcPr>
          <w:p>
            <w:r>
              <w:rPr>
                <w:b w:val="false"/>
                <w:bCs w:val="false"/>
                <w:sz w:val="20"/>
                <w:szCs w:val="20"/>
              </w:rPr>
              <w:t xml:space="preserve">dbo.UserRole</w:t>
            </w:r>
          </w:p>
        </w:tc>
        <w:tc>
          <w:tcPr>
            <w:tcW w:type="pct" w:w="50%"/>
          </w:tcPr>
          <w:p>
            <w:r>
              <w:rPr>
                <w:b w:val="false"/>
                <w:bCs w:val="false"/>
                <w:sz w:val="20"/>
                <w:szCs w:val="20"/>
              </w:rPr>
              <w:t xml:space="preserve">Join table (UsersId, RoleId)</w:t>
            </w:r>
          </w:p>
        </w:tc>
      </w:tr>
      <w:tr>
        <w:tc>
          <w:tcPr>
            <w:tcW w:type="pct" w:w="50%"/>
          </w:tcPr>
          <w:p>
            <w:r>
              <w:rPr>
                <w:b w:val="false"/>
                <w:bCs w:val="false"/>
                <w:sz w:val="20"/>
                <w:szCs w:val="20"/>
              </w:rPr>
              <w:t xml:space="preserve">dbo.User</w:t>
            </w:r>
          </w:p>
        </w:tc>
        <w:tc>
          <w:tcPr>
            <w:tcW w:type="pct" w:w="50%"/>
          </w:tcPr>
          <w:p>
            <w:r>
              <w:rPr>
                <w:b w:val="false"/>
                <w:bCs w:val="false"/>
                <w:sz w:val="20"/>
                <w:szCs w:val="20"/>
              </w:rPr>
              <w:t xml:space="preserve">User records (Id, Email, CompanyId)</w:t>
            </w:r>
          </w:p>
        </w:tc>
      </w:tr>
    </w:tbl>
    <w:p>
      <w:pPr>
        <w:spacing w:after="120"/>
      </w:pPr>
      <w:r>
        <w:t xml:space="preserve"/>
      </w:r>
    </w:p>
    <w:p>
      <w:pPr>
        <w:pStyle w:val="Heading2"/>
      </w:pPr>
      <w:r>
        <w:rPr>
          <w:b/>
          <w:bCs/>
        </w:rPr>
        <w:t xml:space="preserve">Relevant Role Names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sz w:val="20"/>
                <w:szCs w:val="20"/>
              </w:rPr>
              <w:t xml:space="preserve">Role Name</w:t>
            </w:r>
          </w:p>
        </w:tc>
        <w:tc>
          <w:tcPr>
            <w:tcW w:type="pct" w:w="50%"/>
          </w:tcPr>
          <w:p>
            <w:r>
              <w:rPr>
                <w:b/>
                <w:bCs/>
                <w:sz w:val="20"/>
                <w:szCs w:val="20"/>
              </w:rPr>
              <w:t xml:space="preserve">Purpose</w:t>
            </w:r>
          </w:p>
        </w:tc>
      </w:tr>
      <w:tr>
        <w:tc>
          <w:tcPr>
            <w:tcW w:type="pct" w:w="50%"/>
          </w:tcPr>
          <w:p>
            <w:r>
              <w:rPr>
                <w:b w:val="false"/>
                <w:bCs w:val="false"/>
                <w:sz w:val="20"/>
                <w:szCs w:val="20"/>
              </w:rPr>
              <w:t xml:space="preserve">AI_Analytics</w:t>
            </w:r>
          </w:p>
        </w:tc>
        <w:tc>
          <w:tcPr>
            <w:tcW w:type="pct" w:w="50%"/>
          </w:tcPr>
          <w:p>
            <w:r>
              <w:rPr>
                <w:b w:val="false"/>
                <w:bCs w:val="false"/>
                <w:sz w:val="20"/>
                <w:szCs w:val="20"/>
              </w:rPr>
              <w:t xml:space="preserve">Gates access to the AI Analytics menu item and page</w:t>
            </w:r>
          </w:p>
        </w:tc>
      </w:tr>
      <w:tr>
        <w:tc>
          <w:tcPr>
            <w:tcW w:type="pct" w:w="50%"/>
          </w:tcPr>
          <w:p>
            <w:r>
              <w:rPr>
                <w:b w:val="false"/>
                <w:bCs w:val="false"/>
                <w:sz w:val="20"/>
                <w:szCs w:val="20"/>
              </w:rPr>
              <w:t xml:space="preserve">Company Admin</w:t>
            </w:r>
          </w:p>
        </w:tc>
        <w:tc>
          <w:tcPr>
            <w:tcW w:type="pct" w:w="50%"/>
          </w:tcPr>
          <w:p>
            <w:r>
              <w:rPr>
                <w:b w:val="false"/>
                <w:bCs w:val="false"/>
                <w:sz w:val="20"/>
                <w:szCs w:val="20"/>
              </w:rPr>
              <w:t xml:space="preserve">Grants admin privileges in the iframe app</w:t>
            </w:r>
          </w:p>
        </w:tc>
      </w:tr>
    </w:tbl>
    <w:p>
      <w:pPr>
        <w:spacing w:after="120"/>
      </w:pPr>
      <w:r>
        <w:t xml:space="preserve">Both roles are company-scoped (each company has its own instance of these roles with a unique RoleId).</w:t>
      </w:r>
    </w:p>
    <w:p>
      <w:pPr>
        <w:pStyle w:val="Heading1"/>
      </w:pPr>
      <w:r>
        <w:rPr>
          <w:b/>
          <w:bCs/>
        </w:rPr>
        <w:t xml:space="preserve">8. Files in this Repo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sz w:val="20"/>
                <w:szCs w:val="20"/>
              </w:rPr>
              <w:t xml:space="preserve">File</w:t>
            </w:r>
          </w:p>
        </w:tc>
        <w:tc>
          <w:tcPr>
            <w:tcW w:type="pct" w:w="50%"/>
          </w:tcPr>
          <w:p>
            <w:r>
              <w:rPr>
                <w:b/>
                <w:bCs/>
                <w:sz w:val="20"/>
                <w:szCs w:val="20"/>
              </w:rPr>
              <w:t xml:space="preserve">Purpose</w:t>
            </w:r>
          </w:p>
        </w:tc>
      </w:tr>
      <w:tr>
        <w:tc>
          <w:tcPr>
            <w:tcW w:type="pct" w:w="50%"/>
          </w:tcPr>
          <w:p>
            <w:r>
              <w:rPr>
                <w:b w:val="false"/>
                <w:bCs w:val="false"/>
                <w:sz w:val="20"/>
                <w:szCs w:val="20"/>
              </w:rPr>
              <w:t xml:space="preserve">aps-web/WebApps/Pages/AIAnalytics.razor</w:t>
            </w:r>
          </w:p>
        </w:tc>
        <w:tc>
          <w:tcPr>
            <w:tcW w:type="pct" w:w="50%"/>
          </w:tcPr>
          <w:p>
            <w:r>
              <w:rPr>
                <w:b w:val="false"/>
                <w:bCs w:val="false"/>
                <w:sz w:val="20"/>
                <w:szCs w:val="20"/>
              </w:rPr>
              <w:t xml:space="preserve">Blazor page: role check, iframe rendering, JS interop</w:t>
            </w:r>
          </w:p>
        </w:tc>
      </w:tr>
      <w:tr>
        <w:tc>
          <w:tcPr>
            <w:tcW w:type="pct" w:w="50%"/>
          </w:tcPr>
          <w:p>
            <w:r>
              <w:rPr>
                <w:b w:val="false"/>
                <w:bCs w:val="false"/>
                <w:sz w:val="20"/>
                <w:szCs w:val="20"/>
              </w:rPr>
              <w:t xml:space="preserve">aps-web/WebApps/Services/EmbedTokenService.cs</w:t>
            </w:r>
          </w:p>
        </w:tc>
        <w:tc>
          <w:tcPr>
            <w:tcW w:type="pct" w:w="50%"/>
          </w:tcPr>
          <w:p>
            <w:r>
              <w:rPr>
                <w:b w:val="false"/>
                <w:bCs w:val="false"/>
                <w:sz w:val="20"/>
                <w:szCs w:val="20"/>
              </w:rPr>
              <w:t xml:space="preserve">JWT generation (HMAC-SHA256, 5-min expiry)</w:t>
            </w:r>
          </w:p>
        </w:tc>
      </w:tr>
      <w:tr>
        <w:tc>
          <w:tcPr>
            <w:tcW w:type="pct" w:w="50%"/>
          </w:tcPr>
          <w:p>
            <w:r>
              <w:rPr>
                <w:b w:val="false"/>
                <w:bCs w:val="false"/>
                <w:sz w:val="20"/>
                <w:szCs w:val="20"/>
              </w:rPr>
              <w:t xml:space="preserve">aps-web/WebApps/Services/IEmbedTokenService.cs</w:t>
            </w:r>
          </w:p>
        </w:tc>
        <w:tc>
          <w:tcPr>
            <w:tcW w:type="pct" w:w="50%"/>
          </w:tcPr>
          <w:p>
            <w:r>
              <w:rPr>
                <w:b w:val="false"/>
                <w:bCs w:val="false"/>
                <w:sz w:val="20"/>
                <w:szCs w:val="20"/>
              </w:rPr>
              <w:t xml:space="preserve">Interface for EmbedTokenService</w:t>
            </w:r>
          </w:p>
        </w:tc>
      </w:tr>
      <w:tr>
        <w:tc>
          <w:tcPr>
            <w:tcW w:type="pct" w:w="50%"/>
          </w:tcPr>
          <w:p>
            <w:r>
              <w:rPr>
                <w:b w:val="false"/>
                <w:bCs w:val="false"/>
                <w:sz w:val="20"/>
                <w:szCs w:val="20"/>
              </w:rPr>
              <w:t xml:space="preserve">aps-web/WebApps/wwwroot/js/aianalytics.js</w:t>
            </w:r>
          </w:p>
        </w:tc>
        <w:tc>
          <w:tcPr>
            <w:tcW w:type="pct" w:w="50%"/>
          </w:tcPr>
          <w:p>
            <w:r>
              <w:rPr>
                <w:b w:val="false"/>
                <w:bCs w:val="false"/>
                <w:sz w:val="20"/>
                <w:szCs w:val="20"/>
              </w:rPr>
              <w:t xml:space="preserve">postMessage handshake (listen for READY, send AUTH)</w:t>
            </w:r>
          </w:p>
        </w:tc>
      </w:tr>
      <w:tr>
        <w:tc>
          <w:tcPr>
            <w:tcW w:type="pct" w:w="50%"/>
          </w:tcPr>
          <w:p>
            <w:r>
              <w:rPr>
                <w:b w:val="false"/>
                <w:bCs w:val="false"/>
                <w:sz w:val="20"/>
                <w:szCs w:val="20"/>
              </w:rPr>
              <w:t xml:space="preserve">aps-web/ReportsWebApp.DB/Services/NavigationStateService.cs</w:t>
            </w:r>
          </w:p>
        </w:tc>
        <w:tc>
          <w:tcPr>
            <w:tcW w:type="pct" w:w="50%"/>
          </w:tcPr>
          <w:p>
            <w:r>
              <w:rPr>
                <w:b w:val="false"/>
                <w:bCs w:val="false"/>
                <w:sz w:val="20"/>
                <w:szCs w:val="20"/>
              </w:rPr>
              <w:t xml:space="preserve">Menu item (AI_Analytics role gate)</w:t>
            </w:r>
          </w:p>
        </w:tc>
      </w:tr>
      <w:tr>
        <w:tc>
          <w:tcPr>
            <w:tcW w:type="pct" w:w="50%"/>
          </w:tcPr>
          <w:p>
            <w:r>
              <w:rPr>
                <w:b w:val="false"/>
                <w:bCs w:val="false"/>
                <w:sz w:val="20"/>
                <w:szCs w:val="20"/>
              </w:rPr>
              <w:t xml:space="preserve">aps-web/WebApps/Program.cs</w:t>
            </w:r>
          </w:p>
        </w:tc>
        <w:tc>
          <w:tcPr>
            <w:tcW w:type="pct" w:w="50%"/>
          </w:tcPr>
          <w:p>
            <w:r>
              <w:rPr>
                <w:b w:val="false"/>
                <w:bCs w:val="false"/>
                <w:sz w:val="20"/>
                <w:szCs w:val="20"/>
              </w:rPr>
              <w:t xml:space="preserve">DI registration (EmbedTokenService as Singleton)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2026-02-27T01:28:52.358Z</dcterms:created>
  <dcterms:modified xsi:type="dcterms:W3CDTF">2026-02-27T01:28:52.358Z</dcterms:modified>
</cp:coreProperties>
</file>

<file path=docProps/custom.xml><?xml version="1.0" encoding="utf-8"?>
<Properties xmlns="http://schemas.openxmlformats.org/officeDocument/2006/custom-properties" xmlns:vt="http://schemas.openxmlformats.org/officeDocument/2006/docPropsVTypes"/>
</file>