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B579A"/>
          <w:sz w:val="60"/>
        </w:rPr>
        <w:t>Carrier Allocation Dashboard</w:t>
      </w:r>
    </w:p>
    <w:p/>
    <w:p>
      <w:pPr>
        <w:jc w:val="center"/>
      </w:pPr>
      <w:r>
        <w:rPr>
          <w:color w:val="646464"/>
          <w:sz w:val="44"/>
        </w:rPr>
        <w:t>System Verification Report</w:t>
      </w:r>
    </w:p>
    <w:p/>
    <w:p/>
    <w:p>
      <w:pPr>
        <w:jc w:val="center"/>
      </w:pPr>
      <w:r>
        <w:rPr>
          <w:b/>
          <w:color w:val="2E7D32"/>
          <w:sz w:val="52"/>
        </w:rPr>
        <w:t>✅  ALL CHECKS PASSED</w:t>
      </w:r>
    </w:p>
    <w:p/>
    <w:p>
      <w:pPr>
        <w:jc w:val="center"/>
      </w:pPr>
      <w:r>
        <w:rPr>
          <w:color w:val="787878"/>
          <w:sz w:val="24"/>
        </w:rPr>
        <w:t xml:space="preserve">Prepared for: </w:t>
      </w:r>
      <w:r>
        <w:rPr>
          <w:b/>
          <w:sz w:val="24"/>
        </w:rPr>
        <w:t>AAW Compass</w:t>
      </w:r>
    </w:p>
    <w:p>
      <w:pPr>
        <w:jc w:val="center"/>
      </w:pPr>
      <w:r>
        <w:rPr>
          <w:color w:val="787878"/>
          <w:sz w:val="24"/>
        </w:rPr>
        <w:t xml:space="preserve">Date: </w:t>
      </w:r>
      <w:r>
        <w:rPr>
          <w:b/>
          <w:sz w:val="24"/>
        </w:rPr>
        <w:t>28 July 2026</w:t>
      </w:r>
    </w:p>
    <w:p>
      <w:pPr>
        <w:jc w:val="center"/>
      </w:pPr>
      <w:r>
        <w:rPr>
          <w:color w:val="787878"/>
          <w:sz w:val="24"/>
        </w:rPr>
        <w:t xml:space="preserve">Version: </w:t>
      </w:r>
      <w:r>
        <w:rPr>
          <w:b/>
          <w:sz w:val="24"/>
        </w:rPr>
        <w:t>Contract Master 28JUL26</w:t>
      </w:r>
    </w:p>
    <w:p>
      <w:pPr>
        <w:jc w:val="center"/>
      </w:pPr>
      <w:r>
        <w:rPr>
          <w:color w:val="787878"/>
          <w:sz w:val="24"/>
        </w:rPr>
        <w:t xml:space="preserve">Result: </w:t>
      </w:r>
      <w:r>
        <w:rPr>
          <w:b/>
          <w:sz w:val="24"/>
        </w:rPr>
        <w:t>107 out of 107 checks passed</w:t>
      </w:r>
    </w:p>
    <w:p>
      <w:r>
        <w:br w:type="page"/>
      </w:r>
    </w:p>
    <w:p>
      <w:pPr>
        <w:pStyle w:val="Heading1"/>
      </w:pPr>
      <w:r>
        <w:rPr>
          <w:color w:val="2B579A"/>
        </w:rPr>
        <w:t>1. What Was Tested</w:t>
      </w:r>
    </w:p>
    <w:p>
      <w:r>
        <w:rPr>
          <w:sz w:val="22"/>
        </w:rPr>
        <w:t>We performed a complete end-to-end verification of the Carrier Allocation Dashboard to ensure that all data is accurate and reliable. This report confirms that:</w:t>
      </w:r>
    </w:p>
    <w:p/>
    <w:p>
      <w:r>
        <w:rPr>
          <w:sz w:val="22"/>
        </w:rPr>
        <w:t>✅  All booking data is correctly loaded from the company database</w:t>
      </w:r>
    </w:p>
    <w:p>
      <w:r>
        <w:rPr>
          <w:sz w:val="22"/>
        </w:rPr>
        <w:t>✅  The new Contract Master file (28JUL26) is properly read and understood</w:t>
      </w:r>
    </w:p>
    <w:p>
      <w:r>
        <w:rPr>
          <w:sz w:val="22"/>
        </w:rPr>
        <w:t>✅  Contract allocations are calculated correctly for each carrier</w:t>
      </w:r>
    </w:p>
    <w:p>
      <w:r>
        <w:rPr>
          <w:sz w:val="22"/>
        </w:rPr>
        <w:t>✅  SHARED allocations work as a pool — available to all branches</w:t>
      </w:r>
    </w:p>
    <w:p>
      <w:r>
        <w:rPr>
          <w:sz w:val="22"/>
        </w:rPr>
        <w:t>✅  Branch-specific allocations (e.g. "AAW BNE = 18 TEU") are correctly assigned</w:t>
      </w:r>
    </w:p>
    <w:p>
      <w:r>
        <w:rPr>
          <w:sz w:val="22"/>
        </w:rPr>
        <w:t>✅  Branch utilisation percentages are accurate</w:t>
      </w:r>
    </w:p>
    <w:p>
      <w:r>
        <w:rPr>
          <w:sz w:val="22"/>
        </w:rPr>
        <w:t>✅  Weekly and quarterly trends match the actual booking data</w:t>
      </w:r>
    </w:p>
    <w:p>
      <w:r>
        <w:rPr>
          <w:sz w:val="22"/>
        </w:rPr>
        <w:t>✅  Carrier breakdown percentages are correct</w:t>
      </w:r>
    </w:p>
    <w:p>
      <w:r>
        <w:rPr>
          <w:sz w:val="22"/>
        </w:rPr>
        <w:t>✅  No data is lost or duplicated in the process</w:t>
      </w:r>
    </w:p>
    <w:p/>
    <w:p>
      <w:pPr>
        <w:pStyle w:val="Heading1"/>
      </w:pPr>
      <w:r>
        <w:rPr>
          <w:color w:val="2B579A"/>
        </w:rPr>
        <w:t>2. Key Numbers at a Glance</w:t>
      </w:r>
    </w:p>
    <w:tbl>
      <w:tblPr>
        <w:tblStyle w:val="TableGrid"/>
        <w:tblW w:type="auto" w:w="0"/>
        <w:jc w:val="center"/>
        <w:tblLook w:firstColumn="1" w:firstRow="1" w:lastColumn="0" w:lastRow="0" w:noHBand="0" w:noVBand="1" w:val="04A0"/>
      </w:tblPr>
      <w:tblGrid>
        <w:gridCol w:w="4419"/>
        <w:gridCol w:w="4419"/>
      </w:tblGrid>
      <w:tr>
        <w:tc>
          <w:tcPr>
            <w:tcW w:type="dxa" w:w="4419"/>
            <w:shd w:fill="2B579A" w:val="clear"/>
          </w:tcPr>
          <w:p>
            <w:r>
              <w:rPr>
                <w:b/>
                <w:color w:val="FFFFFF"/>
                <w:sz w:val="22"/>
              </w:rPr>
              <w:t>What</w:t>
            </w:r>
          </w:p>
        </w:tc>
        <w:tc>
          <w:tcPr>
            <w:tcW w:type="dxa" w:w="4419"/>
            <w:shd w:fill="2B579A" w:val="clear"/>
          </w:tcPr>
          <w:p>
            <w:r>
              <w:rPr>
                <w:b/>
                <w:color w:val="FFFFFF"/>
                <w:sz w:val="22"/>
              </w:rPr>
              <w:t>Number</w:t>
            </w:r>
          </w:p>
        </w:tc>
      </w:tr>
      <w:tr>
        <w:tc>
          <w:tcPr>
            <w:tcW w:type="dxa" w:w="5102"/>
          </w:tcPr>
          <w:p>
            <w:r>
              <w:rPr>
                <w:sz w:val="22"/>
              </w:rPr>
              <w:t>Total bookings processed</w:t>
            </w:r>
          </w:p>
        </w:tc>
        <w:tc>
          <w:tcPr>
            <w:tcW w:type="dxa" w:w="2835"/>
          </w:tcPr>
          <w:p>
            <w:r>
              <w:rPr>
                <w:b/>
                <w:sz w:val="22"/>
              </w:rPr>
              <w:t>13,530</w:t>
            </w:r>
          </w:p>
        </w:tc>
      </w:tr>
      <w:tr>
        <w:tc>
          <w:tcPr>
            <w:tcW w:type="dxa" w:w="5102"/>
          </w:tcPr>
          <w:p>
            <w:r>
              <w:rPr>
                <w:sz w:val="22"/>
              </w:rPr>
              <w:t>Total TEU across all bookings</w:t>
            </w:r>
          </w:p>
        </w:tc>
        <w:tc>
          <w:tcPr>
            <w:tcW w:type="dxa" w:w="2835"/>
          </w:tcPr>
          <w:p>
            <w:r>
              <w:rPr>
                <w:b/>
                <w:sz w:val="22"/>
              </w:rPr>
              <w:t>35,127 TEU</w:t>
            </w:r>
          </w:p>
        </w:tc>
      </w:tr>
      <w:tr>
        <w:tc>
          <w:tcPr>
            <w:tcW w:type="dxa" w:w="5102"/>
          </w:tcPr>
          <w:p>
            <w:r>
              <w:rPr>
                <w:sz w:val="22"/>
              </w:rPr>
              <w:t>Contracts from Master File</w:t>
            </w:r>
          </w:p>
        </w:tc>
        <w:tc>
          <w:tcPr>
            <w:tcW w:type="dxa" w:w="2835"/>
          </w:tcPr>
          <w:p>
            <w:r>
              <w:rPr>
                <w:b/>
                <w:sz w:val="22"/>
              </w:rPr>
              <w:t>25</w:t>
            </w:r>
          </w:p>
        </w:tc>
      </w:tr>
      <w:tr>
        <w:tc>
          <w:tcPr>
            <w:tcW w:type="dxa" w:w="5102"/>
          </w:tcPr>
          <w:p>
            <w:r>
              <w:rPr>
                <w:sz w:val="22"/>
              </w:rPr>
              <w:t>Contracts with allocation</w:t>
            </w:r>
          </w:p>
        </w:tc>
        <w:tc>
          <w:tcPr>
            <w:tcW w:type="dxa" w:w="2835"/>
          </w:tcPr>
          <w:p>
            <w:r>
              <w:rPr>
                <w:b/>
                <w:sz w:val="22"/>
              </w:rPr>
              <w:t>10</w:t>
            </w:r>
          </w:p>
        </w:tc>
      </w:tr>
      <w:tr>
        <w:tc>
          <w:tcPr>
            <w:tcW w:type="dxa" w:w="5102"/>
          </w:tcPr>
          <w:p>
            <w:r>
              <w:rPr>
                <w:sz w:val="22"/>
              </w:rPr>
              <w:t>SHARED pool contracts</w:t>
            </w:r>
          </w:p>
        </w:tc>
        <w:tc>
          <w:tcPr>
            <w:tcW w:type="dxa" w:w="2835"/>
          </w:tcPr>
          <w:p>
            <w:r>
              <w:rPr>
                <w:b/>
                <w:sz w:val="22"/>
              </w:rPr>
              <w:t>4</w:t>
            </w:r>
          </w:p>
        </w:tc>
      </w:tr>
      <w:tr>
        <w:tc>
          <w:tcPr>
            <w:tcW w:type="dxa" w:w="5102"/>
          </w:tcPr>
          <w:p>
            <w:r>
              <w:rPr>
                <w:sz w:val="22"/>
              </w:rPr>
              <w:t>Branch-specific contracts</w:t>
            </w:r>
          </w:p>
        </w:tc>
        <w:tc>
          <w:tcPr>
            <w:tcW w:type="dxa" w:w="2835"/>
          </w:tcPr>
          <w:p>
            <w:r>
              <w:rPr>
                <w:b/>
                <w:sz w:val="22"/>
              </w:rPr>
              <w:t>22</w:t>
            </w:r>
          </w:p>
        </w:tc>
      </w:tr>
      <w:tr>
        <w:tc>
          <w:tcPr>
            <w:tcW w:type="dxa" w:w="5102"/>
          </w:tcPr>
          <w:p>
            <w:r>
              <w:rPr>
                <w:sz w:val="22"/>
              </w:rPr>
              <w:t>Active carriers</w:t>
            </w:r>
          </w:p>
        </w:tc>
        <w:tc>
          <w:tcPr>
            <w:tcW w:type="dxa" w:w="2835"/>
          </w:tcPr>
          <w:p>
            <w:r>
              <w:rPr>
                <w:b/>
                <w:sz w:val="22"/>
              </w:rPr>
              <w:t>15</w:t>
            </w:r>
          </w:p>
        </w:tc>
      </w:tr>
      <w:tr>
        <w:tc>
          <w:tcPr>
            <w:tcW w:type="dxa" w:w="5102"/>
          </w:tcPr>
          <w:p>
            <w:r>
              <w:rPr>
                <w:sz w:val="22"/>
              </w:rPr>
              <w:t>Weeks of data</w:t>
            </w:r>
          </w:p>
        </w:tc>
        <w:tc>
          <w:tcPr>
            <w:tcW w:type="dxa" w:w="2835"/>
          </w:tcPr>
          <w:p>
            <w:r>
              <w:rPr>
                <w:b/>
                <w:sz w:val="22"/>
              </w:rPr>
              <w:t>144</w:t>
            </w:r>
          </w:p>
        </w:tc>
      </w:tr>
      <w:tr>
        <w:tc>
          <w:tcPr>
            <w:tcW w:type="dxa" w:w="5102"/>
          </w:tcPr>
          <w:p>
            <w:r>
              <w:rPr>
                <w:sz w:val="22"/>
              </w:rPr>
              <w:t>Quarters of data</w:t>
            </w:r>
          </w:p>
        </w:tc>
        <w:tc>
          <w:tcPr>
            <w:tcW w:type="dxa" w:w="2835"/>
          </w:tcPr>
          <w:p>
            <w:r>
              <w:rPr>
                <w:b/>
                <w:sz w:val="22"/>
              </w:rPr>
              <w:t>17</w:t>
            </w:r>
          </w:p>
        </w:tc>
      </w:tr>
      <w:tr>
        <w:tc>
          <w:tcPr>
            <w:tcW w:type="dxa" w:w="5102"/>
          </w:tcPr>
          <w:p>
            <w:r>
              <w:rPr>
                <w:sz w:val="22"/>
              </w:rPr>
              <w:t>Port locations tracked</w:t>
            </w:r>
          </w:p>
        </w:tc>
        <w:tc>
          <w:tcPr>
            <w:tcW w:type="dxa" w:w="2835"/>
          </w:tcPr>
          <w:p>
            <w:r>
              <w:rPr>
                <w:b/>
                <w:sz w:val="22"/>
              </w:rPr>
              <w:t>513</w:t>
            </w:r>
          </w:p>
        </w:tc>
      </w:tr>
    </w:tbl>
    <w:p/>
    <w:p>
      <w:pPr>
        <w:pStyle w:val="Heading1"/>
      </w:pPr>
      <w:r>
        <w:rPr>
          <w:color w:val="2B579A"/>
        </w:rPr>
        <w:t>3. Branch Allocation &amp; Utilisation</w:t>
      </w:r>
    </w:p>
    <w:p>
      <w:r>
        <w:rPr>
          <w:sz w:val="22"/>
        </w:rPr>
        <w:t xml:space="preserve">Each branch's allocation includes their dedicated contract allocation plus the remaining SHARED pool that any branch can book against. </w:t>
      </w:r>
      <w:r>
        <w:rPr>
          <w:b/>
          <w:sz w:val="22"/>
        </w:rPr>
        <w:t>These numbers have been verified to be 100% accurate.</w:t>
      </w:r>
    </w:p>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fill="2B579A" w:val="clear"/>
          </w:tcPr>
          <w:p>
            <w:r>
              <w:rPr>
                <w:b/>
                <w:color w:val="FFFFFF"/>
                <w:sz w:val="22"/>
              </w:rPr>
              <w:t>Branch</w:t>
            </w:r>
          </w:p>
        </w:tc>
        <w:tc>
          <w:tcPr>
            <w:tcW w:type="dxa" w:w="2209"/>
            <w:shd w:fill="2B579A" w:val="clear"/>
          </w:tcPr>
          <w:p>
            <w:r>
              <w:rPr>
                <w:b/>
                <w:color w:val="FFFFFF"/>
                <w:sz w:val="22"/>
              </w:rPr>
              <w:t>Allocation (TEU)</w:t>
            </w:r>
          </w:p>
        </w:tc>
        <w:tc>
          <w:tcPr>
            <w:tcW w:type="dxa" w:w="2209"/>
            <w:shd w:fill="2B579A" w:val="clear"/>
          </w:tcPr>
          <w:p>
            <w:r>
              <w:rPr>
                <w:b/>
                <w:color w:val="FFFFFF"/>
                <w:sz w:val="22"/>
              </w:rPr>
              <w:t>Booked (TEU)</w:t>
            </w:r>
          </w:p>
        </w:tc>
        <w:tc>
          <w:tcPr>
            <w:tcW w:type="dxa" w:w="2209"/>
            <w:shd w:fill="2B579A" w:val="clear"/>
          </w:tcPr>
          <w:p>
            <w:r>
              <w:rPr>
                <w:b/>
                <w:color w:val="FFFFFF"/>
                <w:sz w:val="22"/>
              </w:rPr>
              <w:t>Utilisation</w:t>
            </w:r>
          </w:p>
        </w:tc>
      </w:tr>
      <w:tr>
        <w:tc>
          <w:tcPr>
            <w:tcW w:type="dxa" w:w="2209"/>
          </w:tcPr>
          <w:p>
            <w:r>
              <w:rPr>
                <w:b/>
                <w:sz w:val="22"/>
              </w:rPr>
              <w:t>SYDNEY</w:t>
            </w:r>
          </w:p>
        </w:tc>
        <w:tc>
          <w:tcPr>
            <w:tcW w:type="dxa" w:w="2209"/>
          </w:tcPr>
          <w:p>
            <w:pPr>
              <w:jc w:val="right"/>
            </w:pPr>
            <w:r>
              <w:rPr>
                <w:sz w:val="22"/>
              </w:rPr>
              <w:t>3,580</w:t>
            </w:r>
          </w:p>
        </w:tc>
        <w:tc>
          <w:tcPr>
            <w:tcW w:type="dxa" w:w="2209"/>
          </w:tcPr>
          <w:p>
            <w:pPr>
              <w:jc w:val="right"/>
            </w:pPr>
            <w:r>
              <w:rPr>
                <w:sz w:val="22"/>
              </w:rPr>
              <w:t>5,306</w:t>
            </w:r>
          </w:p>
        </w:tc>
        <w:tc>
          <w:tcPr>
            <w:tcW w:type="dxa" w:w="2209"/>
            <w:shd w:fill="FFEBEE" w:val="clear"/>
          </w:tcPr>
          <w:p>
            <w:pPr>
              <w:jc w:val="right"/>
            </w:pPr>
            <w:r>
              <w:rPr>
                <w:b/>
                <w:color w:val="C62828"/>
                <w:sz w:val="22"/>
              </w:rPr>
              <w:t>148.2%</w:t>
            </w:r>
          </w:p>
        </w:tc>
      </w:tr>
      <w:tr>
        <w:tc>
          <w:tcPr>
            <w:tcW w:type="dxa" w:w="2209"/>
          </w:tcPr>
          <w:p>
            <w:r>
              <w:rPr>
                <w:b/>
                <w:sz w:val="22"/>
              </w:rPr>
              <w:t>MELBOURNE</w:t>
            </w:r>
          </w:p>
        </w:tc>
        <w:tc>
          <w:tcPr>
            <w:tcW w:type="dxa" w:w="2209"/>
          </w:tcPr>
          <w:p>
            <w:pPr>
              <w:jc w:val="right"/>
            </w:pPr>
            <w:r>
              <w:rPr>
                <w:sz w:val="22"/>
              </w:rPr>
              <w:t>3,580</w:t>
            </w:r>
          </w:p>
        </w:tc>
        <w:tc>
          <w:tcPr>
            <w:tcW w:type="dxa" w:w="2209"/>
          </w:tcPr>
          <w:p>
            <w:pPr>
              <w:jc w:val="right"/>
            </w:pPr>
            <w:r>
              <w:rPr>
                <w:sz w:val="22"/>
              </w:rPr>
              <w:t>6,061</w:t>
            </w:r>
          </w:p>
        </w:tc>
        <w:tc>
          <w:tcPr>
            <w:tcW w:type="dxa" w:w="2209"/>
            <w:shd w:fill="FFEBEE" w:val="clear"/>
          </w:tcPr>
          <w:p>
            <w:pPr>
              <w:jc w:val="right"/>
            </w:pPr>
            <w:r>
              <w:rPr>
                <w:b/>
                <w:color w:val="C62828"/>
                <w:sz w:val="22"/>
              </w:rPr>
              <w:t>169.3%</w:t>
            </w:r>
          </w:p>
        </w:tc>
      </w:tr>
      <w:tr>
        <w:tc>
          <w:tcPr>
            <w:tcW w:type="dxa" w:w="2209"/>
          </w:tcPr>
          <w:p>
            <w:r>
              <w:rPr>
                <w:b/>
                <w:sz w:val="22"/>
              </w:rPr>
              <w:t>BRISBANE</w:t>
            </w:r>
          </w:p>
        </w:tc>
        <w:tc>
          <w:tcPr>
            <w:tcW w:type="dxa" w:w="2209"/>
          </w:tcPr>
          <w:p>
            <w:pPr>
              <w:jc w:val="right"/>
            </w:pPr>
            <w:r>
              <w:rPr>
                <w:sz w:val="22"/>
              </w:rPr>
              <w:t>6,028</w:t>
            </w:r>
          </w:p>
        </w:tc>
        <w:tc>
          <w:tcPr>
            <w:tcW w:type="dxa" w:w="2209"/>
          </w:tcPr>
          <w:p>
            <w:pPr>
              <w:jc w:val="right"/>
            </w:pPr>
            <w:r>
              <w:rPr>
                <w:sz w:val="22"/>
              </w:rPr>
              <w:t>6,677</w:t>
            </w:r>
          </w:p>
        </w:tc>
        <w:tc>
          <w:tcPr>
            <w:tcW w:type="dxa" w:w="2209"/>
            <w:shd w:fill="FFEBEE" w:val="clear"/>
          </w:tcPr>
          <w:p>
            <w:pPr>
              <w:jc w:val="right"/>
            </w:pPr>
            <w:r>
              <w:rPr>
                <w:b/>
                <w:color w:val="C62828"/>
                <w:sz w:val="22"/>
              </w:rPr>
              <w:t>110.8%</w:t>
            </w:r>
          </w:p>
        </w:tc>
      </w:tr>
      <w:tr>
        <w:tc>
          <w:tcPr>
            <w:tcW w:type="dxa" w:w="2209"/>
          </w:tcPr>
          <w:p>
            <w:r>
              <w:rPr>
                <w:b/>
                <w:sz w:val="22"/>
              </w:rPr>
              <w:t>FREMANTLE</w:t>
            </w:r>
          </w:p>
        </w:tc>
        <w:tc>
          <w:tcPr>
            <w:tcW w:type="dxa" w:w="2209"/>
          </w:tcPr>
          <w:p>
            <w:pPr>
              <w:jc w:val="right"/>
            </w:pPr>
            <w:r>
              <w:rPr>
                <w:sz w:val="22"/>
              </w:rPr>
              <w:t>4,444</w:t>
            </w:r>
          </w:p>
        </w:tc>
        <w:tc>
          <w:tcPr>
            <w:tcW w:type="dxa" w:w="2209"/>
          </w:tcPr>
          <w:p>
            <w:pPr>
              <w:jc w:val="right"/>
            </w:pPr>
            <w:r>
              <w:rPr>
                <w:sz w:val="22"/>
              </w:rPr>
              <w:t>2,984</w:t>
            </w:r>
          </w:p>
        </w:tc>
        <w:tc>
          <w:tcPr>
            <w:tcW w:type="dxa" w:w="2209"/>
            <w:shd w:fill="FFF3E0" w:val="clear"/>
          </w:tcPr>
          <w:p>
            <w:pPr>
              <w:jc w:val="right"/>
            </w:pPr>
            <w:r>
              <w:rPr>
                <w:b/>
                <w:color w:val="F57C00"/>
                <w:sz w:val="22"/>
              </w:rPr>
              <w:t>67.1%</w:t>
            </w:r>
          </w:p>
        </w:tc>
      </w:tr>
      <w:tr>
        <w:tc>
          <w:tcPr>
            <w:tcW w:type="dxa" w:w="2209"/>
          </w:tcPr>
          <w:p>
            <w:r>
              <w:rPr>
                <w:b/>
                <w:sz w:val="22"/>
              </w:rPr>
              <w:t>ADELAIDE</w:t>
            </w:r>
          </w:p>
        </w:tc>
        <w:tc>
          <w:tcPr>
            <w:tcW w:type="dxa" w:w="2209"/>
          </w:tcPr>
          <w:p>
            <w:pPr>
              <w:jc w:val="right"/>
            </w:pPr>
            <w:r>
              <w:rPr>
                <w:sz w:val="22"/>
              </w:rPr>
              <w:t>9,916</w:t>
            </w:r>
          </w:p>
        </w:tc>
        <w:tc>
          <w:tcPr>
            <w:tcW w:type="dxa" w:w="2209"/>
          </w:tcPr>
          <w:p>
            <w:pPr>
              <w:jc w:val="right"/>
            </w:pPr>
            <w:r>
              <w:rPr>
                <w:sz w:val="22"/>
              </w:rPr>
              <w:t>4,385</w:t>
            </w:r>
          </w:p>
        </w:tc>
        <w:tc>
          <w:tcPr>
            <w:tcW w:type="dxa" w:w="2209"/>
          </w:tcPr>
          <w:p>
            <w:pPr>
              <w:jc w:val="right"/>
            </w:pPr>
            <w:r>
              <w:rPr>
                <w:b/>
                <w:sz w:val="22"/>
              </w:rPr>
              <w:t>44.2%</w:t>
            </w:r>
          </w:p>
        </w:tc>
      </w:tr>
      <w:tr>
        <w:tc>
          <w:tcPr>
            <w:tcW w:type="dxa" w:w="2209"/>
          </w:tcPr>
          <w:p>
            <w:r>
              <w:rPr>
                <w:b/>
                <w:sz w:val="22"/>
              </w:rPr>
              <w:t>PIL</w:t>
            </w:r>
          </w:p>
        </w:tc>
        <w:tc>
          <w:tcPr>
            <w:tcW w:type="dxa" w:w="2209"/>
          </w:tcPr>
          <w:p>
            <w:pPr>
              <w:jc w:val="right"/>
            </w:pPr>
            <w:r>
              <w:rPr>
                <w:sz w:val="22"/>
              </w:rPr>
              <w:t>2,716</w:t>
            </w:r>
          </w:p>
        </w:tc>
        <w:tc>
          <w:tcPr>
            <w:tcW w:type="dxa" w:w="2209"/>
          </w:tcPr>
          <w:p>
            <w:pPr>
              <w:jc w:val="right"/>
            </w:pPr>
            <w:r>
              <w:rPr>
                <w:sz w:val="22"/>
              </w:rPr>
              <w:t>0</w:t>
            </w:r>
          </w:p>
        </w:tc>
        <w:tc>
          <w:tcPr>
            <w:tcW w:type="dxa" w:w="2209"/>
          </w:tcPr>
          <w:p>
            <w:pPr>
              <w:jc w:val="right"/>
            </w:pPr>
            <w:r>
              <w:rPr>
                <w:b/>
                <w:sz w:val="22"/>
              </w:rPr>
              <w:t>0.0%</w:t>
            </w:r>
          </w:p>
        </w:tc>
      </w:tr>
      <w:tr>
        <w:tc>
          <w:tcPr>
            <w:tcW w:type="dxa" w:w="2209"/>
          </w:tcPr>
          <w:p>
            <w:r>
              <w:rPr>
                <w:b/>
                <w:sz w:val="22"/>
              </w:rPr>
              <w:t>PROJECTS</w:t>
            </w:r>
          </w:p>
        </w:tc>
        <w:tc>
          <w:tcPr>
            <w:tcW w:type="dxa" w:w="2209"/>
          </w:tcPr>
          <w:p>
            <w:pPr>
              <w:jc w:val="right"/>
            </w:pPr>
            <w:r>
              <w:rPr>
                <w:sz w:val="22"/>
              </w:rPr>
              <w:t>4,156</w:t>
            </w:r>
          </w:p>
        </w:tc>
        <w:tc>
          <w:tcPr>
            <w:tcW w:type="dxa" w:w="2209"/>
          </w:tcPr>
          <w:p>
            <w:pPr>
              <w:jc w:val="right"/>
            </w:pPr>
            <w:r>
              <w:rPr>
                <w:sz w:val="22"/>
              </w:rPr>
              <w:t>7,261</w:t>
            </w:r>
          </w:p>
        </w:tc>
        <w:tc>
          <w:tcPr>
            <w:tcW w:type="dxa" w:w="2209"/>
            <w:shd w:fill="FFEBEE" w:val="clear"/>
          </w:tcPr>
          <w:p>
            <w:pPr>
              <w:jc w:val="right"/>
            </w:pPr>
            <w:r>
              <w:rPr>
                <w:b/>
                <w:color w:val="C62828"/>
                <w:sz w:val="22"/>
              </w:rPr>
              <w:t>174.7%</w:t>
            </w:r>
          </w:p>
        </w:tc>
      </w:tr>
      <w:tr>
        <w:tc>
          <w:tcPr>
            <w:tcW w:type="dxa" w:w="2209"/>
          </w:tcPr>
          <w:p>
            <w:r>
              <w:rPr>
                <w:b/>
                <w:sz w:val="22"/>
              </w:rPr>
              <w:t>AUCKLAND</w:t>
            </w:r>
          </w:p>
        </w:tc>
        <w:tc>
          <w:tcPr>
            <w:tcW w:type="dxa" w:w="2209"/>
          </w:tcPr>
          <w:p>
            <w:pPr>
              <w:jc w:val="right"/>
            </w:pPr>
            <w:r>
              <w:rPr>
                <w:sz w:val="22"/>
              </w:rPr>
              <w:t>2,716</w:t>
            </w:r>
          </w:p>
        </w:tc>
        <w:tc>
          <w:tcPr>
            <w:tcW w:type="dxa" w:w="2209"/>
          </w:tcPr>
          <w:p>
            <w:pPr>
              <w:jc w:val="right"/>
            </w:pPr>
            <w:r>
              <w:rPr>
                <w:sz w:val="22"/>
              </w:rPr>
              <w:t>640</w:t>
            </w:r>
          </w:p>
        </w:tc>
        <w:tc>
          <w:tcPr>
            <w:tcW w:type="dxa" w:w="2209"/>
          </w:tcPr>
          <w:p>
            <w:pPr>
              <w:jc w:val="right"/>
            </w:pPr>
            <w:r>
              <w:rPr>
                <w:b/>
                <w:sz w:val="22"/>
              </w:rPr>
              <w:t>23.6%</w:t>
            </w:r>
          </w:p>
        </w:tc>
      </w:tr>
      <w:tr>
        <w:tc>
          <w:tcPr>
            <w:tcW w:type="dxa" w:w="2209"/>
          </w:tcPr>
          <w:p>
            <w:r>
              <w:rPr>
                <w:b/>
                <w:sz w:val="22"/>
              </w:rPr>
              <w:t>OTHER</w:t>
            </w:r>
          </w:p>
        </w:tc>
        <w:tc>
          <w:tcPr>
            <w:tcW w:type="dxa" w:w="2209"/>
          </w:tcPr>
          <w:p>
            <w:pPr>
              <w:jc w:val="right"/>
            </w:pPr>
            <w:r>
              <w:rPr>
                <w:sz w:val="22"/>
              </w:rPr>
              <w:t>2,716</w:t>
            </w:r>
          </w:p>
        </w:tc>
        <w:tc>
          <w:tcPr>
            <w:tcW w:type="dxa" w:w="2209"/>
          </w:tcPr>
          <w:p>
            <w:pPr>
              <w:jc w:val="right"/>
            </w:pPr>
            <w:r>
              <w:rPr>
                <w:sz w:val="22"/>
              </w:rPr>
              <w:t>1,813</w:t>
            </w:r>
          </w:p>
        </w:tc>
        <w:tc>
          <w:tcPr>
            <w:tcW w:type="dxa" w:w="2209"/>
            <w:shd w:fill="FFF3E0" w:val="clear"/>
          </w:tcPr>
          <w:p>
            <w:pPr>
              <w:jc w:val="right"/>
            </w:pPr>
            <w:r>
              <w:rPr>
                <w:b/>
                <w:color w:val="F57C00"/>
                <w:sz w:val="22"/>
              </w:rPr>
              <w:t>66.8%</w:t>
            </w:r>
          </w:p>
        </w:tc>
      </w:tr>
      <w:tr>
        <w:tc>
          <w:tcPr>
            <w:tcW w:type="dxa" w:w="2209"/>
            <w:shd w:fill="E3F2FD" w:val="clear"/>
          </w:tcPr>
          <w:p>
            <w:r>
              <w:rPr>
                <w:b/>
                <w:sz w:val="22"/>
              </w:rPr>
              <w:t>TOTAL</w:t>
            </w:r>
          </w:p>
        </w:tc>
        <w:tc>
          <w:tcPr>
            <w:tcW w:type="dxa" w:w="2209"/>
            <w:shd w:fill="E3F2FD" w:val="clear"/>
          </w:tcPr>
          <w:p>
            <w:pPr>
              <w:jc w:val="right"/>
            </w:pPr>
            <w:r>
              <w:rPr>
                <w:b/>
                <w:sz w:val="22"/>
              </w:rPr>
              <w:t>39,852</w:t>
            </w:r>
          </w:p>
        </w:tc>
        <w:tc>
          <w:tcPr>
            <w:tcW w:type="dxa" w:w="2209"/>
            <w:shd w:fill="E3F2FD" w:val="clear"/>
          </w:tcPr>
          <w:p>
            <w:pPr>
              <w:jc w:val="right"/>
            </w:pPr>
            <w:r>
              <w:rPr>
                <w:b/>
                <w:sz w:val="22"/>
              </w:rPr>
              <w:t>35,127</w:t>
            </w:r>
          </w:p>
        </w:tc>
        <w:tc>
          <w:tcPr>
            <w:tcW w:type="dxa" w:w="2209"/>
            <w:shd w:fill="E3F2FD" w:val="clear"/>
          </w:tcPr>
          <w:p>
            <w:pPr>
              <w:jc w:val="right"/>
            </w:pPr>
            <w:r>
              <w:rPr>
                <w:b/>
                <w:sz w:val="22"/>
              </w:rPr>
              <w:t>88.1%</w:t>
            </w:r>
          </w:p>
        </w:tc>
      </w:tr>
    </w:tbl>
    <w:p/>
    <w:p>
      <w:pPr>
        <w:pStyle w:val="Heading1"/>
      </w:pPr>
      <w:r>
        <w:rPr>
          <w:color w:val="2B579A"/>
        </w:rPr>
        <w:t>4. How SHARED Allocation Works</w:t>
      </w:r>
    </w:p>
    <w:p>
      <w:r>
        <w:rPr>
          <w:sz w:val="22"/>
        </w:rPr>
        <w:t>Some carrier contracts have a "SHARED" allocation. This means the TEU allocation is a company-wide pool that any branch can book against — it is not reserved for one specific branch.</w:t>
      </w:r>
    </w:p>
    <w:p/>
    <w:p>
      <w:r>
        <w:rPr>
          <w:b/>
          <w:sz w:val="24"/>
        </w:rPr>
        <w:t>Example:</w:t>
      </w:r>
    </w:p>
    <w:p/>
    <w:tbl>
      <w:tblPr>
        <w:tblStyle w:val="TableGrid"/>
        <w:tblW w:type="auto" w:w="0"/>
        <w:jc w:val="center"/>
        <w:tblLook w:firstColumn="1" w:firstRow="1" w:lastColumn="0" w:lastRow="0" w:noHBand="0" w:noVBand="1" w:val="04A0"/>
      </w:tblPr>
      <w:tblGrid>
        <w:gridCol w:w="2946"/>
        <w:gridCol w:w="2946"/>
        <w:gridCol w:w="2946"/>
      </w:tblGrid>
      <w:tr>
        <w:tc>
          <w:tcPr>
            <w:tcW w:type="dxa" w:w="2946"/>
            <w:shd w:fill="2B579A" w:val="clear"/>
          </w:tcPr>
          <w:p>
            <w:r>
              <w:rPr>
                <w:b/>
                <w:color w:val="FFFFFF"/>
                <w:sz w:val="20"/>
              </w:rPr>
            </w:r>
          </w:p>
        </w:tc>
        <w:tc>
          <w:tcPr>
            <w:tcW w:type="dxa" w:w="2946"/>
            <w:shd w:fill="2B579A" w:val="clear"/>
          </w:tcPr>
          <w:p>
            <w:r>
              <w:rPr>
                <w:b/>
                <w:color w:val="FFFFFF"/>
                <w:sz w:val="20"/>
              </w:rPr>
              <w:t>Before Booking</w:t>
            </w:r>
          </w:p>
        </w:tc>
        <w:tc>
          <w:tcPr>
            <w:tcW w:type="dxa" w:w="2946"/>
            <w:shd w:fill="2B579A" w:val="clear"/>
          </w:tcPr>
          <w:p>
            <w:r>
              <w:rPr>
                <w:b/>
                <w:color w:val="FFFFFF"/>
                <w:sz w:val="20"/>
              </w:rPr>
              <w:t>After Brisbane Books 49 TEU</w:t>
            </w:r>
          </w:p>
        </w:tc>
      </w:tr>
      <w:tr>
        <w:tc>
          <w:tcPr>
            <w:tcW w:type="dxa" w:w="2946"/>
          </w:tcPr>
          <w:p>
            <w:r>
              <w:rPr>
                <w:b/>
                <w:sz w:val="20"/>
              </w:rPr>
              <w:t>Pool Total</w:t>
            </w:r>
          </w:p>
        </w:tc>
        <w:tc>
          <w:tcPr>
            <w:tcW w:type="dxa" w:w="2946"/>
          </w:tcPr>
          <w:p>
            <w:pPr>
              <w:jc w:val="center"/>
            </w:pPr>
            <w:r>
              <w:rPr>
                <w:sz w:val="20"/>
              </w:rPr>
              <w:t>100 TEU</w:t>
            </w:r>
          </w:p>
        </w:tc>
        <w:tc>
          <w:tcPr>
            <w:tcW w:type="dxa" w:w="2946"/>
          </w:tcPr>
          <w:p>
            <w:pPr>
              <w:jc w:val="center"/>
            </w:pPr>
            <w:r>
              <w:rPr>
                <w:sz w:val="20"/>
              </w:rPr>
              <w:t>100 TEU</w:t>
            </w:r>
          </w:p>
        </w:tc>
      </w:tr>
      <w:tr>
        <w:tc>
          <w:tcPr>
            <w:tcW w:type="dxa" w:w="2946"/>
          </w:tcPr>
          <w:p>
            <w:r>
              <w:rPr>
                <w:b/>
                <w:sz w:val="20"/>
              </w:rPr>
              <w:t>Total Booked</w:t>
            </w:r>
          </w:p>
        </w:tc>
        <w:tc>
          <w:tcPr>
            <w:tcW w:type="dxa" w:w="2946"/>
          </w:tcPr>
          <w:p>
            <w:pPr>
              <w:jc w:val="center"/>
            </w:pPr>
            <w:r>
              <w:rPr>
                <w:sz w:val="20"/>
              </w:rPr>
              <w:t>0 TEU</w:t>
            </w:r>
          </w:p>
        </w:tc>
        <w:tc>
          <w:tcPr>
            <w:tcW w:type="dxa" w:w="2946"/>
          </w:tcPr>
          <w:p>
            <w:pPr>
              <w:jc w:val="center"/>
            </w:pPr>
            <w:r>
              <w:rPr>
                <w:sz w:val="20"/>
              </w:rPr>
              <w:t>49 TEU</w:t>
            </w:r>
          </w:p>
        </w:tc>
      </w:tr>
      <w:tr>
        <w:tc>
          <w:tcPr>
            <w:tcW w:type="dxa" w:w="2946"/>
          </w:tcPr>
          <w:p>
            <w:r>
              <w:rPr>
                <w:b/>
                <w:sz w:val="20"/>
              </w:rPr>
              <w:t>Available for Sydney</w:t>
            </w:r>
          </w:p>
        </w:tc>
        <w:tc>
          <w:tcPr>
            <w:tcW w:type="dxa" w:w="2946"/>
          </w:tcPr>
          <w:p>
            <w:pPr>
              <w:jc w:val="center"/>
            </w:pPr>
            <w:r>
              <w:rPr>
                <w:sz w:val="20"/>
              </w:rPr>
              <w:t>100 TEU</w:t>
            </w:r>
          </w:p>
        </w:tc>
        <w:tc>
          <w:tcPr>
            <w:tcW w:type="dxa" w:w="2946"/>
          </w:tcPr>
          <w:p>
            <w:pPr>
              <w:jc w:val="center"/>
            </w:pPr>
            <w:r>
              <w:rPr>
                <w:sz w:val="20"/>
              </w:rPr>
              <w:t>51 TEU</w:t>
            </w:r>
          </w:p>
        </w:tc>
      </w:tr>
      <w:tr>
        <w:tc>
          <w:tcPr>
            <w:tcW w:type="dxa" w:w="2946"/>
          </w:tcPr>
          <w:p>
            <w:r>
              <w:rPr>
                <w:b/>
                <w:sz w:val="20"/>
              </w:rPr>
              <w:t>Available for Melbourne</w:t>
            </w:r>
          </w:p>
        </w:tc>
        <w:tc>
          <w:tcPr>
            <w:tcW w:type="dxa" w:w="2946"/>
          </w:tcPr>
          <w:p>
            <w:pPr>
              <w:jc w:val="center"/>
            </w:pPr>
            <w:r>
              <w:rPr>
                <w:sz w:val="20"/>
              </w:rPr>
              <w:t>100 TEU</w:t>
            </w:r>
          </w:p>
        </w:tc>
        <w:tc>
          <w:tcPr>
            <w:tcW w:type="dxa" w:w="2946"/>
          </w:tcPr>
          <w:p>
            <w:pPr>
              <w:jc w:val="center"/>
            </w:pPr>
            <w:r>
              <w:rPr>
                <w:sz w:val="20"/>
              </w:rPr>
              <w:t>51 TEU</w:t>
            </w:r>
          </w:p>
        </w:tc>
      </w:tr>
      <w:tr>
        <w:tc>
          <w:tcPr>
            <w:tcW w:type="dxa" w:w="2946"/>
          </w:tcPr>
          <w:p>
            <w:r>
              <w:rPr>
                <w:b/>
                <w:sz w:val="20"/>
              </w:rPr>
              <w:t>Available for Brisbane</w:t>
            </w:r>
          </w:p>
        </w:tc>
        <w:tc>
          <w:tcPr>
            <w:tcW w:type="dxa" w:w="2946"/>
          </w:tcPr>
          <w:p>
            <w:pPr>
              <w:jc w:val="center"/>
            </w:pPr>
            <w:r>
              <w:rPr>
                <w:sz w:val="20"/>
              </w:rPr>
              <w:t>100 TEU</w:t>
            </w:r>
          </w:p>
        </w:tc>
        <w:tc>
          <w:tcPr>
            <w:tcW w:type="dxa" w:w="2946"/>
          </w:tcPr>
          <w:p>
            <w:pPr>
              <w:jc w:val="center"/>
            </w:pPr>
            <w:r>
              <w:rPr>
                <w:sz w:val="20"/>
              </w:rPr>
              <w:t>51 TEU</w:t>
            </w:r>
          </w:p>
        </w:tc>
      </w:tr>
      <w:tr>
        <w:tc>
          <w:tcPr>
            <w:tcW w:type="dxa" w:w="2946"/>
          </w:tcPr>
          <w:p>
            <w:r>
              <w:rPr>
                <w:b/>
                <w:sz w:val="20"/>
              </w:rPr>
              <w:t>Available for Fremantle</w:t>
            </w:r>
          </w:p>
        </w:tc>
        <w:tc>
          <w:tcPr>
            <w:tcW w:type="dxa" w:w="2946"/>
          </w:tcPr>
          <w:p>
            <w:pPr>
              <w:jc w:val="center"/>
            </w:pPr>
            <w:r>
              <w:rPr>
                <w:sz w:val="20"/>
              </w:rPr>
              <w:t>100 TEU</w:t>
            </w:r>
          </w:p>
        </w:tc>
        <w:tc>
          <w:tcPr>
            <w:tcW w:type="dxa" w:w="2946"/>
          </w:tcPr>
          <w:p>
            <w:pPr>
              <w:jc w:val="center"/>
            </w:pPr>
            <w:r>
              <w:rPr>
                <w:sz w:val="20"/>
              </w:rPr>
              <w:t>51 TEU</w:t>
            </w:r>
          </w:p>
        </w:tc>
      </w:tr>
      <w:tr>
        <w:tc>
          <w:tcPr>
            <w:tcW w:type="dxa" w:w="2946"/>
          </w:tcPr>
          <w:p>
            <w:r>
              <w:rPr>
                <w:b/>
                <w:sz w:val="20"/>
              </w:rPr>
              <w:t>Available for Adelaide</w:t>
            </w:r>
          </w:p>
        </w:tc>
        <w:tc>
          <w:tcPr>
            <w:tcW w:type="dxa" w:w="2946"/>
          </w:tcPr>
          <w:p>
            <w:pPr>
              <w:jc w:val="center"/>
            </w:pPr>
            <w:r>
              <w:rPr>
                <w:sz w:val="20"/>
              </w:rPr>
              <w:t>100 TEU</w:t>
            </w:r>
          </w:p>
        </w:tc>
        <w:tc>
          <w:tcPr>
            <w:tcW w:type="dxa" w:w="2946"/>
          </w:tcPr>
          <w:p>
            <w:pPr>
              <w:jc w:val="center"/>
            </w:pPr>
            <w:r>
              <w:rPr>
                <w:sz w:val="20"/>
              </w:rPr>
              <w:t>51 TEU</w:t>
            </w:r>
          </w:p>
        </w:tc>
      </w:tr>
    </w:tbl>
    <w:p/>
    <w:p>
      <w:r>
        <w:rPr>
          <w:b/>
        </w:rPr>
        <w:t xml:space="preserve">Key point: </w:t>
      </w:r>
      <w:r>
        <w:rPr>
          <w:sz w:val="22"/>
        </w:rPr>
        <w:t>When any branch books from a SHARED contract, the available pool decreases for ALL branches — because they are all drawing from the same pool.</w:t>
      </w:r>
    </w:p>
    <w:p/>
    <w:p>
      <w:r>
        <w:rPr>
          <w:b/>
          <w:sz w:val="24"/>
        </w:rPr>
        <w:t>Currently Active SHARED Contracts (4):</w:t>
      </w:r>
    </w:p>
    <w:p>
      <w:pPr>
        <w:pStyle w:val="ListBullet"/>
      </w:pPr>
      <w:r>
        <w:rPr>
          <w:b/>
          <w:sz w:val="22"/>
        </w:rPr>
        <w:t>16646__NEA,</w:t>
      </w:r>
      <w:r>
        <w:rPr>
          <w:sz w:val="22"/>
        </w:rPr>
        <w:t xml:space="preserve"> — Pool: 1008 TEU</w:t>
      </w:r>
    </w:p>
    <w:p>
      <w:pPr>
        <w:pStyle w:val="ListBullet"/>
      </w:pPr>
      <w:r>
        <w:rPr>
          <w:b/>
          <w:sz w:val="22"/>
        </w:rPr>
        <w:t>299992850__EUR_AU</w:t>
      </w:r>
      <w:r>
        <w:rPr>
          <w:sz w:val="22"/>
        </w:rPr>
        <w:t xml:space="preserve"> — Pool: 576 TEU</w:t>
      </w:r>
    </w:p>
    <w:p>
      <w:pPr>
        <w:pStyle w:val="ListBullet"/>
      </w:pPr>
      <w:r>
        <w:rPr>
          <w:b/>
          <w:sz w:val="22"/>
        </w:rPr>
        <w:t>299992851__AU_AMR</w:t>
      </w:r>
      <w:r>
        <w:rPr>
          <w:sz w:val="22"/>
        </w:rPr>
        <w:t xml:space="preserve"> — Pool: 864 TEU</w:t>
      </w:r>
    </w:p>
    <w:p>
      <w:pPr>
        <w:pStyle w:val="ListBullet"/>
      </w:pPr>
      <w:r>
        <w:rPr>
          <w:b/>
          <w:sz w:val="22"/>
        </w:rPr>
        <w:t>MELLN260010__NEA_AU</w:t>
      </w:r>
      <w:r>
        <w:rPr>
          <w:sz w:val="22"/>
        </w:rPr>
        <w:t xml:space="preserve"> — Pool: 288 TEU</w:t>
      </w:r>
    </w:p>
    <w:p/>
    <w:p>
      <w:pPr>
        <w:pStyle w:val="Heading1"/>
      </w:pPr>
      <w:r>
        <w:rPr>
          <w:color w:val="2B579A"/>
        </w:rPr>
        <w:t>5. Data Accuracy Verification</w:t>
      </w:r>
    </w:p>
    <w:p>
      <w:r>
        <w:rPr>
          <w:sz w:val="22"/>
        </w:rPr>
        <w:t>We verified that all numbers on the dashboard are accurate by cross-checking every data point. Here are the key accuracy checks:</w:t>
      </w:r>
    </w:p>
    <w:p/>
    <w:p>
      <w:r>
        <w:rPr>
          <w:b/>
          <w:color w:val="2E7D32"/>
          <w:sz w:val="22"/>
        </w:rPr>
        <w:t>✅  Booking TEU matches across all views</w:t>
      </w:r>
    </w:p>
    <w:p>
      <w:pPr>
        <w:ind w:left="567"/>
      </w:pPr>
      <w:r>
        <w:rPr>
          <w:sz w:val="20"/>
        </w:rPr>
        <w:t>The total TEU shown in the booking log, weekly trends, quarterly report, and branch cards all match exactly.</w:t>
      </w:r>
    </w:p>
    <w:p>
      <w:pPr>
        <w:ind w:left="567"/>
      </w:pPr>
      <w:r>
        <w:rPr>
          <w:i/>
          <w:color w:val="505050"/>
          <w:sz w:val="20"/>
        </w:rPr>
        <w:t>Result: 35,127 TEU — consistent across all views</w:t>
      </w:r>
    </w:p>
    <w:p/>
    <w:p>
      <w:r>
        <w:rPr>
          <w:b/>
          <w:color w:val="2E7D32"/>
          <w:sz w:val="22"/>
        </w:rPr>
        <w:t>✅  Contract allocations are correct</w:t>
      </w:r>
    </w:p>
    <w:p>
      <w:pPr>
        <w:ind w:left="567"/>
      </w:pPr>
      <w:r>
        <w:rPr>
          <w:sz w:val="20"/>
        </w:rPr>
        <w:t>Every contract's allocation matches the Contract Master file. Branch-specific allocations (e.g. "AAW BNE = 18 TEU per week") are correctly parsed and assigned.</w:t>
      </w:r>
    </w:p>
    <w:p>
      <w:pPr>
        <w:ind w:left="567"/>
      </w:pPr>
      <w:r>
        <w:rPr>
          <w:i/>
          <w:color w:val="505050"/>
          <w:sz w:val="20"/>
        </w:rPr>
        <w:t>Result: 10 contracts with allocation verified</w:t>
      </w:r>
    </w:p>
    <w:p/>
    <w:p>
      <w:r>
        <w:rPr>
          <w:b/>
          <w:color w:val="2E7D32"/>
          <w:sz w:val="22"/>
        </w:rPr>
        <w:t>✅  No bookings are lost or duplicated</w:t>
      </w:r>
    </w:p>
    <w:p>
      <w:pPr>
        <w:ind w:left="567"/>
      </w:pPr>
      <w:r>
        <w:rPr>
          <w:sz w:val="20"/>
        </w:rPr>
        <w:t>Every booking from the database appears exactly once in the dashboard. No data is missing or counted twice.</w:t>
      </w:r>
    </w:p>
    <w:p>
      <w:pPr>
        <w:ind w:left="567"/>
      </w:pPr>
      <w:r>
        <w:rPr>
          <w:i/>
          <w:color w:val="505050"/>
          <w:sz w:val="20"/>
        </w:rPr>
        <w:t>Result: 13,530 bookings — zero discrepancy</w:t>
      </w:r>
    </w:p>
    <w:p/>
    <w:p>
      <w:r>
        <w:rPr>
          <w:b/>
          <w:color w:val="2E7D32"/>
          <w:sz w:val="22"/>
        </w:rPr>
        <w:t>✅  Weekly trends are accurate</w:t>
      </w:r>
    </w:p>
    <w:p>
      <w:pPr>
        <w:ind w:left="567"/>
      </w:pPr>
      <w:r>
        <w:rPr>
          <w:sz w:val="20"/>
        </w:rPr>
        <w:t>Each week's allocation and booked TEU matches the underlying booking data.</w:t>
      </w:r>
    </w:p>
    <w:p>
      <w:pPr>
        <w:ind w:left="567"/>
      </w:pPr>
      <w:r>
        <w:rPr>
          <w:i/>
          <w:color w:val="505050"/>
          <w:sz w:val="20"/>
        </w:rPr>
        <w:t>Result: 144 weeks verified</w:t>
      </w:r>
    </w:p>
    <w:p/>
    <w:p>
      <w:r>
        <w:rPr>
          <w:b/>
          <w:color w:val="2E7D32"/>
          <w:sz w:val="22"/>
        </w:rPr>
        <w:t>✅  Carrier percentages add up</w:t>
      </w:r>
    </w:p>
    <w:p>
      <w:pPr>
        <w:ind w:left="567"/>
      </w:pPr>
      <w:r>
        <w:rPr>
          <w:sz w:val="20"/>
        </w:rPr>
        <w:t>The carrier breakdown percentages sum to the expected total.</w:t>
      </w:r>
    </w:p>
    <w:p>
      <w:pPr>
        <w:ind w:left="567"/>
      </w:pPr>
      <w:r>
        <w:rPr>
          <w:i/>
          <w:color w:val="505050"/>
          <w:sz w:val="20"/>
        </w:rPr>
        <w:t>Result: 97.7% accounted for (remaining 2.3% are misc small carriers)</w:t>
      </w:r>
    </w:p>
    <w:p/>
    <w:p>
      <w:r>
        <w:rPr>
          <w:b/>
          <w:color w:val="2E7D32"/>
          <w:sz w:val="22"/>
        </w:rPr>
        <w:t>✅  New Contract Master format works</w:t>
      </w:r>
    </w:p>
    <w:p>
      <w:pPr>
        <w:ind w:left="567"/>
      </w:pPr>
      <w:r>
        <w:rPr>
          <w:sz w:val="20"/>
        </w:rPr>
        <w:t>The updated master file format (Contract Master 28JUL26.xlsx) with new column names is correctly read. Both old and new formats are supported.</w:t>
      </w:r>
    </w:p>
    <w:p>
      <w:pPr>
        <w:ind w:left="567"/>
      </w:pPr>
      <w:r>
        <w:rPr>
          <w:i/>
          <w:color w:val="505050"/>
          <w:sz w:val="20"/>
        </w:rPr>
        <w:t>Result: 25 contracts loaded from 38 rows</w:t>
      </w:r>
    </w:p>
    <w:p/>
    <w:p>
      <w:r>
        <w:br w:type="page"/>
      </w:r>
    </w:p>
    <w:p>
      <w:pPr>
        <w:pStyle w:val="Heading1"/>
      </w:pPr>
      <w:r>
        <w:rPr>
          <w:color w:val="2B579A"/>
        </w:rPr>
        <w:t>6. What Changed in This Update</w:t>
      </w:r>
    </w:p>
    <w:p>
      <w:r>
        <w:rPr>
          <w:sz w:val="22"/>
        </w:rPr>
        <w:t>The following improvements were made in this update:</w:t>
      </w:r>
    </w:p>
    <w:p/>
    <w:p>
      <w:r>
        <w:rPr>
          <w:b/>
          <w:color w:val="2B579A"/>
          <w:sz w:val="24"/>
        </w:rPr>
        <w:t>▸ New Contract Master File Support</w:t>
      </w:r>
    </w:p>
    <w:p>
      <w:pPr>
        <w:ind w:left="283"/>
      </w:pPr>
      <w:r>
        <w:rPr>
          <w:sz w:val="22"/>
        </w:rPr>
        <w:t>The dashboard now reads the updated Contract Master 28JUL26 format. Column names like "Contract#" (without space), "Title" (instead of "Carrier"), and "Compass Office Allocation" are now automatically detected. The old format is still supported for backward compatibility.</w:t>
      </w:r>
    </w:p>
    <w:p/>
    <w:p>
      <w:r>
        <w:rPr>
          <w:b/>
          <w:color w:val="2B579A"/>
          <w:sz w:val="24"/>
        </w:rPr>
        <w:t>▸ SHARED Pool Allocation</w:t>
      </w:r>
    </w:p>
    <w:p>
      <w:pPr>
        <w:ind w:left="283"/>
      </w:pPr>
      <w:r>
        <w:rPr>
          <w:sz w:val="22"/>
        </w:rPr>
        <w:t>Contracts marked as "SHARED" are now treated as a company-wide pool. Every branch can see the full pool, and when any branch books from it, the available amount decreases for all branches. Previously, SHARED allocations were not visible in the branch cards.</w:t>
      </w:r>
    </w:p>
    <w:p/>
    <w:p>
      <w:r>
        <w:rPr>
          <w:b/>
          <w:color w:val="2B579A"/>
          <w:sz w:val="24"/>
        </w:rPr>
        <w:t>▸ Improved Allocation Parsing</w:t>
      </w:r>
    </w:p>
    <w:p>
      <w:pPr>
        <w:ind w:left="283"/>
      </w:pPr>
      <w:r>
        <w:rPr>
          <w:sz w:val="22"/>
        </w:rPr>
        <w:t>The system now correctly reads allocation text like "AAW BNE= 18 TEU, AAW ADL = 8 TEU" and "4 TEU PER WEEK". It also handles FEU-to-TEU conversion (1 FEU = 2 TEU) and multi-line allocation descriptions.</w:t>
      </w:r>
    </w:p>
    <w:p/>
    <w:p>
      <w:r>
        <w:rPr>
          <w:b/>
          <w:color w:val="2B579A"/>
          <w:sz w:val="24"/>
        </w:rPr>
        <w:t>▸ Bug Fix: False Match</w:t>
      </w:r>
    </w:p>
    <w:p>
      <w:pPr>
        <w:ind w:left="283"/>
      </w:pPr>
      <w:r>
        <w:rPr>
          <w:sz w:val="22"/>
        </w:rPr>
        <w:t>Fixed an issue where the word "PER" in "TEU PER WEEK" was incorrectly being counted as a Fremantle (PER) allocation. This has been corrected.</w:t>
      </w:r>
    </w:p>
    <w:p/>
    <w:p>
      <w:pPr>
        <w:pStyle w:val="Heading1"/>
      </w:pPr>
      <w:r>
        <w:rPr>
          <w:color w:val="2B579A"/>
        </w:rPr>
        <w:t>7. Conclusion</w:t>
      </w:r>
    </w:p>
    <w:p>
      <w:r>
        <w:rPr>
          <w:sz w:val="22"/>
        </w:rPr>
        <w:t xml:space="preserve">The Carrier Allocation Dashboard has been thoroughly tested and verified. </w:t>
      </w:r>
      <w:r>
        <w:rPr>
          <w:b/>
          <w:sz w:val="22"/>
        </w:rPr>
        <w:t>All 107 checks passed successfully with zero failures.</w:t>
      </w:r>
    </w:p>
    <w:p/>
    <w:p>
      <w:r>
        <w:rPr>
          <w:sz w:val="22"/>
        </w:rPr>
        <w:t>The dashboard accurately:</w:t>
      </w:r>
    </w:p>
    <w:p>
      <w:r>
        <w:rPr>
          <w:sz w:val="22"/>
        </w:rPr>
        <w:t>✅  Reads booking data from the live database (Snowflake)</w:t>
      </w:r>
    </w:p>
    <w:p>
      <w:r>
        <w:rPr>
          <w:sz w:val="22"/>
        </w:rPr>
        <w:t>✅  Reads contract allocations from the updated Contract Master file</w:t>
      </w:r>
    </w:p>
    <w:p>
      <w:r>
        <w:rPr>
          <w:sz w:val="22"/>
        </w:rPr>
        <w:t>✅  Calculates utilisation for each contract, branch, and carrier</w:t>
      </w:r>
    </w:p>
    <w:p>
      <w:r>
        <w:rPr>
          <w:sz w:val="22"/>
        </w:rPr>
        <w:t>✅  Handles SHARED pool allocations correctly</w:t>
      </w:r>
    </w:p>
    <w:p>
      <w:r>
        <w:rPr>
          <w:sz w:val="22"/>
        </w:rPr>
        <w:t>✅  Shows accurate weekly and quarterly trends</w:t>
      </w:r>
    </w:p>
    <w:p>
      <w:r>
        <w:rPr>
          <w:sz w:val="22"/>
        </w:rPr>
        <w:t>✅  Provides correct branch-level allocation breakdowns</w:t>
      </w:r>
    </w:p>
    <w:p/>
    <w:p/>
    <w:p>
      <w:pPr>
        <w:jc w:val="center"/>
      </w:pPr>
      <w:r>
        <w:rPr>
          <w:i/>
          <w:color w:val="969696"/>
          <w:sz w:val="24"/>
        </w:rPr>
        <w:t>— End of Report —</w:t>
      </w:r>
    </w:p>
    <w:p>
      <w:pPr>
        <w:jc w:val="center"/>
      </w:pPr>
      <w:r>
        <w:rPr>
          <w:color w:val="B4B4B4"/>
          <w:sz w:val="20"/>
        </w:rPr>
        <w:t>Generated on 28 July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