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2B4E" w:val="clear"/>
        <w:spacing w:before="0" w:after="0"/>
      </w:pPr>
      <w:r>
        <w:rPr>
          <w:sz w:val="48"/>
          <w:szCs w:val="48"/>
        </w:rPr>
        <w:t xml:space="preserve"/>
      </w:r>
    </w:p>
    <w:p>
      <w:pPr>
        <w:shd w:fill="0D2B4E" w:val="clear"/>
        <w:spacing w:before="480" w:after="0"/>
        <w:jc w:val="center"/>
      </w:pPr>
      <w:r>
        <w:rPr>
          <w:rFonts w:ascii="Arial" w:cs="Arial" w:eastAsia="Arial" w:hAnsi="Arial"/>
          <w:b/>
          <w:bCs/>
          <w:color w:val="FFFFFF"/>
          <w:sz w:val="52"/>
          <w:szCs w:val="52"/>
        </w:rPr>
        <w:t xml:space="preserve">ISO Tank Load Allocator</w:t>
      </w:r>
    </w:p>
    <w:p>
      <w:pPr>
        <w:shd w:fill="0D2B4E" w:val="clear"/>
        <w:spacing w:before="120" w:after="0"/>
        <w:jc w:val="center"/>
      </w:pPr>
      <w:r>
        <w:rPr>
          <w:rFonts w:ascii="Arial" w:cs="Arial" w:eastAsia="Arial" w:hAnsi="Arial"/>
          <w:color w:val="9BBEDD"/>
          <w:sz w:val="28"/>
          <w:szCs w:val="28"/>
        </w:rPr>
        <w:t xml:space="preserve">Technical Brief for IT Review &amp; Rebuild</w:t>
      </w:r>
    </w:p>
    <w:p>
      <w:pPr>
        <w:shd w:fill="0D2B4E" w:val="clear"/>
        <w:spacing w:before="120" w:after="480"/>
        <w:jc w:val="center"/>
      </w:pPr>
      <w:r>
        <w:rPr>
          <w:rFonts w:ascii="Arial" w:cs="Arial" w:eastAsia="Arial" w:hAnsi="Arial"/>
          <w:color w:val="7AABCC"/>
          <w:sz w:val="20"/>
          <w:szCs w:val="20"/>
        </w:rPr>
        <w:t xml:space="preserve">Prepared: 24 March 2026</w:t>
      </w:r>
    </w:p>
    <w:p>
      <w:pPr>
        <w:shd w:fill="0D2B4E" w:val="clear"/>
        <w:spacing w:before="0" w:after="0"/>
      </w:pPr>
      <w:r>
        <w:rPr>
          <w:sz w:val="48"/>
          <w:szCs w:val="48"/>
        </w:rPr>
        <w:t xml:space="preserve"/>
      </w:r>
    </w:p>
    <w:p>
      <w:pPr>
        <w:spacing w:before="400" w:after="0"/>
      </w:pPr>
      <w:r>
        <w:t xml:space="preserve"/>
      </w:r>
    </w:p>
    <w:p>
      <w:pPr>
        <w:pStyle w:val="Heading1"/>
        <w:pBdr>
          <w:bottom w:val="single" w:color="0060CC" w:sz="8" w:space="4"/>
        </w:pBdr>
        <w:spacing w:before="360" w:after="120"/>
      </w:pPr>
      <w:r>
        <w:rPr>
          <w:rFonts w:ascii="Arial" w:cs="Arial" w:eastAsia="Arial" w:hAnsi="Arial"/>
          <w:b/>
          <w:bCs/>
          <w:color w:val="0D2B4E"/>
          <w:sz w:val="32"/>
          <w:szCs w:val="32"/>
        </w:rPr>
        <w:t xml:space="preserve">1. Purpose &amp; Overview</w:t>
      </w:r>
    </w:p>
    <w:p>
      <w:pPr>
        <w:spacing w:before="60" w:after="60"/>
      </w:pPr>
      <w:r>
        <w:rPr>
          <w:rFonts w:ascii="Arial" w:cs="Arial" w:eastAsia="Arial" w:hAnsi="Arial"/>
          <w:color w:val="222222"/>
          <w:sz w:val="20"/>
          <w:szCs w:val="20"/>
        </w:rPr>
        <w:t xml:space="preserve">This document provides a full technical specification of the ISO Tank Load Allocator — a browser-based operational tool for calculating permitted load ranges for T11 ISO tank containers. It is intended to give an IT manager sufficient detail to review the existing implementation, identify integration opportunities, and/or rebuild the tool within a production system.</w:t>
      </w:r>
    </w:p>
    <w:p>
      <w:pPr>
        <w:spacing w:before="120" w:after="0"/>
      </w:pPr>
      <w:r>
        <w:t xml:space="preserve"/>
      </w:r>
    </w:p>
    <w:p>
      <w:pPr>
        <w:spacing w:before="60" w:after="60"/>
      </w:pPr>
      <w:r>
        <w:rPr>
          <w:rFonts w:ascii="Arial" w:cs="Arial" w:eastAsia="Arial" w:hAnsi="Arial"/>
          <w:color w:val="222222"/>
          <w:sz w:val="20"/>
          <w:szCs w:val="20"/>
        </w:rPr>
        <w:t xml:space="preserve">The tool currently exists as a single self-contained React component (.jsx file). It requires no backend, no database, and no authentication. All logic runs in the browser.</w:t>
      </w:r>
    </w:p>
    <w:p>
      <w:pPr>
        <w:spacing w:before="200" w:after="0"/>
      </w:pPr>
      <w:r>
        <w:t xml:space="preserve"/>
      </w:r>
    </w:p>
    <w:p>
      <w:pPr>
        <w:pStyle w:val="Heading1"/>
        <w:pBdr>
          <w:bottom w:val="single" w:color="0060CC" w:sz="8" w:space="4"/>
        </w:pBdr>
        <w:spacing w:before="360" w:after="120"/>
      </w:pPr>
      <w:r>
        <w:rPr>
          <w:rFonts w:ascii="Arial" w:cs="Arial" w:eastAsia="Arial" w:hAnsi="Arial"/>
          <w:b/>
          <w:bCs/>
          <w:color w:val="0D2B4E"/>
          <w:sz w:val="32"/>
          <w:szCs w:val="32"/>
        </w:rPr>
        <w:t xml:space="preserve">2. What the Tool Does</w:t>
      </w:r>
    </w:p>
    <w:p>
      <w:pPr>
        <w:pStyle w:val="Heading2"/>
        <w:spacing w:before="280" w:after="80"/>
      </w:pPr>
      <w:r>
        <w:rPr>
          <w:rFonts w:ascii="Arial" w:cs="Arial" w:eastAsia="Arial" w:hAnsi="Arial"/>
          <w:b/>
          <w:bCs/>
          <w:color w:val="0060CC"/>
          <w:sz w:val="26"/>
          <w:szCs w:val="26"/>
        </w:rPr>
        <w:t xml:space="preserve">2.1 Core Function</w:t>
      </w:r>
    </w:p>
    <w:p>
      <w:pPr>
        <w:spacing w:before="60" w:after="60"/>
      </w:pPr>
      <w:r>
        <w:rPr>
          <w:rFonts w:ascii="Arial" w:cs="Arial" w:eastAsia="Arial" w:hAnsi="Arial"/>
          <w:color w:val="222222"/>
          <w:sz w:val="20"/>
          <w:szCs w:val="20"/>
        </w:rPr>
        <w:t xml:space="preserve">Given a product's specific gravity (SG), cargo classification (DG or Non-DG), and destination country, the tool calculates the minimum and maximum permitted load for each tank in the fleet — constrained by both fill percentage limits and the applicable gross weight limit for that country.</w:t>
      </w:r>
    </w:p>
    <w:p>
      <w:pPr>
        <w:spacing w:before="120" w:after="0"/>
      </w:pPr>
      <w:r>
        <w:t xml:space="preserve"/>
      </w:r>
    </w:p>
    <w:p>
      <w:pPr>
        <w:pStyle w:val="Heading2"/>
        <w:spacing w:before="280" w:after="80"/>
      </w:pPr>
      <w:r>
        <w:rPr>
          <w:rFonts w:ascii="Arial" w:cs="Arial" w:eastAsia="Arial" w:hAnsi="Arial"/>
          <w:b/>
          <w:bCs/>
          <w:color w:val="0060CC"/>
          <w:sz w:val="26"/>
          <w:szCs w:val="26"/>
        </w:rPr>
        <w:t xml:space="preserve">2.2 Three Tabs</w:t>
      </w:r>
    </w:p>
    <w:p>
      <w:pPr>
        <w:spacing w:before="200" w:after="60"/>
      </w:pPr>
      <w:r>
        <w:rPr>
          <w:rFonts w:ascii="Arial" w:cs="Arial" w:eastAsia="Arial" w:hAnsi="Arial"/>
          <w:b/>
          <w:bCs/>
          <w:color w:val="0D2B4E"/>
          <w:sz w:val="22"/>
          <w:szCs w:val="22"/>
        </w:rPr>
        <w:t xml:space="preserve">Tab 1 — Allocator (main calculator)</w:t>
      </w:r>
    </w:p>
    <w:p>
      <w:pPr>
        <w:pStyle w:val="ListParagraph"/>
        <w:numPr>
          <w:ilvl w:val="0"/>
          <w:numId w:val="2"/>
        </w:numPr>
        <w:spacing w:before="40" w:after="40"/>
      </w:pPr>
      <w:r>
        <w:rPr>
          <w:rFonts w:ascii="Arial" w:cs="Arial" w:eastAsia="Arial" w:hAnsi="Arial"/>
          <w:color w:val="222222"/>
          <w:sz w:val="20"/>
          <w:szCs w:val="20"/>
        </w:rPr>
        <w:t xml:space="preserve">User selects cargo type (DG / Non-DG), searches product library or enters a custom SG</w:t>
      </w:r>
    </w:p>
    <w:p>
      <w:pPr>
        <w:pStyle w:val="ListParagraph"/>
        <w:numPr>
          <w:ilvl w:val="0"/>
          <w:numId w:val="2"/>
        </w:numPr>
        <w:spacing w:before="40" w:after="40"/>
      </w:pPr>
      <w:r>
        <w:rPr>
          <w:rFonts w:ascii="Arial" w:cs="Arial" w:eastAsia="Arial" w:hAnsi="Arial"/>
          <w:color w:val="222222"/>
          <w:sz w:val="20"/>
          <w:szCs w:val="20"/>
        </w:rPr>
        <w:t xml:space="preserve">User selects a destination country</w:t>
      </w:r>
    </w:p>
    <w:p>
      <w:pPr>
        <w:pStyle w:val="ListParagraph"/>
        <w:numPr>
          <w:ilvl w:val="0"/>
          <w:numId w:val="2"/>
        </w:numPr>
        <w:spacing w:before="40" w:after="40"/>
      </w:pPr>
      <w:r>
        <w:rPr>
          <w:rFonts w:ascii="Arial" w:cs="Arial" w:eastAsia="Arial" w:hAnsi="Arial"/>
          <w:color w:val="222222"/>
          <w:sz w:val="20"/>
          <w:szCs w:val="20"/>
        </w:rPr>
        <w:t xml:space="preserve">Tool instantly calculates MIN and MAX load for each of the three T11 tanks</w:t>
      </w:r>
    </w:p>
    <w:p>
      <w:pPr>
        <w:pStyle w:val="ListParagraph"/>
        <w:numPr>
          <w:ilvl w:val="0"/>
          <w:numId w:val="2"/>
        </w:numPr>
        <w:spacing w:before="40" w:after="40"/>
      </w:pPr>
      <w:r>
        <w:rPr>
          <w:rFonts w:ascii="Arial" w:cs="Arial" w:eastAsia="Arial" w:hAnsi="Arial"/>
          <w:color w:val="222222"/>
          <w:sz w:val="20"/>
          <w:szCs w:val="20"/>
        </w:rPr>
        <w:t xml:space="preserve">Outputs: volume (L / KL), cargo weight (kg / MT), gross weight (kg), fill %, and limiting factor</w:t>
      </w:r>
    </w:p>
    <w:p>
      <w:pPr>
        <w:pStyle w:val="ListParagraph"/>
        <w:numPr>
          <w:ilvl w:val="0"/>
          <w:numId w:val="2"/>
        </w:numPr>
        <w:spacing w:before="40" w:after="40"/>
      </w:pPr>
      <w:r>
        <w:rPr>
          <w:rFonts w:ascii="Arial" w:cs="Arial" w:eastAsia="Arial" w:hAnsi="Arial"/>
          <w:color w:val="222222"/>
          <w:sz w:val="20"/>
          <w:szCs w:val="20"/>
        </w:rPr>
        <w:t xml:space="preserve">Visual fill bar and gross weight compliance bars displayed per tank</w:t>
      </w:r>
    </w:p>
    <w:p>
      <w:pPr>
        <w:pStyle w:val="ListParagraph"/>
        <w:numPr>
          <w:ilvl w:val="0"/>
          <w:numId w:val="2"/>
        </w:numPr>
        <w:spacing w:before="40" w:after="40"/>
      </w:pPr>
      <w:r>
        <w:rPr>
          <w:rFonts w:ascii="Arial" w:cs="Arial" w:eastAsia="Arial" w:hAnsi="Arial"/>
          <w:color w:val="222222"/>
          <w:sz w:val="20"/>
          <w:szCs w:val="20"/>
        </w:rPr>
        <w:t xml:space="preserve">AI Operations Advisor button calls the Anthropic Claude API for a plain-English operational summary</w:t>
      </w:r>
    </w:p>
    <w:p>
      <w:pPr>
        <w:spacing w:before="120" w:after="0"/>
      </w:pPr>
      <w:r>
        <w:t xml:space="preserve"/>
      </w:r>
    </w:p>
    <w:p>
      <w:pPr>
        <w:spacing w:before="200" w:after="60"/>
      </w:pPr>
      <w:r>
        <w:rPr>
          <w:rFonts w:ascii="Arial" w:cs="Arial" w:eastAsia="Arial" w:hAnsi="Arial"/>
          <w:b/>
          <w:bCs/>
          <w:color w:val="0D2B4E"/>
          <w:sz w:val="22"/>
          <w:szCs w:val="22"/>
        </w:rPr>
        <w:t xml:space="preserve">Tab 2 — Fleet Reference</w:t>
      </w:r>
    </w:p>
    <w:p>
      <w:pPr>
        <w:pStyle w:val="ListParagraph"/>
        <w:numPr>
          <w:ilvl w:val="0"/>
          <w:numId w:val="2"/>
        </w:numPr>
        <w:spacing w:before="40" w:after="40"/>
      </w:pPr>
      <w:r>
        <w:rPr>
          <w:rFonts w:ascii="Arial" w:cs="Arial" w:eastAsia="Arial" w:hAnsi="Arial"/>
          <w:color w:val="222222"/>
          <w:sz w:val="20"/>
          <w:szCs w:val="20"/>
        </w:rPr>
        <w:t xml:space="preserve">Static specs for all three tanks (capacity, tare, max cargo at NA and worldwide limits)</w:t>
      </w:r>
    </w:p>
    <w:p>
      <w:pPr>
        <w:pStyle w:val="ListParagraph"/>
        <w:numPr>
          <w:ilvl w:val="0"/>
          <w:numId w:val="2"/>
        </w:numPr>
        <w:spacing w:before="40" w:after="40"/>
      </w:pPr>
      <w:r>
        <w:rPr>
          <w:rFonts w:ascii="Arial" w:cs="Arial" w:eastAsia="Arial" w:hAnsi="Arial"/>
          <w:color w:val="222222"/>
          <w:sz w:val="20"/>
          <w:szCs w:val="20"/>
        </w:rPr>
        <w:t xml:space="preserve">Max load by SG lookup table for each tank</w:t>
      </w:r>
    </w:p>
    <w:p>
      <w:pPr>
        <w:spacing w:before="120" w:after="0"/>
      </w:pPr>
      <w:r>
        <w:t xml:space="preserve"/>
      </w:r>
    </w:p>
    <w:p>
      <w:pPr>
        <w:spacing w:before="200" w:after="60"/>
      </w:pPr>
      <w:r>
        <w:rPr>
          <w:rFonts w:ascii="Arial" w:cs="Arial" w:eastAsia="Arial" w:hAnsi="Arial"/>
          <w:b/>
          <w:bCs/>
          <w:color w:val="0D2B4E"/>
          <w:sz w:val="22"/>
          <w:szCs w:val="22"/>
        </w:rPr>
        <w:t xml:space="preserve">Tab 3 — Products Reference</w:t>
      </w:r>
    </w:p>
    <w:p>
      <w:pPr>
        <w:pStyle w:val="ListParagraph"/>
        <w:numPr>
          <w:ilvl w:val="0"/>
          <w:numId w:val="2"/>
        </w:numPr>
        <w:spacing w:before="40" w:after="40"/>
      </w:pPr>
      <w:r>
        <w:rPr>
          <w:rFonts w:ascii="Arial" w:cs="Arial" w:eastAsia="Arial" w:hAnsi="Arial"/>
          <w:color w:val="222222"/>
          <w:sz w:val="20"/>
          <w:szCs w:val="20"/>
        </w:rPr>
        <w:t xml:space="preserve">Full table of 28 pre-loaded products (14 DG, 14 Non-DG)</w:t>
      </w:r>
    </w:p>
    <w:p>
      <w:pPr>
        <w:pStyle w:val="ListParagraph"/>
        <w:numPr>
          <w:ilvl w:val="0"/>
          <w:numId w:val="2"/>
        </w:numPr>
        <w:spacing w:before="40" w:after="40"/>
      </w:pPr>
      <w:r>
        <w:rPr>
          <w:rFonts w:ascii="Arial" w:cs="Arial" w:eastAsia="Arial" w:hAnsi="Arial"/>
          <w:color w:val="222222"/>
          <w:sz w:val="20"/>
          <w:szCs w:val="20"/>
        </w:rPr>
        <w:t xml:space="preserve">Shows SG, UN number, class, packing group, fill range, and max load figures for the 26,000 L tank</w:t>
      </w:r>
    </w:p>
    <w:p>
      <w:pPr>
        <w:spacing w:before="200" w:after="0"/>
      </w:pPr>
      <w:r>
        <w:t xml:space="preserve"/>
      </w:r>
    </w:p>
    <w:p>
      <w:pPr>
        <w:pStyle w:val="Heading1"/>
        <w:pBdr>
          <w:bottom w:val="single" w:color="0060CC" w:sz="8" w:space="4"/>
        </w:pBdr>
        <w:spacing w:before="360" w:after="120"/>
      </w:pPr>
      <w:r>
        <w:rPr>
          <w:rFonts w:ascii="Arial" w:cs="Arial" w:eastAsia="Arial" w:hAnsi="Arial"/>
          <w:b/>
          <w:bCs/>
          <w:color w:val="0D2B4E"/>
          <w:sz w:val="32"/>
          <w:szCs w:val="32"/>
        </w:rPr>
        <w:t xml:space="preserve">3. Business Rules Encoded</w:t>
      </w:r>
    </w:p>
    <w:p>
      <w:pPr>
        <w:pStyle w:val="Heading2"/>
        <w:spacing w:before="280" w:after="80"/>
      </w:pPr>
      <w:r>
        <w:rPr>
          <w:rFonts w:ascii="Arial" w:cs="Arial" w:eastAsia="Arial" w:hAnsi="Arial"/>
          <w:b/>
          <w:bCs/>
          <w:color w:val="0060CC"/>
          <w:sz w:val="26"/>
          <w:szCs w:val="26"/>
        </w:rPr>
        <w:t xml:space="preserve">3.1 Fleet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2000"/>
        <w:gridCol w:w="1760"/>
      </w:tblGrid>
      <w:tr>
        <w:tc>
          <w:tcPr>
            <w:tcW w:type="dxa" w:w="2000"/>
            <w:tcBorders>
              <w:top w:val="single" w:color="D0D8E0" w:sz="1"/>
              <w:left w:val="single" w:color="D0D8E0" w:sz="1"/>
              <w:bottom w:val="single" w:color="D0D8E0" w:sz="1"/>
              <w:right w:val="single" w:color="D0D8E0"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Tank ID</w:t>
            </w:r>
          </w:p>
        </w:tc>
        <w:tc>
          <w:tcPr>
            <w:tcW w:type="dxa" w:w="1800"/>
            <w:tcBorders>
              <w:top w:val="single" w:color="D0D8E0" w:sz="1"/>
              <w:left w:val="single" w:color="D0D8E0" w:sz="1"/>
              <w:bottom w:val="single" w:color="D0D8E0" w:sz="1"/>
              <w:right w:val="single" w:color="D0D8E0"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Capacity</w:t>
            </w:r>
          </w:p>
        </w:tc>
        <w:tc>
          <w:tcPr>
            <w:tcW w:type="dxa" w:w="1800"/>
            <w:tcBorders>
              <w:top w:val="single" w:color="D0D8E0" w:sz="1"/>
              <w:left w:val="single" w:color="D0D8E0" w:sz="1"/>
              <w:bottom w:val="single" w:color="D0D8E0" w:sz="1"/>
              <w:right w:val="single" w:color="D0D8E0"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Tare (typical)</w:t>
            </w:r>
          </w:p>
        </w:tc>
        <w:tc>
          <w:tcPr>
            <w:tcW w:type="dxa" w:w="2000"/>
            <w:tcBorders>
              <w:top w:val="single" w:color="D0D8E0" w:sz="1"/>
              <w:left w:val="single" w:color="D0D8E0" w:sz="1"/>
              <w:bottom w:val="single" w:color="D0D8E0" w:sz="1"/>
              <w:right w:val="single" w:color="D0D8E0"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1760"/>
            <w:tcBorders>
              <w:top w:val="single" w:color="D0D8E0" w:sz="1"/>
              <w:left w:val="single" w:color="D0D8E0" w:sz="1"/>
              <w:bottom w:val="single" w:color="D0D8E0" w:sz="1"/>
              <w:right w:val="single" w:color="D0D8E0"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Max Gross</w:t>
            </w:r>
          </w:p>
        </w:tc>
      </w:tr>
      <w:tr>
        <w:tc>
          <w:tcPr>
            <w:tcW w:type="dxa" w:w="2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T11-24K</w:t>
            </w:r>
          </w:p>
        </w:tc>
        <w:tc>
          <w:tcPr>
            <w:tcW w:type="dxa" w:w="18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24,000 L</w:t>
            </w:r>
          </w:p>
        </w:tc>
        <w:tc>
          <w:tcPr>
            <w:tcW w:type="dxa" w:w="18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3,650 kg</w:t>
            </w:r>
          </w:p>
        </w:tc>
        <w:tc>
          <w:tcPr>
            <w:tcW w:type="dxa" w:w="2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T11 — Food &amp; Industrial</w:t>
            </w:r>
          </w:p>
        </w:tc>
        <w:tc>
          <w:tcPr>
            <w:tcW w:type="dxa" w:w="176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36,000 kg</w:t>
            </w:r>
          </w:p>
        </w:tc>
      </w:tr>
      <w:tr>
        <w:tc>
          <w:tcPr>
            <w:tcW w:type="dxa" w:w="20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T11-25K</w:t>
            </w:r>
          </w:p>
        </w:tc>
        <w:tc>
          <w:tcPr>
            <w:tcW w:type="dxa" w:w="18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25,000 L</w:t>
            </w:r>
          </w:p>
        </w:tc>
        <w:tc>
          <w:tcPr>
            <w:tcW w:type="dxa" w:w="18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3,750 kg</w:t>
            </w:r>
          </w:p>
        </w:tc>
        <w:tc>
          <w:tcPr>
            <w:tcW w:type="dxa" w:w="20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T11 — Food &amp; Industrial</w:t>
            </w:r>
          </w:p>
        </w:tc>
        <w:tc>
          <w:tcPr>
            <w:tcW w:type="dxa" w:w="176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36,000 kg</w:t>
            </w:r>
          </w:p>
        </w:tc>
      </w:tr>
      <w:tr>
        <w:tc>
          <w:tcPr>
            <w:tcW w:type="dxa" w:w="2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T11-26K</w:t>
            </w:r>
          </w:p>
        </w:tc>
        <w:tc>
          <w:tcPr>
            <w:tcW w:type="dxa" w:w="18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26,000 L</w:t>
            </w:r>
          </w:p>
        </w:tc>
        <w:tc>
          <w:tcPr>
            <w:tcW w:type="dxa" w:w="18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3,850 kg</w:t>
            </w:r>
          </w:p>
        </w:tc>
        <w:tc>
          <w:tcPr>
            <w:tcW w:type="dxa" w:w="2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T11 — Food &amp; Industrial</w:t>
            </w:r>
          </w:p>
        </w:tc>
        <w:tc>
          <w:tcPr>
            <w:tcW w:type="dxa" w:w="176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36,000 kg</w:t>
            </w:r>
          </w:p>
        </w:tc>
      </w:tr>
    </w:tbl>
    <w:p>
      <w:pPr>
        <w:spacing w:before="160" w:after="0"/>
      </w:pPr>
      <w:r>
        <w:t xml:space="preserve"/>
      </w:r>
    </w:p>
    <w:p>
      <w:pPr>
        <w:pStyle w:val="Heading2"/>
        <w:spacing w:before="280" w:after="80"/>
      </w:pPr>
      <w:r>
        <w:rPr>
          <w:rFonts w:ascii="Arial" w:cs="Arial" w:eastAsia="Arial" w:hAnsi="Arial"/>
          <w:b/>
          <w:bCs/>
          <w:color w:val="0060CC"/>
          <w:sz w:val="26"/>
          <w:szCs w:val="26"/>
        </w:rPr>
        <w:t xml:space="preserve">3.2 Fill Limits</w:t>
      </w:r>
    </w:p>
    <w:p>
      <w:pPr>
        <w:spacing w:before="60" w:after="60"/>
      </w:pPr>
      <w:r>
        <w:rPr>
          <w:rFonts w:ascii="Arial" w:cs="Arial" w:eastAsia="Arial" w:hAnsi="Arial"/>
          <w:color w:val="222222"/>
          <w:sz w:val="20"/>
          <w:szCs w:val="20"/>
        </w:rPr>
        <w:t xml:space="preserve">Fill limits are fixed by cargo classification and apply to standard (non-baffled) tanks only: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8E0" w:sz="1"/>
              <w:left w:val="single" w:color="D0D8E0" w:sz="1"/>
              <w:bottom w:val="single" w:color="D0D8E0" w:sz="1"/>
              <w:right w:val="single" w:color="D0D8E0"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3120"/>
            <w:tcBorders>
              <w:top w:val="single" w:color="D0D8E0" w:sz="1"/>
              <w:left w:val="single" w:color="D0D8E0" w:sz="1"/>
              <w:bottom w:val="single" w:color="D0D8E0" w:sz="1"/>
              <w:right w:val="single" w:color="D0D8E0"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Min Fill</w:t>
            </w:r>
          </w:p>
        </w:tc>
        <w:tc>
          <w:tcPr>
            <w:tcW w:type="dxa" w:w="3120"/>
            <w:tcBorders>
              <w:top w:val="single" w:color="D0D8E0" w:sz="1"/>
              <w:left w:val="single" w:color="D0D8E0" w:sz="1"/>
              <w:bottom w:val="single" w:color="D0D8E0" w:sz="1"/>
              <w:right w:val="single" w:color="D0D8E0"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Max Fill</w:t>
            </w:r>
          </w:p>
        </w:tc>
      </w:tr>
      <w:tr>
        <w:tc>
          <w:tcPr>
            <w:tcW w:type="dxa" w:w="312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Non-DG cargo</w:t>
            </w:r>
          </w:p>
        </w:tc>
        <w:tc>
          <w:tcPr>
            <w:tcW w:type="dxa" w:w="312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80% of tank capacity</w:t>
            </w:r>
          </w:p>
        </w:tc>
        <w:tc>
          <w:tcPr>
            <w:tcW w:type="dxa" w:w="312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97% of tank capacity</w:t>
            </w:r>
          </w:p>
        </w:tc>
      </w:tr>
      <w:tr>
        <w:tc>
          <w:tcPr>
            <w:tcW w:type="dxa" w:w="312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DG cargo</w:t>
            </w:r>
          </w:p>
        </w:tc>
        <w:tc>
          <w:tcPr>
            <w:tcW w:type="dxa" w:w="312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80% of tank capacity</w:t>
            </w:r>
          </w:p>
        </w:tc>
        <w:tc>
          <w:tcPr>
            <w:tcW w:type="dxa" w:w="312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95% of tank capacity</w:t>
            </w:r>
          </w:p>
        </w:tc>
      </w:tr>
    </w:tbl>
    <w:p>
      <w:pPr>
        <w:spacing w:before="120" w:after="0"/>
      </w:pPr>
      <w:r>
        <w:t xml:space="preserve"/>
      </w:r>
    </w:p>
    <w:p>
      <w:pPr>
        <w:pBdr>
          <w:left w:val="single" w:color="CC5500" w:sz="12" w:space="8"/>
        </w:pBdr>
        <w:shd w:fill="FFF8E8" w:val="clear"/>
        <w:spacing w:before="100" w:after="100"/>
        <w:ind w:left="200"/>
      </w:pPr>
      <w:r>
        <w:rPr>
          <w:rFonts w:ascii="Arial" w:cs="Arial" w:eastAsia="Arial" w:hAnsi="Arial"/>
          <w:i/>
          <w:iCs/>
          <w:color w:val="5A3800"/>
          <w:sz w:val="19"/>
          <w:szCs w:val="19"/>
        </w:rPr>
        <w:t xml:space="preserve">Baffle tanks have no fill limit restrictions — they may be loaded to the gross weight limit only.</w:t>
      </w:r>
    </w:p>
    <w:p>
      <w:pPr>
        <w:spacing w:before="160" w:after="0"/>
      </w:pPr>
      <w:r>
        <w:t xml:space="preserve"/>
      </w:r>
    </w:p>
    <w:p>
      <w:pPr>
        <w:pStyle w:val="Heading2"/>
        <w:spacing w:before="280" w:after="80"/>
      </w:pPr>
      <w:r>
        <w:rPr>
          <w:rFonts w:ascii="Arial" w:cs="Arial" w:eastAsia="Arial" w:hAnsi="Arial"/>
          <w:b/>
          <w:bCs/>
          <w:color w:val="0060CC"/>
          <w:sz w:val="26"/>
          <w:szCs w:val="26"/>
        </w:rPr>
        <w:t xml:space="preserve">3.3 Gross Weight Limits by Country</w:t>
      </w:r>
    </w:p>
    <w:p>
      <w:pPr>
        <w:spacing w:before="60" w:after="60"/>
      </w:pPr>
      <w:r>
        <w:rPr>
          <w:rFonts w:ascii="Arial" w:cs="Arial" w:eastAsia="Arial" w:hAnsi="Arial"/>
          <w:color w:val="222222"/>
          <w:sz w:val="20"/>
          <w:szCs w:val="20"/>
        </w:rPr>
        <w:t xml:space="preserve">The tool applies country-specific road gross weight limits. Where a country's road limit is below the tank structural maximum of 36,000 kg, the road limit is the binding constraint.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W w:type="dxa" w:w="3200"/>
            <w:tcBorders>
              <w:top w:val="single" w:color="D0D8E0" w:sz="1"/>
              <w:left w:val="single" w:color="D0D8E0" w:sz="1"/>
              <w:bottom w:val="single" w:color="D0D8E0" w:sz="1"/>
              <w:right w:val="single" w:color="D0D8E0"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Country / Region</w:t>
            </w:r>
          </w:p>
        </w:tc>
        <w:tc>
          <w:tcPr>
            <w:tcW w:type="dxa" w:w="2080"/>
            <w:tcBorders>
              <w:top w:val="single" w:color="D0D8E0" w:sz="1"/>
              <w:left w:val="single" w:color="D0D8E0" w:sz="1"/>
              <w:bottom w:val="single" w:color="D0D8E0" w:sz="1"/>
              <w:right w:val="single" w:color="D0D8E0"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Gross Limit (kg)</w:t>
            </w:r>
          </w:p>
        </w:tc>
        <w:tc>
          <w:tcPr>
            <w:tcW w:type="dxa" w:w="4080"/>
            <w:tcBorders>
              <w:top w:val="single" w:color="D0D8E0" w:sz="1"/>
              <w:left w:val="single" w:color="D0D8E0" w:sz="1"/>
              <w:bottom w:val="single" w:color="D0D8E0" w:sz="1"/>
              <w:right w:val="single" w:color="D0D8E0"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Regulatory Basis</w:t>
            </w:r>
          </w:p>
        </w:tc>
      </w:tr>
      <w:tr>
        <w:tc>
          <w:tcPr>
            <w:tcW w:type="dxa" w:w="32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USA</w:t>
            </w:r>
          </w:p>
        </w:tc>
        <w:tc>
          <w:tcPr>
            <w:tcW w:type="dxa" w:w="208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bCs/>
                <w:color w:val="CC5500"/>
                <w:sz w:val="19"/>
                <w:szCs w:val="19"/>
              </w:rPr>
              <w:t xml:space="preserve">23,995</w:t>
            </w:r>
          </w:p>
        </w:tc>
        <w:tc>
          <w:tcPr>
            <w:tcW w:type="dxa" w:w="408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US federal highway — gross incl. tare</w:t>
            </w:r>
          </w:p>
        </w:tc>
      </w:tr>
      <w:tr>
        <w:tc>
          <w:tcPr>
            <w:tcW w:type="dxa" w:w="32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Canada</w:t>
            </w:r>
          </w:p>
        </w:tc>
        <w:tc>
          <w:tcPr>
            <w:tcW w:type="dxa" w:w="208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bCs/>
                <w:color w:val="CC5500"/>
                <w:sz w:val="19"/>
                <w:szCs w:val="19"/>
              </w:rPr>
              <w:t xml:space="preserve">23,995</w:t>
            </w:r>
          </w:p>
        </w:tc>
        <w:tc>
          <w:tcPr>
            <w:tcW w:type="dxa" w:w="408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Canadian national highway — gross incl. tare</w:t>
            </w:r>
          </w:p>
        </w:tc>
      </w:tr>
      <w:tr>
        <w:tc>
          <w:tcPr>
            <w:tcW w:type="dxa" w:w="32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Mexico</w:t>
            </w:r>
          </w:p>
        </w:tc>
        <w:tc>
          <w:tcPr>
            <w:tcW w:type="dxa" w:w="208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bCs/>
                <w:color w:val="CC5500"/>
                <w:sz w:val="19"/>
                <w:szCs w:val="19"/>
              </w:rPr>
              <w:t xml:space="preserve">24,000</w:t>
            </w:r>
          </w:p>
        </w:tc>
        <w:tc>
          <w:tcPr>
            <w:tcW w:type="dxa" w:w="408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SCT NOM-012</w:t>
            </w:r>
          </w:p>
        </w:tc>
      </w:tr>
      <w:tr>
        <w:tc>
          <w:tcPr>
            <w:tcW w:type="dxa" w:w="32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Australia / New Zealand</w:t>
            </w:r>
          </w:p>
        </w:tc>
        <w:tc>
          <w:tcPr>
            <w:tcW w:type="dxa" w:w="208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26,000</w:t>
            </w:r>
          </w:p>
        </w:tc>
        <w:tc>
          <w:tcPr>
            <w:tcW w:type="dxa" w:w="408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Standard B-double articulated chassis</w:t>
            </w:r>
          </w:p>
        </w:tc>
      </w:tr>
      <w:tr>
        <w:tc>
          <w:tcPr>
            <w:tcW w:type="dxa" w:w="32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Japan / Taiwan</w:t>
            </w:r>
          </w:p>
        </w:tc>
        <w:tc>
          <w:tcPr>
            <w:tcW w:type="dxa" w:w="208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28,000</w:t>
            </w:r>
          </w:p>
        </w:tc>
        <w:tc>
          <w:tcPr>
            <w:tcW w:type="dxa" w:w="408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National highway vehicle law</w:t>
            </w:r>
          </w:p>
        </w:tc>
      </w:tr>
      <w:tr>
        <w:tc>
          <w:tcPr>
            <w:tcW w:type="dxa" w:w="32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China / South Korea / India / Pakistan</w:t>
            </w:r>
          </w:p>
        </w:tc>
        <w:tc>
          <w:tcPr>
            <w:tcW w:type="dxa" w:w="208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30,000</w:t>
            </w:r>
          </w:p>
        </w:tc>
        <w:tc>
          <w:tcPr>
            <w:tcW w:type="dxa" w:w="408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National semi-trailer gross limits</w:t>
            </w:r>
          </w:p>
        </w:tc>
      </w:tr>
      <w:tr>
        <w:tc>
          <w:tcPr>
            <w:tcW w:type="dxa" w:w="32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Bangladesh / Sri Lanka</w:t>
            </w:r>
          </w:p>
        </w:tc>
        <w:tc>
          <w:tcPr>
            <w:tcW w:type="dxa" w:w="208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24,000</w:t>
            </w:r>
          </w:p>
        </w:tc>
        <w:tc>
          <w:tcPr>
            <w:tcW w:type="dxa" w:w="408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National road transport regulation</w:t>
            </w:r>
          </w:p>
        </w:tc>
      </w:tr>
      <w:tr>
        <w:tc>
          <w:tcPr>
            <w:tcW w:type="dxa" w:w="32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Myanmar</w:t>
            </w:r>
          </w:p>
        </w:tc>
        <w:tc>
          <w:tcPr>
            <w:tcW w:type="dxa" w:w="208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21,000</w:t>
            </w:r>
          </w:p>
        </w:tc>
        <w:tc>
          <w:tcPr>
            <w:tcW w:type="dxa" w:w="408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Lower infrastructure standard</w:t>
            </w:r>
          </w:p>
        </w:tc>
      </w:tr>
      <w:tr>
        <w:tc>
          <w:tcPr>
            <w:tcW w:type="dxa" w:w="32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All other countries</w:t>
            </w:r>
          </w:p>
        </w:tc>
        <w:tc>
          <w:tcPr>
            <w:tcW w:type="dxa" w:w="208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bCs/>
                <w:color w:val="005599"/>
                <w:sz w:val="19"/>
                <w:szCs w:val="19"/>
              </w:rPr>
              <w:t xml:space="preserve">36,000</w:t>
            </w:r>
          </w:p>
        </w:tc>
        <w:tc>
          <w:tcPr>
            <w:tcW w:type="dxa" w:w="408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Tank structural maximum (no road restriction)</w:t>
            </w:r>
          </w:p>
        </w:tc>
      </w:tr>
    </w:tbl>
    <w:p>
      <w:pPr>
        <w:spacing w:before="160" w:after="0"/>
      </w:pPr>
      <w:r>
        <w:t xml:space="preserve"/>
      </w:r>
    </w:p>
    <w:p>
      <w:pPr>
        <w:pStyle w:val="Heading2"/>
        <w:spacing w:before="280" w:after="80"/>
      </w:pPr>
      <w:r>
        <w:rPr>
          <w:rFonts w:ascii="Arial" w:cs="Arial" w:eastAsia="Arial" w:hAnsi="Arial"/>
          <w:b/>
          <w:bCs/>
          <w:color w:val="0060CC"/>
          <w:sz w:val="26"/>
          <w:szCs w:val="26"/>
        </w:rPr>
        <w:t xml:space="preserve">3.4 Calculation Logic</w:t>
      </w:r>
    </w:p>
    <w:p>
      <w:pPr>
        <w:spacing w:before="60" w:after="60"/>
      </w:pPr>
      <w:r>
        <w:rPr>
          <w:rFonts w:ascii="Arial" w:cs="Arial" w:eastAsia="Arial" w:hAnsi="Arial"/>
          <w:color w:val="222222"/>
          <w:sz w:val="20"/>
          <w:szCs w:val="20"/>
        </w:rPr>
        <w:t xml:space="preserve">For each tank, the engine computes:</w:t>
      </w:r>
    </w:p>
    <w:p>
      <w:pPr>
        <w:pStyle w:val="ListParagraph"/>
        <w:numPr>
          <w:ilvl w:val="0"/>
          <w:numId w:val="2"/>
        </w:numPr>
        <w:spacing w:before="40" w:after="40"/>
      </w:pPr>
      <w:r>
        <w:rPr>
          <w:rFonts w:ascii="Arial" w:cs="Arial" w:eastAsia="Arial" w:hAnsi="Arial"/>
          <w:color w:val="222222"/>
          <w:sz w:val="20"/>
          <w:szCs w:val="20"/>
        </w:rPr>
        <w:t xml:space="preserve">effectiveLimit = min(countryGrossLimit, tank.maxGross)</w:t>
      </w:r>
    </w:p>
    <w:p>
      <w:pPr>
        <w:pStyle w:val="ListParagraph"/>
        <w:numPr>
          <w:ilvl w:val="0"/>
          <w:numId w:val="2"/>
        </w:numPr>
        <w:spacing w:before="40" w:after="40"/>
      </w:pPr>
      <w:r>
        <w:rPr>
          <w:rFonts w:ascii="Arial" w:cs="Arial" w:eastAsia="Arial" w:hAnsi="Arial"/>
          <w:color w:val="222222"/>
          <w:sz w:val="20"/>
          <w:szCs w:val="20"/>
        </w:rPr>
        <w:t xml:space="preserve">maxCargoByWeight = effectiveLimit − tank.tare</w:t>
      </w:r>
    </w:p>
    <w:p>
      <w:pPr>
        <w:pStyle w:val="ListParagraph"/>
        <w:numPr>
          <w:ilvl w:val="0"/>
          <w:numId w:val="2"/>
        </w:numPr>
        <w:spacing w:before="40" w:after="40"/>
      </w:pPr>
      <w:r>
        <w:rPr>
          <w:rFonts w:ascii="Arial" w:cs="Arial" w:eastAsia="Arial" w:hAnsi="Arial"/>
          <w:color w:val="222222"/>
          <w:sz w:val="20"/>
          <w:szCs w:val="20"/>
        </w:rPr>
        <w:t xml:space="preserve">maxVolByFill = tank.size × (maxFill / 100)</w:t>
      </w:r>
    </w:p>
    <w:p>
      <w:pPr>
        <w:pStyle w:val="ListParagraph"/>
        <w:numPr>
          <w:ilvl w:val="0"/>
          <w:numId w:val="2"/>
        </w:numPr>
        <w:spacing w:before="40" w:after="40"/>
      </w:pPr>
      <w:r>
        <w:rPr>
          <w:rFonts w:ascii="Arial" w:cs="Arial" w:eastAsia="Arial" w:hAnsi="Arial"/>
          <w:color w:val="222222"/>
          <w:sz w:val="20"/>
          <w:szCs w:val="20"/>
        </w:rPr>
        <w:t xml:space="preserve">maxVolByWeight = maxCargoByWeight / SG</w:t>
      </w:r>
    </w:p>
    <w:p>
      <w:pPr>
        <w:pStyle w:val="ListParagraph"/>
        <w:numPr>
          <w:ilvl w:val="0"/>
          <w:numId w:val="2"/>
        </w:numPr>
        <w:spacing w:before="40" w:after="40"/>
      </w:pPr>
      <w:r>
        <w:rPr>
          <w:rFonts w:ascii="Arial" w:cs="Arial" w:eastAsia="Arial" w:hAnsi="Arial"/>
          <w:color w:val="222222"/>
          <w:sz w:val="20"/>
          <w:szCs w:val="20"/>
        </w:rPr>
        <w:t xml:space="preserve">maxVol = min(maxVolByFill, maxVolByWeight)  ← binding constraint</w:t>
      </w:r>
    </w:p>
    <w:p>
      <w:pPr>
        <w:pStyle w:val="ListParagraph"/>
        <w:numPr>
          <w:ilvl w:val="0"/>
          <w:numId w:val="2"/>
        </w:numPr>
        <w:spacing w:before="40" w:after="40"/>
      </w:pPr>
      <w:r>
        <w:rPr>
          <w:rFonts w:ascii="Arial" w:cs="Arial" w:eastAsia="Arial" w:hAnsi="Arial"/>
          <w:color w:val="222222"/>
          <w:sz w:val="20"/>
          <w:szCs w:val="20"/>
        </w:rPr>
        <w:t xml:space="preserve">minVol = tank.size × (minFill / 100)</w:t>
      </w:r>
    </w:p>
    <w:p>
      <w:pPr>
        <w:pStyle w:val="ListParagraph"/>
        <w:numPr>
          <w:ilvl w:val="0"/>
          <w:numId w:val="2"/>
        </w:numPr>
        <w:spacing w:before="40" w:after="40"/>
      </w:pPr>
      <w:r>
        <w:rPr>
          <w:rFonts w:ascii="Arial" w:cs="Arial" w:eastAsia="Arial" w:hAnsi="Arial"/>
          <w:color w:val="222222"/>
          <w:sz w:val="20"/>
          <w:szCs w:val="20"/>
        </w:rPr>
        <w:t xml:space="preserve">Tank is VIABLE if: minGrossKg ≤ effectiveLimit AND maxVol ≥ minVol</w:t>
      </w:r>
    </w:p>
    <w:p>
      <w:pPr>
        <w:spacing w:before="120" w:after="0"/>
      </w:pPr>
      <w:r>
        <w:t xml:space="preserve"/>
      </w:r>
    </w:p>
    <w:p>
      <w:pPr>
        <w:pBdr>
          <w:left w:val="single" w:color="CC5500" w:sz="12" w:space="8"/>
        </w:pBdr>
        <w:shd w:fill="FFF8E8" w:val="clear"/>
        <w:spacing w:before="100" w:after="100"/>
        <w:ind w:left="200"/>
      </w:pPr>
      <w:r>
        <w:rPr>
          <w:rFonts w:ascii="Arial" w:cs="Arial" w:eastAsia="Arial" w:hAnsi="Arial"/>
          <w:i/>
          <w:iCs/>
          <w:color w:val="5A3800"/>
          <w:sz w:val="19"/>
          <w:szCs w:val="19"/>
        </w:rPr>
        <w:t xml:space="preserve">The limiting factor (fill % cap vs. weight limit) is flagged per tank so operators understand which constraint is binding.</w:t>
      </w:r>
    </w:p>
    <w:p>
      <w:pPr>
        <w:spacing w:before="200" w:after="0"/>
      </w:pPr>
      <w:r>
        <w:t xml:space="preserve"/>
      </w:r>
    </w:p>
    <w:p>
      <w:pPr>
        <w:pStyle w:val="Heading1"/>
        <w:pBdr>
          <w:bottom w:val="single" w:color="0060CC" w:sz="8" w:space="4"/>
        </w:pBdr>
        <w:spacing w:before="360" w:after="120"/>
      </w:pPr>
      <w:r>
        <w:rPr>
          <w:rFonts w:ascii="Arial" w:cs="Arial" w:eastAsia="Arial" w:hAnsi="Arial"/>
          <w:b/>
          <w:bCs/>
          <w:color w:val="0D2B4E"/>
          <w:sz w:val="32"/>
          <w:szCs w:val="32"/>
        </w:rPr>
        <w:t xml:space="preserve">4. Product Library</w:t>
      </w:r>
    </w:p>
    <w:p>
      <w:pPr>
        <w:spacing w:before="60" w:after="60"/>
      </w:pPr>
      <w:r>
        <w:rPr>
          <w:rFonts w:ascii="Arial" w:cs="Arial" w:eastAsia="Arial" w:hAnsi="Arial"/>
          <w:color w:val="222222"/>
          <w:sz w:val="20"/>
          <w:szCs w:val="20"/>
        </w:rPr>
        <w:t xml:space="preserve">28 products are pre-loaded, split into two groups:</w:t>
      </w:r>
    </w:p>
    <w:p>
      <w:pPr>
        <w:spacing w:before="120" w:after="0"/>
      </w:pPr>
      <w:r>
        <w:t xml:space="preserve"/>
      </w:r>
    </w:p>
    <w:p>
      <w:pPr>
        <w:pStyle w:val="Heading2"/>
        <w:spacing w:before="280" w:after="80"/>
      </w:pPr>
      <w:r>
        <w:rPr>
          <w:rFonts w:ascii="Arial" w:cs="Arial" w:eastAsia="Arial" w:hAnsi="Arial"/>
          <w:b/>
          <w:bCs/>
          <w:color w:val="0060CC"/>
          <w:sz w:val="26"/>
          <w:szCs w:val="26"/>
        </w:rPr>
        <w:t xml:space="preserve">4.1 Dangerous Goods (DG) — 14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200"/>
        <w:gridCol w:w="1000"/>
        <w:gridCol w:w="800"/>
        <w:gridCol w:w="900"/>
        <w:gridCol w:w="900"/>
        <w:gridCol w:w="860"/>
      </w:tblGrid>
      <w:tr>
        <w:tc>
          <w:tcPr>
            <w:tcW w:type="dxa" w:w="2800"/>
            <w:tcBorders>
              <w:top w:val="single" w:color="D0D8E0" w:sz="1"/>
              <w:left w:val="single" w:color="D0D8E0" w:sz="1"/>
              <w:bottom w:val="single" w:color="D0D8E0" w:sz="1"/>
              <w:right w:val="single" w:color="D0D8E0"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900"/>
            <w:tcBorders>
              <w:top w:val="single" w:color="D0D8E0" w:sz="1"/>
              <w:left w:val="single" w:color="D0D8E0" w:sz="1"/>
              <w:bottom w:val="single" w:color="D0D8E0" w:sz="1"/>
              <w:right w:val="single" w:color="D0D8E0"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SG</w:t>
            </w:r>
          </w:p>
        </w:tc>
        <w:tc>
          <w:tcPr>
            <w:tcW w:type="dxa" w:w="1200"/>
            <w:tcBorders>
              <w:top w:val="single" w:color="D0D8E0" w:sz="1"/>
              <w:left w:val="single" w:color="D0D8E0" w:sz="1"/>
              <w:bottom w:val="single" w:color="D0D8E0" w:sz="1"/>
              <w:right w:val="single" w:color="D0D8E0"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UN No.</w:t>
            </w:r>
          </w:p>
        </w:tc>
        <w:tc>
          <w:tcPr>
            <w:tcW w:type="dxa" w:w="1000"/>
            <w:tcBorders>
              <w:top w:val="single" w:color="D0D8E0" w:sz="1"/>
              <w:left w:val="single" w:color="D0D8E0" w:sz="1"/>
              <w:bottom w:val="single" w:color="D0D8E0" w:sz="1"/>
              <w:right w:val="single" w:color="D0D8E0"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800"/>
            <w:tcBorders>
              <w:top w:val="single" w:color="D0D8E0" w:sz="1"/>
              <w:left w:val="single" w:color="D0D8E0" w:sz="1"/>
              <w:bottom w:val="single" w:color="D0D8E0" w:sz="1"/>
              <w:right w:val="single" w:color="D0D8E0"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PG</w:t>
            </w:r>
          </w:p>
        </w:tc>
        <w:tc>
          <w:tcPr>
            <w:tcW w:type="dxa" w:w="900"/>
            <w:tcBorders>
              <w:top w:val="single" w:color="D0D8E0" w:sz="1"/>
              <w:left w:val="single" w:color="D0D8E0" w:sz="1"/>
              <w:bottom w:val="single" w:color="D0D8E0" w:sz="1"/>
              <w:right w:val="single" w:color="D0D8E0"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Min%</w:t>
            </w:r>
          </w:p>
        </w:tc>
        <w:tc>
          <w:tcPr>
            <w:tcW w:type="dxa" w:w="900"/>
            <w:tcBorders>
              <w:top w:val="single" w:color="D0D8E0" w:sz="1"/>
              <w:left w:val="single" w:color="D0D8E0" w:sz="1"/>
              <w:bottom w:val="single" w:color="D0D8E0" w:sz="1"/>
              <w:right w:val="single" w:color="D0D8E0"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Max%</w:t>
            </w:r>
          </w:p>
        </w:tc>
        <w:tc>
          <w:tcPr>
            <w:tcW w:type="dxa" w:w="860"/>
            <w:tcBorders>
              <w:top w:val="single" w:color="D0D8E0" w:sz="1"/>
              <w:left w:val="single" w:color="D0D8E0" w:sz="1"/>
              <w:bottom w:val="single" w:color="D0D8E0" w:sz="1"/>
              <w:right w:val="single" w:color="D0D8E0"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Methanol</w:t>
            </w:r>
          </w:p>
        </w:tc>
        <w:tc>
          <w:tcPr>
            <w:tcW w:type="dxa" w:w="9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0.791</w:t>
            </w:r>
          </w:p>
        </w:tc>
        <w:tc>
          <w:tcPr>
            <w:tcW w:type="dxa" w:w="12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UN1230</w:t>
            </w:r>
          </w:p>
        </w:tc>
        <w:tc>
          <w:tcPr>
            <w:tcW w:type="dxa" w:w="1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w:t>
            </w:r>
          </w:p>
        </w:tc>
        <w:tc>
          <w:tcPr>
            <w:tcW w:type="dxa" w:w="8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II</w:t>
            </w:r>
          </w:p>
        </w:tc>
        <w:tc>
          <w:tcPr>
            <w:tcW w:type="dxa" w:w="9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80</w:t>
            </w:r>
          </w:p>
        </w:tc>
        <w:tc>
          <w:tcPr>
            <w:tcW w:type="dxa" w:w="9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95</w:t>
            </w:r>
          </w:p>
        </w:tc>
        <w:tc>
          <w:tcPr>
            <w:tcW w:type="dxa" w:w="86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r>
      <w:tr>
        <w:tc>
          <w:tcPr>
            <w:tcW w:type="dxa" w:w="28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Ethanol</w:t>
            </w:r>
          </w:p>
        </w:tc>
        <w:tc>
          <w:tcPr>
            <w:tcW w:type="dxa" w:w="9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0.789</w:t>
            </w:r>
          </w:p>
        </w:tc>
        <w:tc>
          <w:tcPr>
            <w:tcW w:type="dxa" w:w="12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UN1170</w:t>
            </w:r>
          </w:p>
        </w:tc>
        <w:tc>
          <w:tcPr>
            <w:tcW w:type="dxa" w:w="10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3</w:t>
            </w:r>
          </w:p>
        </w:tc>
        <w:tc>
          <w:tcPr>
            <w:tcW w:type="dxa" w:w="8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II</w:t>
            </w:r>
          </w:p>
        </w:tc>
        <w:tc>
          <w:tcPr>
            <w:tcW w:type="dxa" w:w="9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80</w:t>
            </w:r>
          </w:p>
        </w:tc>
        <w:tc>
          <w:tcPr>
            <w:tcW w:type="dxa" w:w="9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95</w:t>
            </w:r>
          </w:p>
        </w:tc>
        <w:tc>
          <w:tcPr>
            <w:tcW w:type="dxa" w:w="86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Isopropanol (IPA)</w:t>
            </w:r>
          </w:p>
        </w:tc>
        <w:tc>
          <w:tcPr>
            <w:tcW w:type="dxa" w:w="9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0.786</w:t>
            </w:r>
          </w:p>
        </w:tc>
        <w:tc>
          <w:tcPr>
            <w:tcW w:type="dxa" w:w="12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UN1219</w:t>
            </w:r>
          </w:p>
        </w:tc>
        <w:tc>
          <w:tcPr>
            <w:tcW w:type="dxa" w:w="1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w:t>
            </w:r>
          </w:p>
        </w:tc>
        <w:tc>
          <w:tcPr>
            <w:tcW w:type="dxa" w:w="8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II</w:t>
            </w:r>
          </w:p>
        </w:tc>
        <w:tc>
          <w:tcPr>
            <w:tcW w:type="dxa" w:w="9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80</w:t>
            </w:r>
          </w:p>
        </w:tc>
        <w:tc>
          <w:tcPr>
            <w:tcW w:type="dxa" w:w="9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95</w:t>
            </w:r>
          </w:p>
        </w:tc>
        <w:tc>
          <w:tcPr>
            <w:tcW w:type="dxa" w:w="86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r>
      <w:tr>
        <w:tc>
          <w:tcPr>
            <w:tcW w:type="dxa" w:w="28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Toluene</w:t>
            </w:r>
          </w:p>
        </w:tc>
        <w:tc>
          <w:tcPr>
            <w:tcW w:type="dxa" w:w="9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0.867</w:t>
            </w:r>
          </w:p>
        </w:tc>
        <w:tc>
          <w:tcPr>
            <w:tcW w:type="dxa" w:w="12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UN1294</w:t>
            </w:r>
          </w:p>
        </w:tc>
        <w:tc>
          <w:tcPr>
            <w:tcW w:type="dxa" w:w="10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3</w:t>
            </w:r>
          </w:p>
        </w:tc>
        <w:tc>
          <w:tcPr>
            <w:tcW w:type="dxa" w:w="8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II</w:t>
            </w:r>
          </w:p>
        </w:tc>
        <w:tc>
          <w:tcPr>
            <w:tcW w:type="dxa" w:w="9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80</w:t>
            </w:r>
          </w:p>
        </w:tc>
        <w:tc>
          <w:tcPr>
            <w:tcW w:type="dxa" w:w="9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95</w:t>
            </w:r>
          </w:p>
        </w:tc>
        <w:tc>
          <w:tcPr>
            <w:tcW w:type="dxa" w:w="86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Acetone</w:t>
            </w:r>
          </w:p>
        </w:tc>
        <w:tc>
          <w:tcPr>
            <w:tcW w:type="dxa" w:w="9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0.791</w:t>
            </w:r>
          </w:p>
        </w:tc>
        <w:tc>
          <w:tcPr>
            <w:tcW w:type="dxa" w:w="12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UN1090</w:t>
            </w:r>
          </w:p>
        </w:tc>
        <w:tc>
          <w:tcPr>
            <w:tcW w:type="dxa" w:w="1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w:t>
            </w:r>
          </w:p>
        </w:tc>
        <w:tc>
          <w:tcPr>
            <w:tcW w:type="dxa" w:w="8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II</w:t>
            </w:r>
          </w:p>
        </w:tc>
        <w:tc>
          <w:tcPr>
            <w:tcW w:type="dxa" w:w="9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80</w:t>
            </w:r>
          </w:p>
        </w:tc>
        <w:tc>
          <w:tcPr>
            <w:tcW w:type="dxa" w:w="9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95</w:t>
            </w:r>
          </w:p>
        </w:tc>
        <w:tc>
          <w:tcPr>
            <w:tcW w:type="dxa" w:w="86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r>
      <w:tr>
        <w:tc>
          <w:tcPr>
            <w:tcW w:type="dxa" w:w="28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Ethyl Acetate</w:t>
            </w:r>
          </w:p>
        </w:tc>
        <w:tc>
          <w:tcPr>
            <w:tcW w:type="dxa" w:w="9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0.897</w:t>
            </w:r>
          </w:p>
        </w:tc>
        <w:tc>
          <w:tcPr>
            <w:tcW w:type="dxa" w:w="12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UN1173</w:t>
            </w:r>
          </w:p>
        </w:tc>
        <w:tc>
          <w:tcPr>
            <w:tcW w:type="dxa" w:w="10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3</w:t>
            </w:r>
          </w:p>
        </w:tc>
        <w:tc>
          <w:tcPr>
            <w:tcW w:type="dxa" w:w="8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II</w:t>
            </w:r>
          </w:p>
        </w:tc>
        <w:tc>
          <w:tcPr>
            <w:tcW w:type="dxa" w:w="9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80</w:t>
            </w:r>
          </w:p>
        </w:tc>
        <w:tc>
          <w:tcPr>
            <w:tcW w:type="dxa" w:w="9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95</w:t>
            </w:r>
          </w:p>
        </w:tc>
        <w:tc>
          <w:tcPr>
            <w:tcW w:type="dxa" w:w="86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Xylene</w:t>
            </w:r>
          </w:p>
        </w:tc>
        <w:tc>
          <w:tcPr>
            <w:tcW w:type="dxa" w:w="9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0.864</w:t>
            </w:r>
          </w:p>
        </w:tc>
        <w:tc>
          <w:tcPr>
            <w:tcW w:type="dxa" w:w="12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UN1307</w:t>
            </w:r>
          </w:p>
        </w:tc>
        <w:tc>
          <w:tcPr>
            <w:tcW w:type="dxa" w:w="1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w:t>
            </w:r>
          </w:p>
        </w:tc>
        <w:tc>
          <w:tcPr>
            <w:tcW w:type="dxa" w:w="8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III</w:t>
            </w:r>
          </w:p>
        </w:tc>
        <w:tc>
          <w:tcPr>
            <w:tcW w:type="dxa" w:w="9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80</w:t>
            </w:r>
          </w:p>
        </w:tc>
        <w:tc>
          <w:tcPr>
            <w:tcW w:type="dxa" w:w="9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95</w:t>
            </w:r>
          </w:p>
        </w:tc>
        <w:tc>
          <w:tcPr>
            <w:tcW w:type="dxa" w:w="86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r>
      <w:tr>
        <w:tc>
          <w:tcPr>
            <w:tcW w:type="dxa" w:w="28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Caustic Soda 50%</w:t>
            </w:r>
          </w:p>
        </w:tc>
        <w:tc>
          <w:tcPr>
            <w:tcW w:type="dxa" w:w="9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1.525</w:t>
            </w:r>
          </w:p>
        </w:tc>
        <w:tc>
          <w:tcPr>
            <w:tcW w:type="dxa" w:w="12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UN1824</w:t>
            </w:r>
          </w:p>
        </w:tc>
        <w:tc>
          <w:tcPr>
            <w:tcW w:type="dxa" w:w="10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8</w:t>
            </w:r>
          </w:p>
        </w:tc>
        <w:tc>
          <w:tcPr>
            <w:tcW w:type="dxa" w:w="8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II</w:t>
            </w:r>
          </w:p>
        </w:tc>
        <w:tc>
          <w:tcPr>
            <w:tcW w:type="dxa" w:w="9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80</w:t>
            </w:r>
          </w:p>
        </w:tc>
        <w:tc>
          <w:tcPr>
            <w:tcW w:type="dxa" w:w="9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95</w:t>
            </w:r>
          </w:p>
        </w:tc>
        <w:tc>
          <w:tcPr>
            <w:tcW w:type="dxa" w:w="86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 SG</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Hydrochloric Acid 32%</w:t>
            </w:r>
          </w:p>
        </w:tc>
        <w:tc>
          <w:tcPr>
            <w:tcW w:type="dxa" w:w="9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1.159</w:t>
            </w:r>
          </w:p>
        </w:tc>
        <w:tc>
          <w:tcPr>
            <w:tcW w:type="dxa" w:w="12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UN1789</w:t>
            </w:r>
          </w:p>
        </w:tc>
        <w:tc>
          <w:tcPr>
            <w:tcW w:type="dxa" w:w="1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w:t>
            </w:r>
          </w:p>
        </w:tc>
        <w:tc>
          <w:tcPr>
            <w:tcW w:type="dxa" w:w="8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III</w:t>
            </w:r>
          </w:p>
        </w:tc>
        <w:tc>
          <w:tcPr>
            <w:tcW w:type="dxa" w:w="9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80</w:t>
            </w:r>
          </w:p>
        </w:tc>
        <w:tc>
          <w:tcPr>
            <w:tcW w:type="dxa" w:w="9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97</w:t>
            </w:r>
          </w:p>
        </w:tc>
        <w:tc>
          <w:tcPr>
            <w:tcW w:type="dxa" w:w="86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r>
      <w:tr>
        <w:tc>
          <w:tcPr>
            <w:tcW w:type="dxa" w:w="28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Phosphoric Acid 85%</w:t>
            </w:r>
          </w:p>
        </w:tc>
        <w:tc>
          <w:tcPr>
            <w:tcW w:type="dxa" w:w="9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1.685</w:t>
            </w:r>
          </w:p>
        </w:tc>
        <w:tc>
          <w:tcPr>
            <w:tcW w:type="dxa" w:w="12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UN1805</w:t>
            </w:r>
          </w:p>
        </w:tc>
        <w:tc>
          <w:tcPr>
            <w:tcW w:type="dxa" w:w="10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8</w:t>
            </w:r>
          </w:p>
        </w:tc>
        <w:tc>
          <w:tcPr>
            <w:tcW w:type="dxa" w:w="8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III</w:t>
            </w:r>
          </w:p>
        </w:tc>
        <w:tc>
          <w:tcPr>
            <w:tcW w:type="dxa" w:w="9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80</w:t>
            </w:r>
          </w:p>
        </w:tc>
        <w:tc>
          <w:tcPr>
            <w:tcW w:type="dxa" w:w="9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97</w:t>
            </w:r>
          </w:p>
        </w:tc>
        <w:tc>
          <w:tcPr>
            <w:tcW w:type="dxa" w:w="86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 SG</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Sulfuric Acid 98%</w:t>
            </w:r>
          </w:p>
        </w:tc>
        <w:tc>
          <w:tcPr>
            <w:tcW w:type="dxa" w:w="9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1.840</w:t>
            </w:r>
          </w:p>
        </w:tc>
        <w:tc>
          <w:tcPr>
            <w:tcW w:type="dxa" w:w="12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UN1830</w:t>
            </w:r>
          </w:p>
        </w:tc>
        <w:tc>
          <w:tcPr>
            <w:tcW w:type="dxa" w:w="1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w:t>
            </w:r>
          </w:p>
        </w:tc>
        <w:tc>
          <w:tcPr>
            <w:tcW w:type="dxa" w:w="8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II</w:t>
            </w:r>
          </w:p>
        </w:tc>
        <w:tc>
          <w:tcPr>
            <w:tcW w:type="dxa" w:w="9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80</w:t>
            </w:r>
          </w:p>
        </w:tc>
        <w:tc>
          <w:tcPr>
            <w:tcW w:type="dxa" w:w="9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93</w:t>
            </w:r>
          </w:p>
        </w:tc>
        <w:tc>
          <w:tcPr>
            <w:tcW w:type="dxa" w:w="86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 SG</w:t>
            </w:r>
          </w:p>
        </w:tc>
      </w:tr>
      <w:tr>
        <w:tc>
          <w:tcPr>
            <w:tcW w:type="dxa" w:w="28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Acetic Acid 80%</w:t>
            </w:r>
          </w:p>
        </w:tc>
        <w:tc>
          <w:tcPr>
            <w:tcW w:type="dxa" w:w="9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1.064</w:t>
            </w:r>
          </w:p>
        </w:tc>
        <w:tc>
          <w:tcPr>
            <w:tcW w:type="dxa" w:w="12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UN2790</w:t>
            </w:r>
          </w:p>
        </w:tc>
        <w:tc>
          <w:tcPr>
            <w:tcW w:type="dxa" w:w="10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8</w:t>
            </w:r>
          </w:p>
        </w:tc>
        <w:tc>
          <w:tcPr>
            <w:tcW w:type="dxa" w:w="8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III</w:t>
            </w:r>
          </w:p>
        </w:tc>
        <w:tc>
          <w:tcPr>
            <w:tcW w:type="dxa" w:w="9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80</w:t>
            </w:r>
          </w:p>
        </w:tc>
        <w:tc>
          <w:tcPr>
            <w:tcW w:type="dxa" w:w="9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97</w:t>
            </w:r>
          </w:p>
        </w:tc>
        <w:tc>
          <w:tcPr>
            <w:tcW w:type="dxa" w:w="86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Hydrogen Peroxide 50%</w:t>
            </w:r>
          </w:p>
        </w:tc>
        <w:tc>
          <w:tcPr>
            <w:tcW w:type="dxa" w:w="9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1.196</w:t>
            </w:r>
          </w:p>
        </w:tc>
        <w:tc>
          <w:tcPr>
            <w:tcW w:type="dxa" w:w="12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UN2014</w:t>
            </w:r>
          </w:p>
        </w:tc>
        <w:tc>
          <w:tcPr>
            <w:tcW w:type="dxa" w:w="1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5.1</w:t>
            </w:r>
          </w:p>
        </w:tc>
        <w:tc>
          <w:tcPr>
            <w:tcW w:type="dxa" w:w="8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II</w:t>
            </w:r>
          </w:p>
        </w:tc>
        <w:tc>
          <w:tcPr>
            <w:tcW w:type="dxa" w:w="9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80</w:t>
            </w:r>
          </w:p>
        </w:tc>
        <w:tc>
          <w:tcPr>
            <w:tcW w:type="dxa" w:w="9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90</w:t>
            </w:r>
          </w:p>
        </w:tc>
        <w:tc>
          <w:tcPr>
            <w:tcW w:type="dxa" w:w="86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r>
      <w:tr>
        <w:tc>
          <w:tcPr>
            <w:tcW w:type="dxa" w:w="28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Formaldehyde 37%</w:t>
            </w:r>
          </w:p>
        </w:tc>
        <w:tc>
          <w:tcPr>
            <w:tcW w:type="dxa" w:w="9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1.090</w:t>
            </w:r>
          </w:p>
        </w:tc>
        <w:tc>
          <w:tcPr>
            <w:tcW w:type="dxa" w:w="12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UN1198</w:t>
            </w:r>
          </w:p>
        </w:tc>
        <w:tc>
          <w:tcPr>
            <w:tcW w:type="dxa" w:w="10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3</w:t>
            </w:r>
          </w:p>
        </w:tc>
        <w:tc>
          <w:tcPr>
            <w:tcW w:type="dxa" w:w="8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III</w:t>
            </w:r>
          </w:p>
        </w:tc>
        <w:tc>
          <w:tcPr>
            <w:tcW w:type="dxa" w:w="9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80</w:t>
            </w:r>
          </w:p>
        </w:tc>
        <w:tc>
          <w:tcPr>
            <w:tcW w:type="dxa" w:w="9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97</w:t>
            </w:r>
          </w:p>
        </w:tc>
        <w:tc>
          <w:tcPr>
            <w:tcW w:type="dxa" w:w="86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r>
    </w:tbl>
    <w:p>
      <w:pPr>
        <w:spacing w:before="160" w:after="0"/>
      </w:pPr>
      <w:r>
        <w:t xml:space="preserve"/>
      </w:r>
    </w:p>
    <w:p>
      <w:pPr>
        <w:pStyle w:val="Heading2"/>
        <w:spacing w:before="280" w:after="80"/>
      </w:pPr>
      <w:r>
        <w:rPr>
          <w:rFonts w:ascii="Arial" w:cs="Arial" w:eastAsia="Arial" w:hAnsi="Arial"/>
          <w:b/>
          <w:bCs/>
          <w:color w:val="0060CC"/>
          <w:sz w:val="26"/>
          <w:szCs w:val="26"/>
        </w:rPr>
        <w:t xml:space="preserve">4.2 Non-DG Products — 14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120"/>
        <w:gridCol w:w="1120"/>
        <w:gridCol w:w="1120"/>
        <w:gridCol w:w="1000"/>
        <w:gridCol w:w="1000"/>
        <w:gridCol w:w="1000"/>
      </w:tblGrid>
      <w:tr>
        <w:tc>
          <w:tcPr>
            <w:tcW w:type="dxa" w:w="4000"/>
            <w:tcBorders>
              <w:top w:val="single" w:color="D0D8E0" w:sz="1"/>
              <w:left w:val="single" w:color="D0D8E0" w:sz="1"/>
              <w:bottom w:val="single" w:color="D0D8E0" w:sz="1"/>
              <w:right w:val="single" w:color="D0D8E0"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1120"/>
            <w:tcBorders>
              <w:top w:val="single" w:color="D0D8E0" w:sz="1"/>
              <w:left w:val="single" w:color="D0D8E0" w:sz="1"/>
              <w:bottom w:val="single" w:color="D0D8E0" w:sz="1"/>
              <w:right w:val="single" w:color="D0D8E0"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SG</w:t>
            </w:r>
          </w:p>
        </w:tc>
        <w:tc>
          <w:tcPr>
            <w:tcW w:type="dxa" w:w="1120"/>
            <w:tcBorders>
              <w:top w:val="single" w:color="D0D8E0" w:sz="1"/>
              <w:left w:val="single" w:color="D0D8E0" w:sz="1"/>
              <w:bottom w:val="single" w:color="D0D8E0" w:sz="1"/>
              <w:right w:val="single" w:color="D0D8E0"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Min Fill%</w:t>
            </w:r>
          </w:p>
        </w:tc>
        <w:tc>
          <w:tcPr>
            <w:tcW w:type="dxa" w:w="1120"/>
            <w:tcBorders>
              <w:top w:val="single" w:color="D0D8E0" w:sz="1"/>
              <w:left w:val="single" w:color="D0D8E0" w:sz="1"/>
              <w:bottom w:val="single" w:color="D0D8E0" w:sz="1"/>
              <w:right w:val="single" w:color="D0D8E0"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Max Fill%</w:t>
            </w:r>
          </w:p>
        </w:tc>
        <w:tc>
          <w:tcPr>
            <w:tcW w:type="dxa" w:w="1000"/>
            <w:tcBorders>
              <w:top w:val="single" w:color="D0D8E0" w:sz="1"/>
              <w:left w:val="single" w:color="D0D8E0" w:sz="1"/>
              <w:bottom w:val="single" w:color="D0D8E0" w:sz="1"/>
              <w:right w:val="single" w:color="D0D8E0"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000"/>
            <w:tcBorders>
              <w:top w:val="single" w:color="D0D8E0" w:sz="1"/>
              <w:left w:val="single" w:color="D0D8E0" w:sz="1"/>
              <w:bottom w:val="single" w:color="D0D8E0" w:sz="1"/>
              <w:right w:val="single" w:color="D0D8E0"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000"/>
            <w:tcBorders>
              <w:top w:val="single" w:color="D0D8E0" w:sz="1"/>
              <w:left w:val="single" w:color="D0D8E0" w:sz="1"/>
              <w:bottom w:val="single" w:color="D0D8E0" w:sz="1"/>
              <w:right w:val="single" w:color="D0D8E0"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4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Crude Palm Oil (CPO)</w:t>
            </w:r>
          </w:p>
        </w:tc>
        <w:tc>
          <w:tcPr>
            <w:tcW w:type="dxa" w:w="112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0.891</w:t>
            </w:r>
          </w:p>
        </w:tc>
        <w:tc>
          <w:tcPr>
            <w:tcW w:type="dxa" w:w="112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85</w:t>
            </w:r>
          </w:p>
        </w:tc>
        <w:tc>
          <w:tcPr>
            <w:tcW w:type="dxa" w:w="112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98</w:t>
            </w:r>
          </w:p>
        </w:tc>
        <w:tc>
          <w:tcPr>
            <w:tcW w:type="dxa" w:w="1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Vegetable Oil</w:t>
            </w:r>
          </w:p>
        </w:tc>
        <w:tc>
          <w:tcPr>
            <w:tcW w:type="dxa" w:w="1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1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r>
      <w:tr>
        <w:tc>
          <w:tcPr>
            <w:tcW w:type="dxa" w:w="40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Refined Palm Olein</w:t>
            </w:r>
          </w:p>
        </w:tc>
        <w:tc>
          <w:tcPr>
            <w:tcW w:type="dxa" w:w="112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0.900</w:t>
            </w:r>
          </w:p>
        </w:tc>
        <w:tc>
          <w:tcPr>
            <w:tcW w:type="dxa" w:w="112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85</w:t>
            </w:r>
          </w:p>
        </w:tc>
        <w:tc>
          <w:tcPr>
            <w:tcW w:type="dxa" w:w="112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98</w:t>
            </w:r>
          </w:p>
        </w:tc>
        <w:tc>
          <w:tcPr>
            <w:tcW w:type="dxa" w:w="10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Vegetable Oil</w:t>
            </w:r>
          </w:p>
        </w:tc>
        <w:tc>
          <w:tcPr>
            <w:tcW w:type="dxa" w:w="10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10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r>
      <w:tr>
        <w:tc>
          <w:tcPr>
            <w:tcW w:type="dxa" w:w="4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Refined Palm Stearin</w:t>
            </w:r>
          </w:p>
        </w:tc>
        <w:tc>
          <w:tcPr>
            <w:tcW w:type="dxa" w:w="112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0.904</w:t>
            </w:r>
          </w:p>
        </w:tc>
        <w:tc>
          <w:tcPr>
            <w:tcW w:type="dxa" w:w="112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85</w:t>
            </w:r>
          </w:p>
        </w:tc>
        <w:tc>
          <w:tcPr>
            <w:tcW w:type="dxa" w:w="112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98</w:t>
            </w:r>
          </w:p>
        </w:tc>
        <w:tc>
          <w:tcPr>
            <w:tcW w:type="dxa" w:w="1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Vegetable Oil</w:t>
            </w:r>
          </w:p>
        </w:tc>
        <w:tc>
          <w:tcPr>
            <w:tcW w:type="dxa" w:w="1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1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r>
      <w:tr>
        <w:tc>
          <w:tcPr>
            <w:tcW w:type="dxa" w:w="40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Soybean Oil (RBD)</w:t>
            </w:r>
          </w:p>
        </w:tc>
        <w:tc>
          <w:tcPr>
            <w:tcW w:type="dxa" w:w="112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0.919</w:t>
            </w:r>
          </w:p>
        </w:tc>
        <w:tc>
          <w:tcPr>
            <w:tcW w:type="dxa" w:w="112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85</w:t>
            </w:r>
          </w:p>
        </w:tc>
        <w:tc>
          <w:tcPr>
            <w:tcW w:type="dxa" w:w="112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98</w:t>
            </w:r>
          </w:p>
        </w:tc>
        <w:tc>
          <w:tcPr>
            <w:tcW w:type="dxa" w:w="10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Vegetable Oil</w:t>
            </w:r>
          </w:p>
        </w:tc>
        <w:tc>
          <w:tcPr>
            <w:tcW w:type="dxa" w:w="10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10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r>
      <w:tr>
        <w:tc>
          <w:tcPr>
            <w:tcW w:type="dxa" w:w="4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Sunflower Oil</w:t>
            </w:r>
          </w:p>
        </w:tc>
        <w:tc>
          <w:tcPr>
            <w:tcW w:type="dxa" w:w="112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0.920</w:t>
            </w:r>
          </w:p>
        </w:tc>
        <w:tc>
          <w:tcPr>
            <w:tcW w:type="dxa" w:w="112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85</w:t>
            </w:r>
          </w:p>
        </w:tc>
        <w:tc>
          <w:tcPr>
            <w:tcW w:type="dxa" w:w="112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98</w:t>
            </w:r>
          </w:p>
        </w:tc>
        <w:tc>
          <w:tcPr>
            <w:tcW w:type="dxa" w:w="1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Vegetable Oil</w:t>
            </w:r>
          </w:p>
        </w:tc>
        <w:tc>
          <w:tcPr>
            <w:tcW w:type="dxa" w:w="1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1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r>
      <w:tr>
        <w:tc>
          <w:tcPr>
            <w:tcW w:type="dxa" w:w="40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Canola Oil</w:t>
            </w:r>
          </w:p>
        </w:tc>
        <w:tc>
          <w:tcPr>
            <w:tcW w:type="dxa" w:w="112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0.915</w:t>
            </w:r>
          </w:p>
        </w:tc>
        <w:tc>
          <w:tcPr>
            <w:tcW w:type="dxa" w:w="112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85</w:t>
            </w:r>
          </w:p>
        </w:tc>
        <w:tc>
          <w:tcPr>
            <w:tcW w:type="dxa" w:w="112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98</w:t>
            </w:r>
          </w:p>
        </w:tc>
        <w:tc>
          <w:tcPr>
            <w:tcW w:type="dxa" w:w="10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Vegetable Oil</w:t>
            </w:r>
          </w:p>
        </w:tc>
        <w:tc>
          <w:tcPr>
            <w:tcW w:type="dxa" w:w="10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10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r>
      <w:tr>
        <w:tc>
          <w:tcPr>
            <w:tcW w:type="dxa" w:w="4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Coconut Oil (RBD)</w:t>
            </w:r>
          </w:p>
        </w:tc>
        <w:tc>
          <w:tcPr>
            <w:tcW w:type="dxa" w:w="112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0.912</w:t>
            </w:r>
          </w:p>
        </w:tc>
        <w:tc>
          <w:tcPr>
            <w:tcW w:type="dxa" w:w="112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85</w:t>
            </w:r>
          </w:p>
        </w:tc>
        <w:tc>
          <w:tcPr>
            <w:tcW w:type="dxa" w:w="112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98</w:t>
            </w:r>
          </w:p>
        </w:tc>
        <w:tc>
          <w:tcPr>
            <w:tcW w:type="dxa" w:w="1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Vegetable Oil</w:t>
            </w:r>
          </w:p>
        </w:tc>
        <w:tc>
          <w:tcPr>
            <w:tcW w:type="dxa" w:w="1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1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r>
      <w:tr>
        <w:tc>
          <w:tcPr>
            <w:tcW w:type="dxa" w:w="40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Glycerin 99.5%</w:t>
            </w:r>
          </w:p>
        </w:tc>
        <w:tc>
          <w:tcPr>
            <w:tcW w:type="dxa" w:w="112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1.261</w:t>
            </w:r>
          </w:p>
        </w:tc>
        <w:tc>
          <w:tcPr>
            <w:tcW w:type="dxa" w:w="112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85</w:t>
            </w:r>
          </w:p>
        </w:tc>
        <w:tc>
          <w:tcPr>
            <w:tcW w:type="dxa" w:w="112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98</w:t>
            </w:r>
          </w:p>
        </w:tc>
        <w:tc>
          <w:tcPr>
            <w:tcW w:type="dxa" w:w="10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Chemical</w:t>
            </w:r>
          </w:p>
        </w:tc>
        <w:tc>
          <w:tcPr>
            <w:tcW w:type="dxa" w:w="10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10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r>
      <w:tr>
        <w:tc>
          <w:tcPr>
            <w:tcW w:type="dxa" w:w="4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Propylene Glycol</w:t>
            </w:r>
          </w:p>
        </w:tc>
        <w:tc>
          <w:tcPr>
            <w:tcW w:type="dxa" w:w="112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1.036</w:t>
            </w:r>
          </w:p>
        </w:tc>
        <w:tc>
          <w:tcPr>
            <w:tcW w:type="dxa" w:w="112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85</w:t>
            </w:r>
          </w:p>
        </w:tc>
        <w:tc>
          <w:tcPr>
            <w:tcW w:type="dxa" w:w="112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98</w:t>
            </w:r>
          </w:p>
        </w:tc>
        <w:tc>
          <w:tcPr>
            <w:tcW w:type="dxa" w:w="1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Chemical</w:t>
            </w:r>
          </w:p>
        </w:tc>
        <w:tc>
          <w:tcPr>
            <w:tcW w:type="dxa" w:w="1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1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r>
      <w:tr>
        <w:tc>
          <w:tcPr>
            <w:tcW w:type="dxa" w:w="40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Ethylene Glycol</w:t>
            </w:r>
          </w:p>
        </w:tc>
        <w:tc>
          <w:tcPr>
            <w:tcW w:type="dxa" w:w="112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1.113</w:t>
            </w:r>
          </w:p>
        </w:tc>
        <w:tc>
          <w:tcPr>
            <w:tcW w:type="dxa" w:w="112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85</w:t>
            </w:r>
          </w:p>
        </w:tc>
        <w:tc>
          <w:tcPr>
            <w:tcW w:type="dxa" w:w="112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98</w:t>
            </w:r>
          </w:p>
        </w:tc>
        <w:tc>
          <w:tcPr>
            <w:tcW w:type="dxa" w:w="10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Chemical</w:t>
            </w:r>
          </w:p>
        </w:tc>
        <w:tc>
          <w:tcPr>
            <w:tcW w:type="dxa" w:w="10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10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r>
      <w:tr>
        <w:tc>
          <w:tcPr>
            <w:tcW w:type="dxa" w:w="4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Latex (Natural Rubber)</w:t>
            </w:r>
          </w:p>
        </w:tc>
        <w:tc>
          <w:tcPr>
            <w:tcW w:type="dxa" w:w="112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0.960</w:t>
            </w:r>
          </w:p>
        </w:tc>
        <w:tc>
          <w:tcPr>
            <w:tcW w:type="dxa" w:w="112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85</w:t>
            </w:r>
          </w:p>
        </w:tc>
        <w:tc>
          <w:tcPr>
            <w:tcW w:type="dxa" w:w="112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98</w:t>
            </w:r>
          </w:p>
        </w:tc>
        <w:tc>
          <w:tcPr>
            <w:tcW w:type="dxa" w:w="1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Rubber</w:t>
            </w:r>
          </w:p>
        </w:tc>
        <w:tc>
          <w:tcPr>
            <w:tcW w:type="dxa" w:w="1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1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r>
      <w:tr>
        <w:tc>
          <w:tcPr>
            <w:tcW w:type="dxa" w:w="40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Molasses</w:t>
            </w:r>
          </w:p>
        </w:tc>
        <w:tc>
          <w:tcPr>
            <w:tcW w:type="dxa" w:w="112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1.400</w:t>
            </w:r>
          </w:p>
        </w:tc>
        <w:tc>
          <w:tcPr>
            <w:tcW w:type="dxa" w:w="112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85</w:t>
            </w:r>
          </w:p>
        </w:tc>
        <w:tc>
          <w:tcPr>
            <w:tcW w:type="dxa" w:w="112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97</w:t>
            </w:r>
          </w:p>
        </w:tc>
        <w:tc>
          <w:tcPr>
            <w:tcW w:type="dxa" w:w="10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Food</w:t>
            </w:r>
          </w:p>
        </w:tc>
        <w:tc>
          <w:tcPr>
            <w:tcW w:type="dxa" w:w="10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10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r>
      <w:tr>
        <w:tc>
          <w:tcPr>
            <w:tcW w:type="dxa" w:w="4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Corn Syrup</w:t>
            </w:r>
          </w:p>
        </w:tc>
        <w:tc>
          <w:tcPr>
            <w:tcW w:type="dxa" w:w="112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1.380</w:t>
            </w:r>
          </w:p>
        </w:tc>
        <w:tc>
          <w:tcPr>
            <w:tcW w:type="dxa" w:w="112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85</w:t>
            </w:r>
          </w:p>
        </w:tc>
        <w:tc>
          <w:tcPr>
            <w:tcW w:type="dxa" w:w="112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97</w:t>
            </w:r>
          </w:p>
        </w:tc>
        <w:tc>
          <w:tcPr>
            <w:tcW w:type="dxa" w:w="1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Food</w:t>
            </w:r>
          </w:p>
        </w:tc>
        <w:tc>
          <w:tcPr>
            <w:tcW w:type="dxa" w:w="1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1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r>
      <w:tr>
        <w:tc>
          <w:tcPr>
            <w:tcW w:type="dxa" w:w="40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Water / Aqueous Sol.</w:t>
            </w:r>
          </w:p>
        </w:tc>
        <w:tc>
          <w:tcPr>
            <w:tcW w:type="dxa" w:w="112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1.000</w:t>
            </w:r>
          </w:p>
        </w:tc>
        <w:tc>
          <w:tcPr>
            <w:tcW w:type="dxa" w:w="112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85</w:t>
            </w:r>
          </w:p>
        </w:tc>
        <w:tc>
          <w:tcPr>
            <w:tcW w:type="dxa" w:w="112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98</w:t>
            </w:r>
          </w:p>
        </w:tc>
        <w:tc>
          <w:tcPr>
            <w:tcW w:type="dxa" w:w="10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Aqueous</w:t>
            </w:r>
          </w:p>
        </w:tc>
        <w:tc>
          <w:tcPr>
            <w:tcW w:type="dxa" w:w="10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10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r>
      <w:tr>
        <w:tc>
          <w:tcPr>
            <w:tcW w:type="dxa" w:w="4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Liquid Fertilizer (UAN)</w:t>
            </w:r>
          </w:p>
        </w:tc>
        <w:tc>
          <w:tcPr>
            <w:tcW w:type="dxa" w:w="112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1.280</w:t>
            </w:r>
          </w:p>
        </w:tc>
        <w:tc>
          <w:tcPr>
            <w:tcW w:type="dxa" w:w="112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85</w:t>
            </w:r>
          </w:p>
        </w:tc>
        <w:tc>
          <w:tcPr>
            <w:tcW w:type="dxa" w:w="112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97</w:t>
            </w:r>
          </w:p>
        </w:tc>
        <w:tc>
          <w:tcPr>
            <w:tcW w:type="dxa" w:w="1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Fertilizer</w:t>
            </w:r>
          </w:p>
        </w:tc>
        <w:tc>
          <w:tcPr>
            <w:tcW w:type="dxa" w:w="1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10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r>
    </w:tbl>
    <w:p>
      <w:pPr>
        <w:spacing w:before="120" w:after="0"/>
      </w:pPr>
      <w:r>
        <w:t xml:space="preserve"/>
      </w:r>
    </w:p>
    <w:p>
      <w:pPr>
        <w:pBdr>
          <w:left w:val="single" w:color="CC5500" w:sz="12" w:space="8"/>
        </w:pBdr>
        <w:shd w:fill="FFF8E8" w:val="clear"/>
        <w:spacing w:before="100" w:after="100"/>
        <w:ind w:left="200"/>
      </w:pPr>
      <w:r>
        <w:rPr>
          <w:rFonts w:ascii="Arial" w:cs="Arial" w:eastAsia="Arial" w:hAnsi="Arial"/>
          <w:i/>
          <w:iCs/>
          <w:color w:val="5A3800"/>
          <w:sz w:val="19"/>
          <w:szCs w:val="19"/>
        </w:rPr>
        <w:t xml:space="preserve">Note: Min/Max fill figures in the product library are legacy data. Active calculations use the locked business rules: 80% min, 95% max (DG), 97% max (Non-DG).</w:t>
      </w:r>
    </w:p>
    <w:p>
      <w:pPr>
        <w:spacing w:before="200" w:after="0"/>
      </w:pPr>
      <w:r>
        <w:t xml:space="preserve"/>
      </w:r>
    </w:p>
    <w:p>
      <w:pPr>
        <w:pStyle w:val="Heading1"/>
        <w:pBdr>
          <w:bottom w:val="single" w:color="0060CC" w:sz="8" w:space="4"/>
        </w:pBdr>
        <w:spacing w:before="360" w:after="120"/>
      </w:pPr>
      <w:r>
        <w:rPr>
          <w:rFonts w:ascii="Arial" w:cs="Arial" w:eastAsia="Arial" w:hAnsi="Arial"/>
          <w:b/>
          <w:bCs/>
          <w:color w:val="0D2B4E"/>
          <w:sz w:val="32"/>
          <w:szCs w:val="32"/>
        </w:rPr>
        <w:t xml:space="preserve">5. AI Integration — Anthropic Claude API</w:t>
      </w:r>
    </w:p>
    <w:p>
      <w:pPr>
        <w:spacing w:before="60" w:after="60"/>
      </w:pPr>
      <w:r>
        <w:rPr>
          <w:rFonts w:ascii="Arial" w:cs="Arial" w:eastAsia="Arial" w:hAnsi="Arial"/>
          <w:color w:val="222222"/>
          <w:sz w:val="20"/>
          <w:szCs w:val="20"/>
        </w:rPr>
        <w:t xml:space="preserve">The tool includes an optional AI Operations Advisor that generates a plain-English operational brief for each shipment scenario.</w:t>
      </w:r>
    </w:p>
    <w:p>
      <w:pPr>
        <w:spacing w:before="120" w:after="0"/>
      </w:pPr>
      <w:r>
        <w:t xml:space="preserve"/>
      </w:r>
    </w:p>
    <w:p>
      <w:pPr>
        <w:pStyle w:val="Heading2"/>
        <w:spacing w:before="280" w:after="80"/>
      </w:pPr>
      <w:r>
        <w:rPr>
          <w:rFonts w:ascii="Arial" w:cs="Arial" w:eastAsia="Arial" w:hAnsi="Arial"/>
          <w:b/>
          <w:bCs/>
          <w:color w:val="0060CC"/>
          <w:sz w:val="26"/>
          <w:szCs w:val="26"/>
        </w:rPr>
        <w:t xml:space="preserve">5.1 API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560"/>
            <w:tcBorders>
              <w:top w:val="single" w:color="D0D8E0" w:sz="1"/>
              <w:left w:val="single" w:color="D0D8E0" w:sz="1"/>
              <w:bottom w:val="single" w:color="D0D8E0" w:sz="1"/>
              <w:right w:val="single" w:color="D0D8E0"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Endpoint</w:t>
            </w:r>
          </w:p>
        </w:tc>
        <w:tc>
          <w:tcPr>
            <w:tcW w:type="dxa" w:w="656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https://api.anthropic.com/v1/messages</w:t>
            </w:r>
          </w:p>
        </w:tc>
      </w:tr>
      <w:tr>
        <w:tc>
          <w:tcPr>
            <w:tcW w:type="dxa" w:w="28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Model</w:t>
            </w:r>
          </w:p>
        </w:tc>
        <w:tc>
          <w:tcPr>
            <w:tcW w:type="dxa" w:w="656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claude-sonnet-4-20250514</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Method</w:t>
            </w:r>
          </w:p>
        </w:tc>
        <w:tc>
          <w:tcPr>
            <w:tcW w:type="dxa" w:w="656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POST — single user message, no conversation history</w:t>
            </w:r>
          </w:p>
        </w:tc>
      </w:tr>
      <w:tr>
        <w:tc>
          <w:tcPr>
            <w:tcW w:type="dxa" w:w="28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Auth</w:t>
            </w:r>
          </w:p>
        </w:tc>
        <w:tc>
          <w:tcPr>
            <w:tcW w:type="dxa" w:w="656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Anthropic API key — currently handled by the claude.ai host environment</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Max tokens</w:t>
            </w:r>
          </w:p>
        </w:tc>
        <w:tc>
          <w:tcPr>
            <w:tcW w:type="dxa" w:w="656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1,000</w:t>
            </w:r>
          </w:p>
        </w:tc>
      </w:tr>
      <w:tr>
        <w:tc>
          <w:tcPr>
            <w:tcW w:type="dxa" w:w="28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Trigger</w:t>
            </w:r>
          </w:p>
        </w:tc>
        <w:tc>
          <w:tcPr>
            <w:tcW w:type="dxa" w:w="656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Manual — user clicks 'AI Analysis' button after results are calculated</w:t>
            </w:r>
          </w:p>
        </w:tc>
      </w:tr>
    </w:tbl>
    <w:p>
      <w:pPr>
        <w:spacing w:before="120" w:after="0"/>
      </w:pPr>
      <w:r>
        <w:t xml:space="preserve"/>
      </w:r>
    </w:p>
    <w:p>
      <w:pPr>
        <w:pStyle w:val="Heading2"/>
        <w:spacing w:before="280" w:after="80"/>
      </w:pPr>
      <w:r>
        <w:rPr>
          <w:rFonts w:ascii="Arial" w:cs="Arial" w:eastAsia="Arial" w:hAnsi="Arial"/>
          <w:b/>
          <w:bCs/>
          <w:color w:val="0060CC"/>
          <w:sz w:val="26"/>
          <w:szCs w:val="26"/>
        </w:rPr>
        <w:t xml:space="preserve">5.2 Prompt Content</w:t>
      </w:r>
    </w:p>
    <w:p>
      <w:pPr>
        <w:spacing w:before="60" w:after="60"/>
      </w:pPr>
      <w:r>
        <w:rPr>
          <w:rFonts w:ascii="Arial" w:cs="Arial" w:eastAsia="Arial" w:hAnsi="Arial"/>
          <w:color w:val="222222"/>
          <w:sz w:val="20"/>
          <w:szCs w:val="20"/>
        </w:rPr>
        <w:t xml:space="preserve">The prompt sent to the API includes:</w:t>
      </w:r>
    </w:p>
    <w:p>
      <w:pPr>
        <w:pStyle w:val="ListParagraph"/>
        <w:numPr>
          <w:ilvl w:val="0"/>
          <w:numId w:val="2"/>
        </w:numPr>
        <w:spacing w:before="40" w:after="40"/>
      </w:pPr>
      <w:r>
        <w:rPr>
          <w:rFonts w:ascii="Arial" w:cs="Arial" w:eastAsia="Arial" w:hAnsi="Arial"/>
          <w:color w:val="222222"/>
          <w:sz w:val="20"/>
          <w:szCs w:val="20"/>
        </w:rPr>
        <w:t xml:space="preserve">Fleet specs (tank sizes, tares)</w:t>
      </w:r>
    </w:p>
    <w:p>
      <w:pPr>
        <w:pStyle w:val="ListParagraph"/>
        <w:numPr>
          <w:ilvl w:val="0"/>
          <w:numId w:val="2"/>
        </w:numPr>
        <w:spacing w:before="40" w:after="40"/>
      </w:pPr>
      <w:r>
        <w:rPr>
          <w:rFonts w:ascii="Arial" w:cs="Arial" w:eastAsia="Arial" w:hAnsi="Arial"/>
          <w:color w:val="222222"/>
          <w:sz w:val="20"/>
          <w:szCs w:val="20"/>
        </w:rPr>
        <w:t xml:space="preserve">Country, gross weight limit and regulatory note</w:t>
      </w:r>
    </w:p>
    <w:p>
      <w:pPr>
        <w:pStyle w:val="ListParagraph"/>
        <w:numPr>
          <w:ilvl w:val="0"/>
          <w:numId w:val="2"/>
        </w:numPr>
        <w:spacing w:before="40" w:after="40"/>
      </w:pPr>
      <w:r>
        <w:rPr>
          <w:rFonts w:ascii="Arial" w:cs="Arial" w:eastAsia="Arial" w:hAnsi="Arial"/>
          <w:color w:val="222222"/>
          <w:sz w:val="20"/>
          <w:szCs w:val="20"/>
        </w:rPr>
        <w:t xml:space="preserve">Product name, SG, DG classification, UN number, class, packing group</w:t>
      </w:r>
    </w:p>
    <w:p>
      <w:pPr>
        <w:pStyle w:val="ListParagraph"/>
        <w:numPr>
          <w:ilvl w:val="0"/>
          <w:numId w:val="2"/>
        </w:numPr>
        <w:spacing w:before="40" w:after="40"/>
      </w:pPr>
      <w:r>
        <w:rPr>
          <w:rFonts w:ascii="Arial" w:cs="Arial" w:eastAsia="Arial" w:hAnsi="Arial"/>
          <w:color w:val="222222"/>
          <w:sz w:val="20"/>
          <w:szCs w:val="20"/>
        </w:rPr>
        <w:t xml:space="preserve">Fill range (min % and max %)</w:t>
      </w:r>
    </w:p>
    <w:p>
      <w:pPr>
        <w:pStyle w:val="ListParagraph"/>
        <w:numPr>
          <w:ilvl w:val="0"/>
          <w:numId w:val="2"/>
        </w:numPr>
        <w:spacing w:before="40" w:after="40"/>
      </w:pPr>
      <w:r>
        <w:rPr>
          <w:rFonts w:ascii="Arial" w:cs="Arial" w:eastAsia="Arial" w:hAnsi="Arial"/>
          <w:color w:val="222222"/>
          <w:sz w:val="20"/>
          <w:szCs w:val="20"/>
        </w:rPr>
        <w:t xml:space="preserve">Full allocation results for all viable tanks: min and max volume, cargo kg, gross kg, fill %, limiting factor, headroom, and any warnings</w:t>
      </w:r>
    </w:p>
    <w:p>
      <w:pPr>
        <w:pStyle w:val="ListParagraph"/>
        <w:numPr>
          <w:ilvl w:val="0"/>
          <w:numId w:val="2"/>
        </w:numPr>
        <w:spacing w:before="40" w:after="40"/>
      </w:pPr>
      <w:r>
        <w:rPr>
          <w:rFonts w:ascii="Arial" w:cs="Arial" w:eastAsia="Arial" w:hAnsi="Arial"/>
          <w:color w:val="222222"/>
          <w:sz w:val="20"/>
          <w:szCs w:val="20"/>
        </w:rPr>
        <w:t xml:space="preserve">List of non-viable tanks and reasons</w:t>
      </w:r>
    </w:p>
    <w:p>
      <w:pPr>
        <w:spacing w:before="120" w:after="0"/>
      </w:pPr>
      <w:r>
        <w:t xml:space="preserve"/>
      </w:r>
    </w:p>
    <w:p>
      <w:pPr>
        <w:spacing w:before="60" w:after="60"/>
      </w:pPr>
      <w:r>
        <w:rPr>
          <w:rFonts w:ascii="Arial" w:cs="Arial" w:eastAsia="Arial" w:hAnsi="Arial"/>
          <w:color w:val="222222"/>
          <w:sz w:val="20"/>
          <w:szCs w:val="20"/>
        </w:rPr>
        <w:t xml:space="preserve">The model is instructed to return under 320 words covering: best tank recommendation, load range guidance, operational notes (temperature, cleaning, inert gas), DG or Non-DG compliance notes for the destination, and a single-sentence risk flag.</w:t>
      </w:r>
    </w:p>
    <w:p>
      <w:pPr>
        <w:spacing w:before="120" w:after="0"/>
      </w:pPr>
      <w:r>
        <w:t xml:space="preserve"/>
      </w:r>
    </w:p>
    <w:p>
      <w:pPr>
        <w:pStyle w:val="Heading2"/>
        <w:spacing w:before="280" w:after="80"/>
      </w:pPr>
      <w:r>
        <w:rPr>
          <w:rFonts w:ascii="Arial" w:cs="Arial" w:eastAsia="Arial" w:hAnsi="Arial"/>
          <w:b/>
          <w:bCs/>
          <w:color w:val="0060CC"/>
          <w:sz w:val="26"/>
          <w:szCs w:val="26"/>
        </w:rPr>
        <w:t xml:space="preserve">5.3 Rebuild Considerations</w:t>
      </w:r>
    </w:p>
    <w:p>
      <w:pPr>
        <w:pStyle w:val="ListParagraph"/>
        <w:numPr>
          <w:ilvl w:val="0"/>
          <w:numId w:val="2"/>
        </w:numPr>
        <w:spacing w:before="40" w:after="40"/>
      </w:pPr>
      <w:r>
        <w:rPr>
          <w:rFonts w:ascii="Arial" w:cs="Arial" w:eastAsia="Arial" w:hAnsi="Arial"/>
          <w:color w:val="222222"/>
          <w:sz w:val="20"/>
          <w:szCs w:val="20"/>
        </w:rPr>
        <w:t xml:space="preserve">If rebuilding without the claude.ai host environment, an API key will need to be injected server-side — never exposed in client-side code</w:t>
      </w:r>
    </w:p>
    <w:p>
      <w:pPr>
        <w:pStyle w:val="ListParagraph"/>
        <w:numPr>
          <w:ilvl w:val="0"/>
          <w:numId w:val="2"/>
        </w:numPr>
        <w:spacing w:before="40" w:after="40"/>
      </w:pPr>
      <w:r>
        <w:rPr>
          <w:rFonts w:ascii="Arial" w:cs="Arial" w:eastAsia="Arial" w:hAnsi="Arial"/>
          <w:color w:val="222222"/>
          <w:sz w:val="20"/>
          <w:szCs w:val="20"/>
        </w:rPr>
        <w:t xml:space="preserve">Recommend routing API calls through a backend proxy to protect the key</w:t>
      </w:r>
    </w:p>
    <w:p>
      <w:pPr>
        <w:pStyle w:val="ListParagraph"/>
        <w:numPr>
          <w:ilvl w:val="0"/>
          <w:numId w:val="2"/>
        </w:numPr>
        <w:spacing w:before="40" w:after="40"/>
      </w:pPr>
      <w:r>
        <w:rPr>
          <w:rFonts w:ascii="Arial" w:cs="Arial" w:eastAsia="Arial" w:hAnsi="Arial"/>
          <w:color w:val="222222"/>
          <w:sz w:val="20"/>
          <w:szCs w:val="20"/>
        </w:rPr>
        <w:t xml:space="preserve">The prompt is deterministic and stateless — no session state required</w:t>
      </w:r>
    </w:p>
    <w:p>
      <w:pPr>
        <w:pStyle w:val="ListParagraph"/>
        <w:numPr>
          <w:ilvl w:val="0"/>
          <w:numId w:val="2"/>
        </w:numPr>
        <w:spacing w:before="40" w:after="40"/>
      </w:pPr>
      <w:r>
        <w:rPr>
          <w:rFonts w:ascii="Arial" w:cs="Arial" w:eastAsia="Arial" w:hAnsi="Arial"/>
          <w:color w:val="222222"/>
          <w:sz w:val="20"/>
          <w:szCs w:val="20"/>
        </w:rPr>
        <w:t xml:space="preserve">Response is plain text (markdown bold headers), rendered as pre-formatted text in the current UI</w:t>
      </w:r>
    </w:p>
    <w:p>
      <w:pPr>
        <w:spacing w:before="200" w:after="0"/>
      </w:pPr>
      <w:r>
        <w:t xml:space="preserve"/>
      </w:r>
    </w:p>
    <w:p>
      <w:pPr>
        <w:pStyle w:val="Heading1"/>
        <w:pBdr>
          <w:bottom w:val="single" w:color="0060CC" w:sz="8" w:space="4"/>
        </w:pBdr>
        <w:spacing w:before="360" w:after="120"/>
      </w:pPr>
      <w:r>
        <w:rPr>
          <w:rFonts w:ascii="Arial" w:cs="Arial" w:eastAsia="Arial" w:hAnsi="Arial"/>
          <w:b/>
          <w:bCs/>
          <w:color w:val="0D2B4E"/>
          <w:sz w:val="32"/>
          <w:szCs w:val="32"/>
        </w:rPr>
        <w:t xml:space="preserve">6. Technical Stack</w:t>
      </w:r>
    </w:p>
    <w:p>
      <w:pPr>
        <w:pStyle w:val="Heading2"/>
        <w:spacing w:before="280" w:after="80"/>
      </w:pPr>
      <w:r>
        <w:rPr>
          <w:rFonts w:ascii="Arial" w:cs="Arial" w:eastAsia="Arial" w:hAnsi="Arial"/>
          <w:b/>
          <w:bCs/>
          <w:color w:val="0060CC"/>
          <w:sz w:val="26"/>
          <w:szCs w:val="26"/>
        </w:rPr>
        <w:t xml:space="preserve">6.1 Current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D0D8E0" w:sz="1"/>
              <w:left w:val="single" w:color="D0D8E0" w:sz="1"/>
              <w:bottom w:val="single" w:color="D0D8E0" w:sz="1"/>
              <w:right w:val="single" w:color="D0D8E0"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Framework</w:t>
            </w:r>
          </w:p>
        </w:tc>
        <w:tc>
          <w:tcPr>
            <w:tcW w:type="dxa" w:w="656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React 18 — functional components with hooks (useState, useEffect)</w:t>
            </w:r>
          </w:p>
        </w:tc>
      </w:tr>
      <w:tr>
        <w:tc>
          <w:tcPr>
            <w:tcW w:type="dxa" w:w="28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Language</w:t>
            </w:r>
          </w:p>
        </w:tc>
        <w:tc>
          <w:tcPr>
            <w:tcW w:type="dxa" w:w="656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JavaScript (JSX) — no TypeScript</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Styling</w:t>
            </w:r>
          </w:p>
        </w:tc>
        <w:tc>
          <w:tcPr>
            <w:tcW w:type="dxa" w:w="656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Inline CSS-in-JS injected via &lt;style&gt; tag — no CSS framework, no external stylesheet</w:t>
            </w:r>
          </w:p>
        </w:tc>
      </w:tr>
      <w:tr>
        <w:tc>
          <w:tcPr>
            <w:tcW w:type="dxa" w:w="28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Fonts</w:t>
            </w:r>
          </w:p>
        </w:tc>
        <w:tc>
          <w:tcPr>
            <w:tcW w:type="dxa" w:w="656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Google Fonts CDN — Bebas Neue (headings), DM Mono (data/labels), DM Sans (body text)</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State management</w:t>
            </w:r>
          </w:p>
        </w:tc>
        <w:tc>
          <w:tcPr>
            <w:tcW w:type="dxa" w:w="656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Local React state only (useState) — no Redux, no Context, no external store</w:t>
            </w:r>
          </w:p>
        </w:tc>
      </w:tr>
      <w:tr>
        <w:tc>
          <w:tcPr>
            <w:tcW w:type="dxa" w:w="28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Data persistence</w:t>
            </w:r>
          </w:p>
        </w:tc>
        <w:tc>
          <w:tcPr>
            <w:tcW w:type="dxa" w:w="656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None — all data is in-memory; no localStorage, no cookies, no database</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Backend</w:t>
            </w:r>
          </w:p>
        </w:tc>
        <w:tc>
          <w:tcPr>
            <w:tcW w:type="dxa" w:w="656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None — fully client-side; the only external call is the Anthropic API</w:t>
            </w:r>
          </w:p>
        </w:tc>
      </w:tr>
      <w:tr>
        <w:tc>
          <w:tcPr>
            <w:tcW w:type="dxa" w:w="28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Authentication</w:t>
            </w:r>
          </w:p>
        </w:tc>
        <w:tc>
          <w:tcPr>
            <w:tcW w:type="dxa" w:w="656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None in current implementation — relies on claude.ai host auth</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Deployment</w:t>
            </w:r>
          </w:p>
        </w:tc>
        <w:tc>
          <w:tcPr>
            <w:tcW w:type="dxa" w:w="656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Currently embedded in claude.ai as a React artifact — single .jsx file</w:t>
            </w:r>
          </w:p>
        </w:tc>
      </w:tr>
      <w:tr>
        <w:tc>
          <w:tcPr>
            <w:tcW w:type="dxa" w:w="28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File size</w:t>
            </w:r>
          </w:p>
        </w:tc>
        <w:tc>
          <w:tcPr>
            <w:tcW w:type="dxa" w:w="656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~870 lines of JSX — all logic, data, styles and UI in one file</w:t>
            </w:r>
          </w:p>
        </w:tc>
      </w:tr>
    </w:tbl>
    <w:p>
      <w:pPr>
        <w:spacing w:before="160" w:after="0"/>
      </w:pPr>
      <w:r>
        <w:t xml:space="preserve"/>
      </w:r>
    </w:p>
    <w:p>
      <w:pPr>
        <w:pStyle w:val="Heading2"/>
        <w:spacing w:before="280" w:after="80"/>
      </w:pPr>
      <w:r>
        <w:rPr>
          <w:rFonts w:ascii="Arial" w:cs="Arial" w:eastAsia="Arial" w:hAnsi="Arial"/>
          <w:b/>
          <w:bCs/>
          <w:color w:val="0060CC"/>
          <w:sz w:val="26"/>
          <w:szCs w:val="26"/>
        </w:rPr>
        <w:t xml:space="preserve">6.2 Rebuild Options</w:t>
      </w:r>
    </w:p>
    <w:p>
      <w:pPr>
        <w:spacing w:before="60" w:after="60"/>
      </w:pPr>
      <w:r>
        <w:rPr>
          <w:rFonts w:ascii="Arial" w:cs="Arial" w:eastAsia="Arial" w:hAnsi="Arial"/>
          <w:color w:val="222222"/>
          <w:sz w:val="20"/>
          <w:szCs w:val="20"/>
        </w:rPr>
        <w:t xml:space="preserve">The tool is deliberately simple and portable. Options for production deployment:</w:t>
      </w:r>
    </w:p>
    <w:p>
      <w:pPr>
        <w:spacing w:before="120" w:after="0"/>
      </w:pPr>
      <w:r>
        <w:t xml:space="preserve"/>
      </w:r>
    </w:p>
    <w:p>
      <w:pPr>
        <w:spacing w:before="200" w:after="60"/>
      </w:pPr>
      <w:r>
        <w:rPr>
          <w:rFonts w:ascii="Arial" w:cs="Arial" w:eastAsia="Arial" w:hAnsi="Arial"/>
          <w:b/>
          <w:bCs/>
          <w:color w:val="0D2B4E"/>
          <w:sz w:val="22"/>
          <w:szCs w:val="22"/>
        </w:rPr>
        <w:t xml:space="preserve">Option A — Standalone React App (recommended)</w:t>
      </w:r>
    </w:p>
    <w:p>
      <w:pPr>
        <w:pStyle w:val="ListParagraph"/>
        <w:numPr>
          <w:ilvl w:val="0"/>
          <w:numId w:val="2"/>
        </w:numPr>
        <w:spacing w:before="40" w:after="40"/>
      </w:pPr>
      <w:r>
        <w:rPr>
          <w:rFonts w:ascii="Arial" w:cs="Arial" w:eastAsia="Arial" w:hAnsi="Arial"/>
          <w:color w:val="222222"/>
          <w:sz w:val="20"/>
          <w:szCs w:val="20"/>
        </w:rPr>
        <w:t xml:space="preserve">Create React App or Vite + React</w:t>
      </w:r>
    </w:p>
    <w:p>
      <w:pPr>
        <w:pStyle w:val="ListParagraph"/>
        <w:numPr>
          <w:ilvl w:val="0"/>
          <w:numId w:val="2"/>
        </w:numPr>
        <w:spacing w:before="40" w:after="40"/>
      </w:pPr>
      <w:r>
        <w:rPr>
          <w:rFonts w:ascii="Arial" w:cs="Arial" w:eastAsia="Arial" w:hAnsi="Arial"/>
          <w:color w:val="222222"/>
          <w:sz w:val="20"/>
          <w:szCs w:val="20"/>
        </w:rPr>
        <w:t xml:space="preserve">Split into components: Calculator, Fleet, ProductsReference, ResultCard, AIAdvisor</w:t>
      </w:r>
    </w:p>
    <w:p>
      <w:pPr>
        <w:pStyle w:val="ListParagraph"/>
        <w:numPr>
          <w:ilvl w:val="0"/>
          <w:numId w:val="2"/>
        </w:numPr>
        <w:spacing w:before="40" w:after="40"/>
      </w:pPr>
      <w:r>
        <w:rPr>
          <w:rFonts w:ascii="Arial" w:cs="Arial" w:eastAsia="Arial" w:hAnsi="Arial"/>
          <w:color w:val="222222"/>
          <w:sz w:val="20"/>
          <w:szCs w:val="20"/>
        </w:rPr>
        <w:t xml:space="preserve">Move product/country data to JSON files or a simple CMS/database for easy updates</w:t>
      </w:r>
    </w:p>
    <w:p>
      <w:pPr>
        <w:pStyle w:val="ListParagraph"/>
        <w:numPr>
          <w:ilvl w:val="0"/>
          <w:numId w:val="2"/>
        </w:numPr>
        <w:spacing w:before="40" w:after="40"/>
      </w:pPr>
      <w:r>
        <w:rPr>
          <w:rFonts w:ascii="Arial" w:cs="Arial" w:eastAsia="Arial" w:hAnsi="Arial"/>
          <w:color w:val="222222"/>
          <w:sz w:val="20"/>
          <w:szCs w:val="20"/>
        </w:rPr>
        <w:t xml:space="preserve">Add backend proxy (Node.js / Python) to handle the Anthropic API key securely</w:t>
      </w:r>
    </w:p>
    <w:p>
      <w:pPr>
        <w:pStyle w:val="ListParagraph"/>
        <w:numPr>
          <w:ilvl w:val="0"/>
          <w:numId w:val="2"/>
        </w:numPr>
        <w:spacing w:before="40" w:after="40"/>
      </w:pPr>
      <w:r>
        <w:rPr>
          <w:rFonts w:ascii="Arial" w:cs="Arial" w:eastAsia="Arial" w:hAnsi="Arial"/>
          <w:color w:val="222222"/>
          <w:sz w:val="20"/>
          <w:szCs w:val="20"/>
        </w:rPr>
        <w:t xml:space="preserve">Host on any static host (Vercel, Netlify, S3 + CloudFront, Azure Static Web Apps)</w:t>
      </w:r>
    </w:p>
    <w:p>
      <w:pPr>
        <w:spacing w:before="120" w:after="0"/>
      </w:pPr>
      <w:r>
        <w:t xml:space="preserve"/>
      </w:r>
    </w:p>
    <w:p>
      <w:pPr>
        <w:spacing w:before="200" w:after="60"/>
      </w:pPr>
      <w:r>
        <w:rPr>
          <w:rFonts w:ascii="Arial" w:cs="Arial" w:eastAsia="Arial" w:hAnsi="Arial"/>
          <w:b/>
          <w:bCs/>
          <w:color w:val="0D2B4E"/>
          <w:sz w:val="22"/>
          <w:szCs w:val="22"/>
        </w:rPr>
        <w:t xml:space="preserve">Option B — Embedded in existing internal tool / intranet</w:t>
      </w:r>
    </w:p>
    <w:p>
      <w:pPr>
        <w:pStyle w:val="ListParagraph"/>
        <w:numPr>
          <w:ilvl w:val="0"/>
          <w:numId w:val="2"/>
        </w:numPr>
        <w:spacing w:before="40" w:after="40"/>
      </w:pPr>
      <w:r>
        <w:rPr>
          <w:rFonts w:ascii="Arial" w:cs="Arial" w:eastAsia="Arial" w:hAnsi="Arial"/>
          <w:color w:val="222222"/>
          <w:sz w:val="20"/>
          <w:szCs w:val="20"/>
        </w:rPr>
        <w:t xml:space="preserve">The component can be dropped into any React-based portal with minor refactoring</w:t>
      </w:r>
    </w:p>
    <w:p>
      <w:pPr>
        <w:pStyle w:val="ListParagraph"/>
        <w:numPr>
          <w:ilvl w:val="0"/>
          <w:numId w:val="2"/>
        </w:numPr>
        <w:spacing w:before="40" w:after="40"/>
      </w:pPr>
      <w:r>
        <w:rPr>
          <w:rFonts w:ascii="Arial" w:cs="Arial" w:eastAsia="Arial" w:hAnsi="Arial"/>
          <w:color w:val="222222"/>
          <w:sz w:val="20"/>
          <w:szCs w:val="20"/>
        </w:rPr>
        <w:t xml:space="preserve">Country and product data can be sourced from existing master data systems</w:t>
      </w:r>
    </w:p>
    <w:p>
      <w:pPr>
        <w:pStyle w:val="ListParagraph"/>
        <w:numPr>
          <w:ilvl w:val="0"/>
          <w:numId w:val="2"/>
        </w:numPr>
        <w:spacing w:before="40" w:after="40"/>
      </w:pPr>
      <w:r>
        <w:rPr>
          <w:rFonts w:ascii="Arial" w:cs="Arial" w:eastAsia="Arial" w:hAnsi="Arial"/>
          <w:color w:val="222222"/>
          <w:sz w:val="20"/>
          <w:szCs w:val="20"/>
        </w:rPr>
        <w:t xml:space="preserve">AI button can be wired to any LLM API or removed entirely if not required</w:t>
      </w:r>
    </w:p>
    <w:p>
      <w:pPr>
        <w:spacing w:before="120" w:after="0"/>
      </w:pPr>
      <w:r>
        <w:t xml:space="preserve"/>
      </w:r>
    </w:p>
    <w:p>
      <w:pPr>
        <w:spacing w:before="200" w:after="60"/>
      </w:pPr>
      <w:r>
        <w:rPr>
          <w:rFonts w:ascii="Arial" w:cs="Arial" w:eastAsia="Arial" w:hAnsi="Arial"/>
          <w:b/>
          <w:bCs/>
          <w:color w:val="0D2B4E"/>
          <w:sz w:val="22"/>
          <w:szCs w:val="22"/>
        </w:rPr>
        <w:t xml:space="preserve">Option C — No-framework HTML/JS</w:t>
      </w:r>
    </w:p>
    <w:p>
      <w:pPr>
        <w:pStyle w:val="ListParagraph"/>
        <w:numPr>
          <w:ilvl w:val="0"/>
          <w:numId w:val="2"/>
        </w:numPr>
        <w:spacing w:before="40" w:after="40"/>
      </w:pPr>
      <w:r>
        <w:rPr>
          <w:rFonts w:ascii="Arial" w:cs="Arial" w:eastAsia="Arial" w:hAnsi="Arial"/>
          <w:color w:val="222222"/>
          <w:sz w:val="20"/>
          <w:szCs w:val="20"/>
        </w:rPr>
        <w:t xml:space="preserve">The calculation engine is pure JavaScript — no React dependency</w:t>
      </w:r>
    </w:p>
    <w:p>
      <w:pPr>
        <w:pStyle w:val="ListParagraph"/>
        <w:numPr>
          <w:ilvl w:val="0"/>
          <w:numId w:val="2"/>
        </w:numPr>
        <w:spacing w:before="40" w:after="40"/>
      </w:pPr>
      <w:r>
        <w:rPr>
          <w:rFonts w:ascii="Arial" w:cs="Arial" w:eastAsia="Arial" w:hAnsi="Arial"/>
          <w:color w:val="222222"/>
          <w:sz w:val="20"/>
          <w:szCs w:val="20"/>
        </w:rPr>
        <w:t xml:space="preserve">Can be re-implemented as a vanilla HTML + JS page with minimal effort</w:t>
      </w:r>
    </w:p>
    <w:p>
      <w:pPr>
        <w:pStyle w:val="ListParagraph"/>
        <w:numPr>
          <w:ilvl w:val="0"/>
          <w:numId w:val="2"/>
        </w:numPr>
        <w:spacing w:before="40" w:after="40"/>
      </w:pPr>
      <w:r>
        <w:rPr>
          <w:rFonts w:ascii="Arial" w:cs="Arial" w:eastAsia="Arial" w:hAnsi="Arial"/>
          <w:color w:val="222222"/>
          <w:sz w:val="20"/>
          <w:szCs w:val="20"/>
        </w:rPr>
        <w:t xml:space="preserve">Suitable for embedding in SharePoint, Confluence, or similar platforms</w:t>
      </w:r>
    </w:p>
    <w:p>
      <w:pPr>
        <w:spacing w:before="200" w:after="0"/>
      </w:pPr>
      <w:r>
        <w:t xml:space="preserve"/>
      </w:r>
    </w:p>
    <w:p>
      <w:pPr>
        <w:pStyle w:val="Heading1"/>
        <w:pBdr>
          <w:bottom w:val="single" w:color="0060CC" w:sz="8" w:space="4"/>
        </w:pBdr>
        <w:spacing w:before="360" w:after="120"/>
      </w:pPr>
      <w:r>
        <w:rPr>
          <w:rFonts w:ascii="Arial" w:cs="Arial" w:eastAsia="Arial" w:hAnsi="Arial"/>
          <w:b/>
          <w:bCs/>
          <w:color w:val="0D2B4E"/>
          <w:sz w:val="32"/>
          <w:szCs w:val="32"/>
        </w:rPr>
        <w:t xml:space="preserve">7. Data Maintenance</w:t>
      </w:r>
    </w:p>
    <w:p>
      <w:pPr>
        <w:spacing w:before="60" w:after="60"/>
      </w:pPr>
      <w:r>
        <w:rPr>
          <w:rFonts w:ascii="Arial" w:cs="Arial" w:eastAsia="Arial" w:hAnsi="Arial"/>
          <w:color w:val="222222"/>
          <w:sz w:val="20"/>
          <w:szCs w:val="20"/>
        </w:rPr>
        <w:t xml:space="preserve">The following data is currently hardcoded in the .jsx file and should be managed as configurable data in a production build: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0D8E0" w:sz="1"/>
              <w:left w:val="single" w:color="D0D8E0" w:sz="1"/>
              <w:bottom w:val="single" w:color="D0D8E0" w:sz="1"/>
              <w:right w:val="single" w:color="D0D8E0"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Data Set</w:t>
            </w:r>
          </w:p>
        </w:tc>
        <w:tc>
          <w:tcPr>
            <w:tcW w:type="dxa" w:w="3280"/>
            <w:tcBorders>
              <w:top w:val="single" w:color="D0D8E0" w:sz="1"/>
              <w:left w:val="single" w:color="D0D8E0" w:sz="1"/>
              <w:bottom w:val="single" w:color="D0D8E0" w:sz="1"/>
              <w:right w:val="single" w:color="D0D8E0"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Current Location</w:t>
            </w:r>
          </w:p>
        </w:tc>
        <w:tc>
          <w:tcPr>
            <w:tcW w:type="dxa" w:w="3280"/>
            <w:tcBorders>
              <w:top w:val="single" w:color="D0D8E0" w:sz="1"/>
              <w:left w:val="single" w:color="D0D8E0" w:sz="1"/>
              <w:bottom w:val="single" w:color="D0D8E0" w:sz="1"/>
              <w:right w:val="single" w:color="D0D8E0"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Recommended in Prod</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Fleet (3 tanks)</w:t>
            </w:r>
          </w:p>
        </w:tc>
        <w:tc>
          <w:tcPr>
            <w:tcW w:type="dxa" w:w="328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ISO_TANKS array, line 4</w:t>
            </w:r>
          </w:p>
        </w:tc>
        <w:tc>
          <w:tcPr>
            <w:tcW w:type="dxa" w:w="328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Database / config file</w:t>
            </w:r>
          </w:p>
        </w:tc>
      </w:tr>
      <w:tr>
        <w:tc>
          <w:tcPr>
            <w:tcW w:type="dxa" w:w="28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Product library (28)</w:t>
            </w:r>
          </w:p>
        </w:tc>
        <w:tc>
          <w:tcPr>
            <w:tcW w:type="dxa" w:w="328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COMMON_PRODUCTS array, line 64</w:t>
            </w:r>
          </w:p>
        </w:tc>
        <w:tc>
          <w:tcPr>
            <w:tcW w:type="dxa" w:w="328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Database / CMS — add/edit without code deploy</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Country GVW limits</w:t>
            </w:r>
          </w:p>
        </w:tc>
        <w:tc>
          <w:tcPr>
            <w:tcW w:type="dxa" w:w="328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COUNTRY_GVW object, line 14</w:t>
            </w:r>
          </w:p>
        </w:tc>
        <w:tc>
          <w:tcPr>
            <w:tcW w:type="dxa" w:w="328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Config file — update as regulations change</w:t>
            </w:r>
          </w:p>
        </w:tc>
      </w:tr>
      <w:tr>
        <w:tc>
          <w:tcPr>
            <w:tcW w:type="dxa" w:w="280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Fill rules (80/95/97)</w:t>
            </w:r>
          </w:p>
        </w:tc>
        <w:tc>
          <w:tcPr>
            <w:tcW w:type="dxa" w:w="328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Hardcoded in component, line 175</w:t>
            </w:r>
          </w:p>
        </w:tc>
        <w:tc>
          <w:tcPr>
            <w:tcW w:type="dxa" w:w="3280"/>
            <w:tcBorders>
              <w:top w:val="single" w:color="D0D8E0" w:sz="1"/>
              <w:left w:val="single" w:color="D0D8E0" w:sz="1"/>
              <w:bottom w:val="single" w:color="D0D8E0" w:sz="1"/>
              <w:right w:val="single" w:color="D0D8E0" w:sz="1"/>
            </w:tcBorders>
            <w:shd w:fill="F2F5F8" w:val="clear"/>
            <w:tcMar>
              <w:top w:type="dxa" w:w="80"/>
              <w:left w:type="dxa" w:w="120"/>
              <w:bottom w:type="dxa" w:w="80"/>
              <w:right w:type="dxa" w:w="120"/>
            </w:tcMar>
          </w:tcPr>
          <w:p>
            <w:r>
              <w:rPr>
                <w:rFonts w:ascii="Arial" w:cs="Arial" w:eastAsia="Arial" w:hAnsi="Arial"/>
                <w:b w:val="false"/>
                <w:bCs w:val="false"/>
                <w:color w:val="000000"/>
                <w:sz w:val="19"/>
                <w:szCs w:val="19"/>
              </w:rPr>
              <w:t xml:space="preserve">Config / admin setting</w:t>
            </w:r>
          </w:p>
        </w:tc>
      </w:tr>
      <w:tr>
        <w:tc>
          <w:tcPr>
            <w:tcW w:type="dxa" w:w="28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Country list</w:t>
            </w:r>
          </w:p>
        </w:tc>
        <w:tc>
          <w:tcPr>
            <w:tcW w:type="dxa" w:w="328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ALL_COUNTRIES array, line 46</w:t>
            </w:r>
          </w:p>
        </w:tc>
        <w:tc>
          <w:tcPr>
            <w:tcW w:type="dxa" w:w="328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Derive from country GVW map</w:t>
            </w:r>
          </w:p>
        </w:tc>
      </w:tr>
    </w:tbl>
    <w:p>
      <w:pPr>
        <w:spacing w:before="200" w:after="0"/>
      </w:pPr>
      <w:r>
        <w:t xml:space="preserve"/>
      </w:r>
    </w:p>
    <w:p>
      <w:pPr>
        <w:pStyle w:val="Heading1"/>
        <w:pBdr>
          <w:bottom w:val="single" w:color="0060CC" w:sz="8" w:space="4"/>
        </w:pBdr>
        <w:spacing w:before="360" w:after="120"/>
      </w:pPr>
      <w:r>
        <w:rPr>
          <w:rFonts w:ascii="Arial" w:cs="Arial" w:eastAsia="Arial" w:hAnsi="Arial"/>
          <w:b/>
          <w:bCs/>
          <w:color w:val="0D2B4E"/>
          <w:sz w:val="32"/>
          <w:szCs w:val="32"/>
        </w:rPr>
        <w:t xml:space="preserve">8. Known Limitations &amp; Notes for Rebuild</w:t>
      </w:r>
    </w:p>
    <w:p>
      <w:pPr>
        <w:pStyle w:val="ListParagraph"/>
        <w:numPr>
          <w:ilvl w:val="0"/>
          <w:numId w:val="2"/>
        </w:numPr>
        <w:spacing w:before="40" w:after="40"/>
      </w:pPr>
      <w:r>
        <w:rPr>
          <w:rFonts w:ascii="Arial" w:cs="Arial" w:eastAsia="Arial" w:hAnsi="Arial"/>
          <w:color w:val="222222"/>
          <w:sz w:val="20"/>
          <w:szCs w:val="20"/>
        </w:rPr>
        <w:t xml:space="preserve">No user authentication — anyone with the URL can access the tool</w:t>
      </w:r>
    </w:p>
    <w:p>
      <w:pPr>
        <w:pStyle w:val="ListParagraph"/>
        <w:numPr>
          <w:ilvl w:val="0"/>
          <w:numId w:val="2"/>
        </w:numPr>
        <w:spacing w:before="40" w:after="40"/>
      </w:pPr>
      <w:r>
        <w:rPr>
          <w:rFonts w:ascii="Arial" w:cs="Arial" w:eastAsia="Arial" w:hAnsi="Arial"/>
          <w:color w:val="222222"/>
          <w:sz w:val="20"/>
          <w:szCs w:val="20"/>
        </w:rPr>
        <w:t xml:space="preserve">No audit trail — calculations are not logged or saved</w:t>
      </w:r>
    </w:p>
    <w:p>
      <w:pPr>
        <w:pStyle w:val="ListParagraph"/>
        <w:numPr>
          <w:ilvl w:val="0"/>
          <w:numId w:val="2"/>
        </w:numPr>
        <w:spacing w:before="40" w:after="40"/>
      </w:pPr>
      <w:r>
        <w:rPr>
          <w:rFonts w:ascii="Arial" w:cs="Arial" w:eastAsia="Arial" w:hAnsi="Arial"/>
          <w:color w:val="222222"/>
          <w:sz w:val="20"/>
          <w:szCs w:val="20"/>
        </w:rPr>
        <w:t xml:space="preserve">No print/export function — results exist only on screen</w:t>
      </w:r>
    </w:p>
    <w:p>
      <w:pPr>
        <w:pStyle w:val="ListParagraph"/>
        <w:numPr>
          <w:ilvl w:val="0"/>
          <w:numId w:val="2"/>
        </w:numPr>
        <w:spacing w:before="40" w:after="40"/>
      </w:pPr>
      <w:r>
        <w:rPr>
          <w:rFonts w:ascii="Arial" w:cs="Arial" w:eastAsia="Arial" w:hAnsi="Arial"/>
          <w:color w:val="222222"/>
          <w:sz w:val="20"/>
          <w:szCs w:val="20"/>
        </w:rPr>
        <w:t xml:space="preserve">Country GVW limits are approximate regulatory values and should be verified with a transport/compliance team before use in formal documentation</w:t>
      </w:r>
    </w:p>
    <w:p>
      <w:pPr>
        <w:pStyle w:val="ListParagraph"/>
        <w:numPr>
          <w:ilvl w:val="0"/>
          <w:numId w:val="2"/>
        </w:numPr>
        <w:spacing w:before="40" w:after="40"/>
      </w:pPr>
      <w:r>
        <w:rPr>
          <w:rFonts w:ascii="Arial" w:cs="Arial" w:eastAsia="Arial" w:hAnsi="Arial"/>
          <w:color w:val="222222"/>
          <w:sz w:val="20"/>
          <w:szCs w:val="20"/>
        </w:rPr>
        <w:t xml:space="preserve">The tool does not account for chassis/trailer tare weight — gross limit is applied to the ISO tank + cargo only</w:t>
      </w:r>
    </w:p>
    <w:p>
      <w:pPr>
        <w:pStyle w:val="ListParagraph"/>
        <w:numPr>
          <w:ilvl w:val="0"/>
          <w:numId w:val="2"/>
        </w:numPr>
        <w:spacing w:before="40" w:after="40"/>
      </w:pPr>
      <w:r>
        <w:rPr>
          <w:rFonts w:ascii="Arial" w:cs="Arial" w:eastAsia="Arial" w:hAnsi="Arial"/>
          <w:color w:val="222222"/>
          <w:sz w:val="20"/>
          <w:szCs w:val="20"/>
        </w:rPr>
        <w:t xml:space="preserve">Baffle tank exception is noted in the UI but not enforced — operators must self-identify baffle tanks</w:t>
      </w:r>
    </w:p>
    <w:p>
      <w:pPr>
        <w:pStyle w:val="ListParagraph"/>
        <w:numPr>
          <w:ilvl w:val="0"/>
          <w:numId w:val="2"/>
        </w:numPr>
        <w:spacing w:before="40" w:after="40"/>
      </w:pPr>
      <w:r>
        <w:rPr>
          <w:rFonts w:ascii="Arial" w:cs="Arial" w:eastAsia="Arial" w:hAnsi="Arial"/>
          <w:color w:val="222222"/>
          <w:sz w:val="20"/>
          <w:szCs w:val="20"/>
        </w:rPr>
        <w:t xml:space="preserve">AI analysis is advisory only and not a substitute for qualified transport or DG compliance advice</w:t>
      </w:r>
    </w:p>
    <w:p>
      <w:pPr>
        <w:pStyle w:val="ListParagraph"/>
        <w:numPr>
          <w:ilvl w:val="0"/>
          <w:numId w:val="2"/>
        </w:numPr>
        <w:spacing w:before="40" w:after="40"/>
      </w:pPr>
      <w:r>
        <w:rPr>
          <w:rFonts w:ascii="Arial" w:cs="Arial" w:eastAsia="Arial" w:hAnsi="Arial"/>
          <w:color w:val="222222"/>
          <w:sz w:val="20"/>
          <w:szCs w:val="20"/>
        </w:rPr>
        <w:t xml:space="preserve">Product SG values are typical reference values — operators should verify against actual product CoA</w:t>
      </w:r>
    </w:p>
    <w:p>
      <w:pPr>
        <w:spacing w:before="200" w:after="0"/>
      </w:pPr>
      <w:r>
        <w:t xml:space="preserve"/>
      </w:r>
    </w:p>
    <w:p>
      <w:pPr>
        <w:pStyle w:val="Heading1"/>
        <w:pBdr>
          <w:bottom w:val="single" w:color="0060CC" w:sz="8" w:space="4"/>
        </w:pBdr>
        <w:spacing w:before="360" w:after="120"/>
      </w:pPr>
      <w:r>
        <w:rPr>
          <w:rFonts w:ascii="Arial" w:cs="Arial" w:eastAsia="Arial" w:hAnsi="Arial"/>
          <w:b/>
          <w:bCs/>
          <w:color w:val="0D2B4E"/>
          <w:sz w:val="32"/>
          <w:szCs w:val="32"/>
        </w:rPr>
        <w:t xml:space="preserve">9. File 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D0D8E0" w:sz="1"/>
              <w:left w:val="single" w:color="D0D8E0" w:sz="1"/>
              <w:bottom w:val="single" w:color="D0D8E0" w:sz="1"/>
              <w:right w:val="single" w:color="D0D8E0"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800"/>
            <w:tcBorders>
              <w:top w:val="single" w:color="D0D8E0" w:sz="1"/>
              <w:left w:val="single" w:color="D0D8E0" w:sz="1"/>
              <w:bottom w:val="single" w:color="D0D8E0" w:sz="1"/>
              <w:right w:val="single" w:color="D0D8E0"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D0D8E0" w:sz="1"/>
              <w:left w:val="single" w:color="D0D8E0" w:sz="1"/>
              <w:bottom w:val="single" w:color="D0D8E0" w:sz="1"/>
              <w:right w:val="single" w:color="D0D8E0"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iso-tank-allocator.jsx</w:t>
            </w:r>
          </w:p>
        </w:tc>
        <w:tc>
          <w:tcPr>
            <w:tcW w:type="dxa" w:w="180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React JSX</w:t>
            </w:r>
          </w:p>
        </w:tc>
        <w:tc>
          <w:tcPr>
            <w:tcW w:type="dxa" w:w="4360"/>
            <w:tcBorders>
              <w:top w:val="single" w:color="D0D8E0" w:sz="1"/>
              <w:left w:val="single" w:color="D0D8E0" w:sz="1"/>
              <w:bottom w:val="single" w:color="D0D8E0" w:sz="1"/>
              <w:right w:val="single" w:color="D0D8E0"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Complete self-contained component — all logic, data, styles and UI</w:t>
            </w:r>
          </w:p>
        </w:tc>
      </w:tr>
    </w:tbl>
    <w:p>
      <w:pPr>
        <w:spacing w:before="120" w:after="0"/>
      </w:pPr>
      <w:r>
        <w:t xml:space="preserve"/>
      </w:r>
    </w:p>
    <w:p>
      <w:pPr>
        <w:pBdr>
          <w:left w:val="single" w:color="CC5500" w:sz="12" w:space="8"/>
        </w:pBdr>
        <w:shd w:fill="FFF8E8" w:val="clear"/>
        <w:spacing w:before="100" w:after="100"/>
        <w:ind w:left="200"/>
      </w:pPr>
      <w:r>
        <w:rPr>
          <w:rFonts w:ascii="Arial" w:cs="Arial" w:eastAsia="Arial" w:hAnsi="Arial"/>
          <w:i/>
          <w:iCs/>
          <w:color w:val="5A3800"/>
          <w:sz w:val="19"/>
          <w:szCs w:val="19"/>
        </w:rPr>
        <w:t xml:space="preserve">To run locally: place the file in a React project (Create React App or Vite), import and render as &lt;ISOTankAllocator /&gt;. Requires React 18+. No additional npm packages required beyond React itself.</w:t>
      </w:r>
    </w:p>
    <w:p>
      <w:pPr>
        <w:spacing w:before="200" w:after="0"/>
      </w:pPr>
      <w:r>
        <w:t xml:space="preserve"/>
      </w:r>
    </w:p>
    <w:p>
      <w:pPr>
        <w:pBdr>
          <w:bottom w:val="single" w:color="D0D8E0" w:sz="4" w:space="1"/>
        </w:pBdr>
        <w:spacing w:before="160" w:after="160"/>
      </w:pPr>
      <w:r>
        <w:t xml:space="preserve"/>
      </w:r>
    </w:p>
    <w:p>
      <w:pPr>
        <w:spacing w:before="160" w:after="0"/>
        <w:jc w:val="center"/>
      </w:pPr>
      <w:r>
        <w:rPr>
          <w:rFonts w:ascii="Arial" w:cs="Arial" w:eastAsia="Arial" w:hAnsi="Arial"/>
          <w:i/>
          <w:iCs/>
          <w:color w:val="888888"/>
          <w:sz w:val="18"/>
          <w:szCs w:val="18"/>
        </w:rPr>
        <w:t xml:space="preserve">End of Technical Brief</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ISO Tank Load Allocator — Technical Brief   |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D2B4E"/>
      <w:sz w:val="32"/>
      <w:szCs w:val="32"/>
    </w:rPr>
  </w:style>
  <w:style w:type="paragraph" w:styleId="Heading2">
    <w:name w:val="Heading 2"/>
    <w:basedOn w:val="Normal"/>
    <w:next w:val="Normal"/>
    <w:qFormat/>
    <w:pPr>
      <w:spacing w:before="280" w:after="80"/>
      <w:outlineLvl w:val="1"/>
    </w:pPr>
    <w:rPr>
      <w:rFonts w:ascii="Arial" w:cs="Arial" w:eastAsia="Arial" w:hAnsi="Arial"/>
      <w:b/>
      <w:bCs/>
      <w:color w:val="0060C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2026-03-24T03:32:05.890Z</dcterms:created>
  <dcterms:modified xsi:type="dcterms:W3CDTF">2026-03-24T03:32:05.890Z</dcterms:modified>
</cp:coreProperties>
</file>

<file path=docProps/custom.xml><?xml version="1.0" encoding="utf-8"?>
<Properties xmlns="http://schemas.openxmlformats.org/officeDocument/2006/custom-properties" xmlns:vt="http://schemas.openxmlformats.org/officeDocument/2006/docPropsVTypes"/>
</file>