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ACME Horizon - Product Architecture Overview</w:t>
      </w:r>
    </w:p>
    <w:p>
      <w:r>
        <w:t>Last updated: 2025-11-09</w:t>
      </w:r>
    </w:p>
    <w:p>
      <w:r>
        <w:t>This document is synthetic content for system testing. It contains no personal data or sensitive financial information.</w:t>
      </w:r>
    </w:p>
    <w:p>
      <w:pPr>
        <w:pStyle w:val="Heading2"/>
      </w:pPr>
      <w:r>
        <w:t>Platform Architecture</w:t>
      </w:r>
    </w:p>
    <w:p>
      <w:pPr>
        <w:spacing w:after="120"/>
      </w:pPr>
      <w:r>
        <w:t>ACME Horizon is a cloud-native, multi-tenant SaaS platform built on a service-oriented architecture. Core services handle identity, data modeling, workflows, and analytics.</w:t>
      </w:r>
    </w:p>
    <w:p>
      <w:pPr>
        <w:pStyle w:val="Heading2"/>
      </w:pPr>
      <w:r>
        <w:t>Modules</w:t>
      </w:r>
    </w:p>
    <w:p>
      <w:pPr>
        <w:pStyle w:val="ListBullet"/>
      </w:pPr>
      <w:r>
        <w:t>Financial Command - accounting and reporting</w:t>
      </w:r>
    </w:p>
    <w:p>
      <w:pPr>
        <w:pStyle w:val="ListBullet"/>
      </w:pPr>
      <w:r>
        <w:t>Supply Chain Nexus - inventory and fulfillment</w:t>
      </w:r>
    </w:p>
    <w:p>
      <w:pPr>
        <w:pStyle w:val="ListBullet"/>
      </w:pPr>
      <w:r>
        <w:t>People &amp; Talent Hub - HCM capabilities</w:t>
      </w:r>
    </w:p>
    <w:p>
      <w:pPr>
        <w:pStyle w:val="ListBullet"/>
      </w:pPr>
      <w:r>
        <w:t>Customer 360 - sales, service, and marketing alignment</w:t>
      </w:r>
    </w:p>
    <w:p>
      <w:pPr>
        <w:pStyle w:val="ListBullet"/>
      </w:pPr>
      <w:r>
        <w:t>Project &amp; Service Suite - project-centric operations</w:t>
      </w:r>
    </w:p>
    <w:p>
      <w:pPr>
        <w:pStyle w:val="ListBullet"/>
      </w:pPr>
      <w:r>
        <w:t>Apex Analytics - BI and machine learning</w:t>
      </w:r>
    </w:p>
    <w:p>
      <w:pPr>
        <w:pStyle w:val="Heading2"/>
      </w:pPr>
      <w:r>
        <w:t>Data Flow</w:t>
      </w:r>
    </w:p>
    <w:p>
      <w:pPr>
        <w:spacing w:after="120"/>
      </w:pPr>
      <w:r>
        <w:t>Events and data streams travel through a durable bus with idempotent handlers. Tenants are logically isolated with strict scoping at the data access layer.</w:t>
      </w:r>
    </w:p>
    <w:p>
      <w:pPr>
        <w:pStyle w:val="Heading2"/>
      </w:pPr>
      <w:r>
        <w:t>Security Model</w:t>
      </w:r>
    </w:p>
    <w:p>
      <w:pPr>
        <w:pStyle w:val="ListBullet"/>
      </w:pPr>
      <w:r>
        <w:t>Centralized identity with SSO and MFA</w:t>
      </w:r>
    </w:p>
    <w:p>
      <w:pPr>
        <w:pStyle w:val="ListBullet"/>
      </w:pPr>
      <w:r>
        <w:t>Role and attribute-based access control</w:t>
      </w:r>
    </w:p>
    <w:p>
      <w:pPr>
        <w:pStyle w:val="ListBullet"/>
      </w:pPr>
      <w:r>
        <w:t>Encryption at rest and in transit</w:t>
      </w:r>
    </w:p>
    <w:p>
      <w:pPr>
        <w:pStyle w:val="ListBullet"/>
      </w:pPr>
      <w:r>
        <w:t>Comprehensive audit trails with export</w:t>
      </w:r>
    </w:p>
    <w:p>
      <w:pPr>
        <w:pStyle w:val="Heading2"/>
      </w:pPr>
      <w:r>
        <w:t>Integration Patterns</w:t>
      </w:r>
    </w:p>
    <w:p>
      <w:pPr>
        <w:pStyle w:val="ListBullet"/>
      </w:pPr>
      <w:r>
        <w:t>REST APIs with pagination and filtering</w:t>
      </w:r>
    </w:p>
    <w:p>
      <w:pPr>
        <w:pStyle w:val="ListBullet"/>
      </w:pPr>
      <w:r>
        <w:t>Outbound webhooks for key events</w:t>
      </w:r>
    </w:p>
    <w:p>
      <w:pPr>
        <w:pStyle w:val="ListBullet"/>
      </w:pPr>
      <w:r>
        <w:t>Prebuilt connectors for common tools</w:t>
      </w:r>
    </w:p>
    <w:p>
      <w:pPr>
        <w:pStyle w:val="Heading2"/>
      </w:pPr>
      <w:r>
        <w:t>Reliability and Scaling</w:t>
      </w:r>
    </w:p>
    <w:p>
      <w:pPr>
        <w:spacing w:after="120"/>
      </w:pPr>
      <w:r>
        <w:t>Horizontal scaling at the service level with autoscheduling. Feature flags enable controlled rollouts.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Horizon - Product Architecture Overview</dc:title>
  <dc:subject>ACME Sample Document</dc:subject>
  <dc:creator>python-docx</dc:creator>
  <cp:keywords/>
  <dc:description>Synthetic content for test systems. No PII or sensitive financial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