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47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(N=411)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(13.4)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(26.8%)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(73.2%)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(5.97)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(8.0%)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(31.9%)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(63.5%)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(4.6%)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(25.8%)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(68.9%)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(5.4%)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(stage)ᵃ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(1.20)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(78.1%)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(11.4%)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(81.5%)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(7.1%)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(stage)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(1.47)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(88.8%)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(51.4)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229]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(16.8%)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(0.0652)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[7.25,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(17.3%)</w:t>
            </w:r>
          </w:p>
        </w:tc>
      </w:tr>
      <w:tr>
        <w:trPr>
          <w:trHeight w:val="64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(29.5)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[1.00,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[2.00,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[1.00, 100]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(51.8%)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(11.2%)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(87.3%)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trHeight w:val="62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(0.931)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(1.02)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[0.400, 6.00]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(17.3%)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(38.4%)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(25.1%)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(21.2%)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(13.9%)</w:t>
            </w:r>
          </w:p>
        </w:tc>
      </w:tr>
      <w:tr>
        <w:trPr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(35.8%)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(64.2%)</w:t>
            </w:r>
          </w:p>
        </w:tc>
      </w:tr>
      <w:tr>
        <w:trPr>
          <w:trHeight w:val="57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(4.4%)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(95.6%)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drugsᶜ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(31.4%)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(52.8%)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(15.8%)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Stage 3a and 3b were coded as 3 and 4, respectively. The remaining stages were increased by one value.&lt;br&gt;ᵇ VIS, a weighted sum of vasopressor and inotropic medications, quantifies the amount of pharmacological cardiovascular support in patients on tMCS.&lt;br&gt;ᶜ 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2023-12-11T17:32:32Z</dcterms:modified>
  <cp:category/>
</cp:coreProperties>
</file>