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47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(26.2%)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(73.8%)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(5.89)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(9.1%)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(32.2%)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(61.8%)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(24.7%)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(68.4%)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(6.9%)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(stage)ᵃ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(2.7%)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(79.6%)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(80.2%)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(8.4%)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(stage)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(88.9%)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 (51.2)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(17.3%)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(0.0670)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[7.17,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(17.8%)</w:t>
            </w:r>
          </w:p>
        </w:tc>
      </w:tr>
      <w:tr>
        <w:trPr>
          <w:trHeight w:val="64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(38.9)</w:t>
            </w:r>
          </w:p>
        </w:tc>
      </w:tr>
      <w:tr>
        <w:trPr>
          <w:trHeight w:val="61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[0, 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[0, 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[0, 175]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(11.6%)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(86.7%)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(1.01)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6.00]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(18.0%)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(24.9%)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(21.8%)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(35.3%)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(17.6%)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(36.9%)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(63.1%)</w:t>
            </w:r>
          </w:p>
        </w:tc>
      </w:tr>
      <w:tr>
        <w:trPr>
          <w:trHeight w:val="57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(5.6%)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(94.4%)</w:t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drugsᶜ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(31.1%)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(74.2%)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(58.6%)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(68.9%)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Stage 3a and 3b were coded as 3 and 4, respectively. The remaining stages were increased by one value.&lt;br&gt;ᵇ VIS, a weighted sum of vasopressor and inotropic medications, quantifies the amount of pharmacological cardiovascular support in patients on tMCS.&lt;br&gt;ᶜ 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2024-01-10T12:43:38Z</dcterms:modified>
  <cp:category/>
</cp:coreProperties>
</file>