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4E1C3" w14:textId="77777777" w:rsidR="00F176B4" w:rsidRDefault="00E01AC5" w:rsidP="00E01AC5">
      <w:pPr>
        <w:spacing w:line="240" w:lineRule="auto"/>
      </w:pPr>
      <w:r>
        <w:t>Jak mierzyć interwencję Banku Centralnego?</w:t>
      </w:r>
    </w:p>
    <w:p w14:paraId="2E95D586" w14:textId="77777777" w:rsidR="00E01AC5" w:rsidRDefault="00E01AC5" w:rsidP="00E01AC5">
      <w:pPr>
        <w:spacing w:line="240" w:lineRule="auto"/>
      </w:pPr>
      <w:r>
        <w:t>-M0</w:t>
      </w:r>
    </w:p>
    <w:p w14:paraId="452D4DCC" w14:textId="77777777" w:rsidR="00E01AC5" w:rsidRDefault="00E01AC5" w:rsidP="00E01AC5">
      <w:pPr>
        <w:spacing w:line="240" w:lineRule="auto"/>
      </w:pPr>
      <w:r>
        <w:t>-Kredyt udzielony Instytucjom finansowym(FI)</w:t>
      </w:r>
    </w:p>
    <w:p w14:paraId="760E55F6" w14:textId="77777777" w:rsidR="00E01AC5" w:rsidRDefault="00E01AC5" w:rsidP="00E01AC5">
      <w:pPr>
        <w:spacing w:line="240" w:lineRule="auto"/>
      </w:pPr>
      <w:r>
        <w:t>-</w:t>
      </w:r>
      <w:r w:rsidR="00290246">
        <w:t xml:space="preserve"> K</w:t>
      </w:r>
      <w:r>
        <w:t xml:space="preserve">rajowy dług banku centralnego </w:t>
      </w:r>
    </w:p>
    <w:p w14:paraId="1F04A9D1" w14:textId="77777777" w:rsidR="00E01AC5" w:rsidRDefault="00290246" w:rsidP="00E01AC5">
      <w:pPr>
        <w:spacing w:line="240" w:lineRule="auto"/>
      </w:pPr>
      <w:r>
        <w:t>- Krajowy D</w:t>
      </w:r>
      <w:r w:rsidR="00E01AC5">
        <w:t>ług Banku centralnego wobec Instytucji finansowych</w:t>
      </w:r>
    </w:p>
    <w:p w14:paraId="10F37CB0" w14:textId="77777777" w:rsidR="00886CD6" w:rsidRDefault="00E01AC5" w:rsidP="00886CD6">
      <w:pPr>
        <w:keepNext/>
        <w:rPr>
          <w:noProof/>
          <w:lang w:eastAsia="pl-PL"/>
        </w:rPr>
      </w:pPr>
      <w:r w:rsidRPr="00E01AC5">
        <w:t xml:space="preserve">Giovannone , Lenza, Pilla and Reichlin(2012)( THE ECB AND THE INTERBANK MARKET) sugerują mierzenie interwencji </w:t>
      </w:r>
      <w:r>
        <w:t>EBC po kryzysie stopniem pośrednictwa EBC w udzielaniu kredytów</w:t>
      </w:r>
      <w:r w:rsidR="00D01FD6">
        <w:t xml:space="preserve"> pomiędzy instytucjami Finansowymi.  Korzystając ze zagregowanych bilansów instytucji finansowych należących do Eurosystemu konstruują miarę jako  </w:t>
      </w:r>
      <m:oMath>
        <m:f>
          <m:fPr>
            <m:ctrlPr>
              <w:rPr>
                <w:rFonts w:ascii="Cambria Math" w:hAnsi="Cambria Math"/>
                <w:i/>
              </w:rPr>
            </m:ctrlPr>
          </m:fPr>
          <m:num>
            <m:r>
              <w:rPr>
                <w:rFonts w:ascii="Cambria Math" w:hAnsi="Cambria Math"/>
              </w:rPr>
              <m:t>Kredyty od banku centralnego</m:t>
            </m:r>
          </m:num>
          <m:den>
            <m:r>
              <w:rPr>
                <w:rFonts w:ascii="Cambria Math" w:hAnsi="Cambria Math"/>
              </w:rPr>
              <m:t>Kredyty ogólem pomiędzy FI</m:t>
            </m:r>
          </m:den>
        </m:f>
      </m:oMath>
      <w:r w:rsidR="00D01FD6">
        <w:t xml:space="preserve">. </w:t>
      </w:r>
      <w:r>
        <w:t xml:space="preserve">Miara ta </w:t>
      </w:r>
      <w:r w:rsidR="00D01FD6">
        <w:t>ma uchwycić niestandardowe metody prowadzenia polityki pieniężnej takie jak Quantative Easing etc.. Na warunki Polskie miara ta nie spełni swojego zadania gdyż NBP, z wyjątkiem kryzysu nie pośredniczyło w isto</w:t>
      </w:r>
      <w:r w:rsidR="00886CD6">
        <w:t>tnym stopniu(patrz rysunek).</w:t>
      </w:r>
      <w:r w:rsidR="00886CD6" w:rsidRPr="00D01FD6">
        <w:rPr>
          <w:noProof/>
          <w:lang w:eastAsia="pl-PL"/>
        </w:rPr>
        <w:t xml:space="preserve"> </w:t>
      </w:r>
    </w:p>
    <w:p w14:paraId="68032388" w14:textId="77777777" w:rsidR="00886CD6" w:rsidRDefault="00886CD6" w:rsidP="00A37106">
      <w:pPr>
        <w:keepNext/>
        <w:jc w:val="center"/>
      </w:pPr>
      <w:r>
        <w:rPr>
          <w:noProof/>
          <w:lang w:val="en-US"/>
        </w:rPr>
        <w:drawing>
          <wp:inline distT="0" distB="0" distL="0" distR="0" wp14:anchorId="0B6C7E57" wp14:editId="5C3787A7">
            <wp:extent cx="4080444" cy="24527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11" cy="2462747"/>
                    </a:xfrm>
                    <a:prstGeom prst="rect">
                      <a:avLst/>
                    </a:prstGeom>
                    <a:noFill/>
                  </pic:spPr>
                </pic:pic>
              </a:graphicData>
            </a:graphic>
          </wp:inline>
        </w:drawing>
      </w:r>
    </w:p>
    <w:p w14:paraId="5B771011" w14:textId="77777777" w:rsidR="00D01FD6" w:rsidRDefault="00886CD6" w:rsidP="00886CD6">
      <w:pPr>
        <w:pStyle w:val="Caption"/>
        <w:rPr>
          <w:noProof/>
          <w:lang w:eastAsia="pl-PL"/>
        </w:rPr>
      </w:pPr>
      <w:r>
        <w:t xml:space="preserve">Rysunek </w:t>
      </w:r>
      <w:r w:rsidR="008E7B40">
        <w:fldChar w:fldCharType="begin"/>
      </w:r>
      <w:r w:rsidR="008E7B40">
        <w:instrText xml:space="preserve"> SEQ Rysunek \* ARABIC </w:instrText>
      </w:r>
      <w:r w:rsidR="008E7B40">
        <w:fldChar w:fldCharType="separate"/>
      </w:r>
      <w:r w:rsidR="00637E5E">
        <w:rPr>
          <w:noProof/>
        </w:rPr>
        <w:t>1</w:t>
      </w:r>
      <w:r w:rsidR="008E7B40">
        <w:rPr>
          <w:noProof/>
        </w:rPr>
        <w:fldChar w:fldCharType="end"/>
      </w:r>
      <w:r w:rsidRPr="00886CD6">
        <w:t xml:space="preserve"> Wysoki stopień kredytów NBP na początku okresu wynika z procesu transformacji i finansowania kredytów banków państwowych.</w:t>
      </w:r>
      <w:r>
        <w:t xml:space="preserve"> Widocznie widać kryzys, ale oprócz tego nie jest to dobra miara.</w:t>
      </w:r>
    </w:p>
    <w:p w14:paraId="01B03917" w14:textId="77777777" w:rsidR="00290246" w:rsidRDefault="00886CD6" w:rsidP="00D01FD6">
      <w:pPr>
        <w:rPr>
          <w:noProof/>
          <w:lang w:eastAsia="pl-PL"/>
        </w:rPr>
      </w:pPr>
      <w:r>
        <w:rPr>
          <w:noProof/>
          <w:lang w:eastAsia="pl-PL"/>
        </w:rPr>
        <w:t>W związku z tym potrzeba skonstruować z bilansu Banku Centralnego i Zaagregowanych danych Sektora finansowego inną miarę. Narzuca się M0, gdyż jest ściśle kontrolowana przez NBP.Niestety  jest to kiepska miara interwencji gdyż nie uchwyci pośredniczenia w udzielaniu kredytów, ani wpływu operacji otwartego rynku.  Poza tym spora część M0 nie jest trzymana przez instytucje sektora finansowego</w:t>
      </w:r>
      <w:r w:rsidR="000D665F">
        <w:rPr>
          <w:noProof/>
          <w:lang w:eastAsia="pl-PL"/>
        </w:rPr>
        <w:t xml:space="preserve"> </w:t>
      </w:r>
      <w:r>
        <w:rPr>
          <w:noProof/>
          <w:lang w:eastAsia="pl-PL"/>
        </w:rPr>
        <w:t>(g</w:t>
      </w:r>
      <w:r w:rsidR="000D665F">
        <w:rPr>
          <w:noProof/>
          <w:lang w:eastAsia="pl-PL"/>
        </w:rPr>
        <w:t>otówka) oraz jest ono bardzo wachliwe(patrz rysunek 2) o</w:t>
      </w:r>
      <w:r w:rsidR="00290246">
        <w:rPr>
          <w:noProof/>
          <w:lang w:eastAsia="pl-PL"/>
        </w:rPr>
        <w:t>raz niezbyt skorelowane ze stopami procentowymi</w:t>
      </w:r>
      <w:r w:rsidR="000D665F">
        <w:rPr>
          <w:noProof/>
          <w:lang w:eastAsia="pl-PL"/>
        </w:rPr>
        <w:t>.</w:t>
      </w:r>
      <w:r w:rsidR="00290246">
        <w:rPr>
          <w:noProof/>
          <w:lang w:eastAsia="pl-PL"/>
        </w:rPr>
        <w:t>Następną propozycją jest Krajowy Dług Netto NBP:</w:t>
      </w:r>
    </w:p>
    <w:p w14:paraId="608AE3D2" w14:textId="77777777" w:rsidR="00D01FD6" w:rsidRDefault="00290246" w:rsidP="00D01FD6">
      <w:pPr>
        <w:rPr>
          <w:rFonts w:eastAsiaTheme="minorEastAsia"/>
          <w:noProof/>
        </w:rPr>
      </w:pPr>
      <w:r>
        <w:rPr>
          <w:noProof/>
          <w:lang w:eastAsia="pl-PL"/>
        </w:rPr>
        <w:t xml:space="preserve"> </w:t>
      </w:r>
      <m:oMath>
        <m:r>
          <w:rPr>
            <w:rFonts w:ascii="Cambria Math" w:hAnsi="Cambria Math"/>
            <w:noProof/>
            <w:lang w:eastAsia="pl-PL"/>
          </w:rPr>
          <m:t>Interwencja.II=</m:t>
        </m:r>
        <m:f>
          <m:fPr>
            <m:ctrlPr>
              <w:rPr>
                <w:rFonts w:ascii="Cambria Math" w:hAnsi="Cambria Math"/>
                <w:i/>
              </w:rPr>
            </m:ctrlPr>
          </m:fPr>
          <m:num>
            <m:r>
              <w:rPr>
                <w:rFonts w:ascii="Cambria Math" w:hAnsi="Cambria Math"/>
              </w:rPr>
              <m:t xml:space="preserve">Krajowy NBP Dług Netto </m:t>
            </m:r>
          </m:num>
          <m:den>
            <m:r>
              <w:rPr>
                <w:rFonts w:ascii="Cambria Math" w:hAnsi="Cambria Math"/>
              </w:rPr>
              <m:t>Aktywa  krajowe FI</m:t>
            </m:r>
          </m:den>
        </m:f>
        <m:r>
          <w:rPr>
            <w:rFonts w:ascii="Cambria Math" w:hAnsi="Cambria Math"/>
          </w:rPr>
          <m:t>=</m:t>
        </m:r>
        <m:f>
          <m:fPr>
            <m:ctrlPr>
              <w:rPr>
                <w:rFonts w:ascii="Cambria Math" w:hAnsi="Cambria Math"/>
                <w:i/>
              </w:rPr>
            </m:ctrlPr>
          </m:fPr>
          <m:num>
            <m:r>
              <w:rPr>
                <w:rFonts w:ascii="Cambria Math" w:hAnsi="Cambria Math"/>
              </w:rPr>
              <m:t>Depozyty FI+Bony pieniężne NBP-Aktywa Krajowe NBP</m:t>
            </m:r>
          </m:num>
          <m:den>
            <m:r>
              <w:rPr>
                <w:rFonts w:ascii="Cambria Math" w:hAnsi="Cambria Math"/>
              </w:rPr>
              <m:t>Aktywa  krajowe FI</m:t>
            </m:r>
          </m:den>
        </m:f>
      </m:oMath>
    </w:p>
    <w:p w14:paraId="4B52DF89" w14:textId="77777777" w:rsidR="00B17C8D" w:rsidRPr="00B17C8D" w:rsidRDefault="00290246" w:rsidP="00B17C8D">
      <w:pPr>
        <w:pStyle w:val="Caption"/>
        <w:rPr>
          <w:i w:val="0"/>
          <w:iCs w:val="0"/>
          <w:noProof/>
          <w:color w:val="auto"/>
          <w:sz w:val="22"/>
          <w:szCs w:val="22"/>
          <w:lang w:eastAsia="pl-PL"/>
        </w:rPr>
      </w:pPr>
      <w:r w:rsidRPr="00B17C8D">
        <w:rPr>
          <w:i w:val="0"/>
          <w:iCs w:val="0"/>
          <w:noProof/>
          <w:color w:val="auto"/>
          <w:sz w:val="22"/>
          <w:szCs w:val="22"/>
          <w:lang w:eastAsia="pl-PL"/>
        </w:rPr>
        <w:t>Miara ta mierzy ile ze środków instytucji finansowych jest pożyczonych NBP w celu trzymania aktywów zagranicznych.</w:t>
      </w:r>
      <w:r w:rsidR="00B17C8D" w:rsidRPr="00B17C8D">
        <w:rPr>
          <w:i w:val="0"/>
          <w:iCs w:val="0"/>
          <w:noProof/>
          <w:color w:val="auto"/>
          <w:sz w:val="22"/>
          <w:szCs w:val="22"/>
          <w:lang w:eastAsia="pl-PL"/>
        </w:rPr>
        <w:t xml:space="preserve"> Czyli mierzy pozycję inwestycyjną sektora fiannsowego w stosunku do NBP.</w:t>
      </w:r>
      <w:r w:rsidRPr="00B17C8D">
        <w:rPr>
          <w:i w:val="0"/>
          <w:iCs w:val="0"/>
          <w:noProof/>
          <w:color w:val="auto"/>
          <w:sz w:val="22"/>
          <w:szCs w:val="22"/>
          <w:lang w:eastAsia="pl-PL"/>
        </w:rPr>
        <w:t xml:space="preserve"> </w:t>
      </w:r>
      <w:r w:rsidR="00B17C8D" w:rsidRPr="00B17C8D">
        <w:rPr>
          <w:i w:val="0"/>
          <w:iCs w:val="0"/>
          <w:noProof/>
          <w:color w:val="auto"/>
          <w:sz w:val="22"/>
          <w:szCs w:val="22"/>
          <w:lang w:eastAsia="pl-PL"/>
        </w:rPr>
        <w:t xml:space="preserve"> Jeśli NBP wypuszcza środki na rynek to robi to w postaci zredukowania pozycji inwestycyjnej poprzez zrollowanie  mniejszej ilości bonów skarbowych, przez utworzenie linie kredytowej lub zmianę</w:t>
      </w:r>
    </w:p>
    <w:p w14:paraId="455658FF" w14:textId="77777777" w:rsidR="00B17C8D" w:rsidRDefault="00B17C8D" w:rsidP="00B17C8D">
      <w:pPr>
        <w:pStyle w:val="Caption"/>
        <w:rPr>
          <w:rFonts w:eastAsiaTheme="minorEastAsia"/>
          <w:noProof/>
        </w:rPr>
      </w:pPr>
    </w:p>
    <w:p w14:paraId="1CA0FA64" w14:textId="77777777" w:rsidR="00B17C8D" w:rsidRDefault="00B17C8D" w:rsidP="00B17C8D">
      <w:pPr>
        <w:pStyle w:val="Caption"/>
        <w:rPr>
          <w:noProof/>
          <w:lang w:eastAsia="pl-PL"/>
        </w:rPr>
      </w:pPr>
      <w:r>
        <w:rPr>
          <w:noProof/>
          <w:lang w:val="en-US"/>
        </w:rPr>
        <w:drawing>
          <wp:inline distT="0" distB="0" distL="0" distR="0" wp14:anchorId="595BE669" wp14:editId="35A334B2">
            <wp:extent cx="5760720" cy="3463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3290"/>
                    </a:xfrm>
                    <a:prstGeom prst="rect">
                      <a:avLst/>
                    </a:prstGeom>
                  </pic:spPr>
                </pic:pic>
              </a:graphicData>
            </a:graphic>
          </wp:inline>
        </w:drawing>
      </w:r>
      <w:r>
        <w:rPr>
          <w:rFonts w:eastAsiaTheme="minorEastAsia"/>
          <w:noProof/>
        </w:rPr>
        <w:t xml:space="preserve"> </w:t>
      </w:r>
      <w:r>
        <w:t xml:space="preserve">Rysunek </w:t>
      </w:r>
      <w:r w:rsidR="008E7B40">
        <w:fldChar w:fldCharType="begin"/>
      </w:r>
      <w:r w:rsidR="008E7B40">
        <w:instrText xml:space="preserve"> SEQ Rysunek \* ARABIC </w:instrText>
      </w:r>
      <w:r w:rsidR="008E7B40">
        <w:fldChar w:fldCharType="separate"/>
      </w:r>
      <w:r w:rsidR="00637E5E">
        <w:rPr>
          <w:noProof/>
        </w:rPr>
        <w:t>2</w:t>
      </w:r>
      <w:r w:rsidR="008E7B40">
        <w:rPr>
          <w:noProof/>
        </w:rPr>
        <w:fldChar w:fldCharType="end"/>
      </w:r>
      <w:r>
        <w:t xml:space="preserve"> M0 w Polsce jako procent aktywów krajowych sektora finansowego na tle 3-miesięcznych stóp.</w:t>
      </w:r>
    </w:p>
    <w:p w14:paraId="66B29A4E" w14:textId="77777777" w:rsidR="00A37106" w:rsidRDefault="00B17C8D" w:rsidP="00A37106">
      <w:pPr>
        <w:rPr>
          <w:rFonts w:eastAsiaTheme="minorEastAsia"/>
          <w:noProof/>
        </w:rPr>
      </w:pPr>
      <w:r>
        <w:rPr>
          <w:rFonts w:eastAsiaTheme="minorEastAsia"/>
          <w:noProof/>
        </w:rPr>
        <w:t>oprocentowania depozytów. Interwencja.II n</w:t>
      </w:r>
      <w:r w:rsidR="00290246">
        <w:rPr>
          <w:rFonts w:eastAsiaTheme="minorEastAsia"/>
          <w:noProof/>
        </w:rPr>
        <w:t xml:space="preserve">ie zawiera pieniądza papierowego ale jeśli NBP urzyłoby gotówki </w:t>
      </w:r>
      <w:r>
        <w:rPr>
          <w:rFonts w:eastAsiaTheme="minorEastAsia"/>
          <w:noProof/>
        </w:rPr>
        <w:t xml:space="preserve"> w relacjach z krajowymi instytucjami </w:t>
      </w:r>
      <w:r w:rsidR="00290246">
        <w:rPr>
          <w:rFonts w:eastAsiaTheme="minorEastAsia"/>
          <w:noProof/>
        </w:rPr>
        <w:t xml:space="preserve">to jedna lub wiele z pozycji w liczniku by się zmieniła. Problem z tą </w:t>
      </w:r>
      <w:r>
        <w:rPr>
          <w:rFonts w:eastAsiaTheme="minorEastAsia"/>
          <w:noProof/>
        </w:rPr>
        <w:t xml:space="preserve">miarą leży w Aktywach Krajowych. Do 2004 NBP trzymało istotną transzę długu instytucji publicznych, wygaszając powoli te pozycje. Nie da się ukryć, że tego typu interwencja miała wpływ na oprocentowanie długu  publicznego. Ciężko powiedzieć czy miało to istotny wpływ na stopę międzybankową. Ponieważ jesteśmy zainteresowani wpływem NBP na rynek Międzybankowy te pozycje nie powinny być uwzględnione. Stąd </w:t>
      </w:r>
      <w:r w:rsidR="005D5140">
        <w:rPr>
          <w:rFonts w:eastAsiaTheme="minorEastAsia"/>
          <w:noProof/>
        </w:rPr>
        <w:t>ostateczna miara interwencji:</w:t>
      </w:r>
    </w:p>
    <w:p w14:paraId="6CD68337" w14:textId="77777777" w:rsidR="005D5140" w:rsidRDefault="005D5140" w:rsidP="00A37106">
      <m:oMath>
        <m:r>
          <w:rPr>
            <w:rFonts w:ascii="Cambria Math" w:hAnsi="Cambria Math"/>
            <w:noProof/>
            <w:lang w:eastAsia="pl-PL"/>
          </w:rPr>
          <m:t>Interwencja=</m:t>
        </m:r>
        <m:f>
          <m:fPr>
            <m:ctrlPr>
              <w:rPr>
                <w:rFonts w:ascii="Cambria Math" w:hAnsi="Cambria Math"/>
                <w:i/>
              </w:rPr>
            </m:ctrlPr>
          </m:fPr>
          <m:num>
            <m:r>
              <w:rPr>
                <w:rFonts w:ascii="Cambria Math" w:hAnsi="Cambria Math"/>
              </w:rPr>
              <m:t>Krajowy Dług NBP Netto wobec FI</m:t>
            </m:r>
          </m:num>
          <m:den>
            <m:r>
              <w:rPr>
                <w:rFonts w:ascii="Cambria Math" w:hAnsi="Cambria Math"/>
              </w:rPr>
              <m:t>Aktywa  krajowe FI</m:t>
            </m:r>
          </m:den>
        </m:f>
        <m:r>
          <w:rPr>
            <w:rFonts w:ascii="Cambria Math" w:hAnsi="Cambria Math"/>
          </w:rPr>
          <m:t xml:space="preserve">= </m:t>
        </m:r>
        <m:f>
          <m:fPr>
            <m:ctrlPr>
              <w:rPr>
                <w:rFonts w:ascii="Cambria Math" w:hAnsi="Cambria Math"/>
                <w:i/>
              </w:rPr>
            </m:ctrlPr>
          </m:fPr>
          <m:num>
            <m:r>
              <w:rPr>
                <w:rFonts w:ascii="Cambria Math" w:hAnsi="Cambria Math"/>
              </w:rPr>
              <m:t>Depozyty FI+Bony pieniężne NBP-Kredyty do FI</m:t>
            </m:r>
          </m:num>
          <m:den>
            <m:r>
              <w:rPr>
                <w:rFonts w:ascii="Cambria Math" w:hAnsi="Cambria Math"/>
              </w:rPr>
              <m:t>Aktywa  krajowe FI</m:t>
            </m:r>
          </m:den>
        </m:f>
      </m:oMath>
      <w:r w:rsidR="00A37106">
        <w:rPr>
          <w:noProof/>
          <w:lang w:val="en-US"/>
        </w:rPr>
        <w:drawing>
          <wp:inline distT="0" distB="0" distL="0" distR="0" wp14:anchorId="51294F61" wp14:editId="38D7175A">
            <wp:extent cx="5037705" cy="302862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330" cy="3030799"/>
                    </a:xfrm>
                    <a:prstGeom prst="rect">
                      <a:avLst/>
                    </a:prstGeom>
                  </pic:spPr>
                </pic:pic>
              </a:graphicData>
            </a:graphic>
          </wp:inline>
        </w:drawing>
      </w:r>
    </w:p>
    <w:p w14:paraId="7C74CFDC" w14:textId="77777777" w:rsidR="005D5140" w:rsidRPr="005D5140" w:rsidRDefault="005D5140" w:rsidP="005D5140">
      <w:pPr>
        <w:pStyle w:val="Caption"/>
        <w:rPr>
          <w:rFonts w:eastAsiaTheme="minorEastAsia"/>
          <w:noProof/>
          <w:sz w:val="16"/>
          <w:szCs w:val="16"/>
        </w:rPr>
      </w:pPr>
      <w:r>
        <w:t xml:space="preserve">Rysunek </w:t>
      </w:r>
      <w:r w:rsidR="008E7B40">
        <w:fldChar w:fldCharType="begin"/>
      </w:r>
      <w:r w:rsidR="008E7B40">
        <w:instrText xml:space="preserve"> SEQ Rysunek \* ARABIC </w:instrText>
      </w:r>
      <w:r w:rsidR="008E7B40">
        <w:fldChar w:fldCharType="separate"/>
      </w:r>
      <w:r w:rsidR="00637E5E">
        <w:rPr>
          <w:noProof/>
        </w:rPr>
        <w:t>3</w:t>
      </w:r>
      <w:r w:rsidR="008E7B40">
        <w:rPr>
          <w:noProof/>
        </w:rPr>
        <w:fldChar w:fldCharType="end"/>
      </w:r>
      <w:r w:rsidR="00113AA6">
        <w:rPr>
          <w:noProof/>
        </w:rPr>
        <w:t xml:space="preserve">  </w:t>
      </w:r>
      <w:r>
        <w:t>Miary interwencji</w:t>
      </w:r>
      <w:r w:rsidR="00A37106">
        <w:t xml:space="preserve">. </w:t>
      </w:r>
      <w:r>
        <w:t xml:space="preserve">Wyższa wartość na wykresie </w:t>
      </w:r>
      <w:r w:rsidR="00A37106">
        <w:t xml:space="preserve">oznacza, że </w:t>
      </w:r>
      <w:r>
        <w:t>bank centr</w:t>
      </w:r>
      <w:r w:rsidR="00A37106">
        <w:t>alny pożycza większy % funduszy. Rosnący wykres oznacza, że bank centralny powstrzymuje krótkoterminową stopę przed spadkiem(Oferuje stopę i akumuluje)</w:t>
      </w:r>
    </w:p>
    <w:p w14:paraId="285726EE" w14:textId="2857F07B" w:rsidR="00FE1508" w:rsidRDefault="005D5140" w:rsidP="00D01FD6">
      <w:pPr>
        <w:rPr>
          <w:noProof/>
          <w:lang w:eastAsia="pl-PL"/>
        </w:rPr>
      </w:pPr>
      <w:r>
        <w:rPr>
          <w:noProof/>
          <w:lang w:eastAsia="pl-PL"/>
        </w:rPr>
        <w:t xml:space="preserve">Jak widać na rysunku miary te różni się znacząco w latach 2002-2004 oraz są identyczne w późniejszym okresie. </w:t>
      </w:r>
      <w:r w:rsidR="00487B94">
        <w:rPr>
          <w:noProof/>
          <w:lang w:eastAsia="pl-PL"/>
        </w:rPr>
        <w:t xml:space="preserve"> Wysoki poziom Iterwencji oznacza że NBP ściąga dużo funduszy z rynku międzybankowego. Niski poziom interwencji sugeruje luźną politykę i mała ilość funduszy na bilansie NBP.  Rosnąca krzywa interwencj</w:t>
      </w:r>
      <w:r w:rsidR="006302D5">
        <w:rPr>
          <w:noProof/>
          <w:lang w:eastAsia="pl-PL"/>
        </w:rPr>
        <w:t>i oznacza że Bank Centralny akum</w:t>
      </w:r>
      <w:r w:rsidR="00487B94">
        <w:rPr>
          <w:noProof/>
          <w:lang w:eastAsia="pl-PL"/>
        </w:rPr>
        <w:t xml:space="preserve">luje fundusze, czyli powstrzymuje stopę przed spadkiem. Bliska stałej krzywa oznacza, że naturalna rynkowa stopa międzybankowa jest na poziomie referencyjnym i NBP nie musi zmieniać swojego bilansu by utrzymać stopę polityki pieniężnej.  Malejąca Krzywa oznacza że NBP powstrzymuje </w:t>
      </w:r>
      <w:r w:rsidR="00B13185">
        <w:rPr>
          <w:noProof/>
          <w:lang w:eastAsia="pl-PL"/>
        </w:rPr>
        <w:t xml:space="preserve">wzrost stopy międzybankowej i pozbywa się długu wobec sektora finansowego. Z tego wykresu można odczytać dwa typy interwencji NBP-ilościową czyli wielkość finansowania aktywów zagranicznych oraz powstrzymywanie stopy rynkowej przed ruchem w konkretnym kierunku. </w:t>
      </w:r>
    </w:p>
    <w:p w14:paraId="327D439D" w14:textId="77777777" w:rsidR="00E01AC5" w:rsidRDefault="00FE1508" w:rsidP="00D01FD6">
      <w:r>
        <w:rPr>
          <w:noProof/>
          <w:lang w:eastAsia="pl-PL"/>
        </w:rPr>
        <w:t>Należ zauważyć, że przyjęcie tego podejścia  wprowadza pojęcie naturalnej nominalnej stopy procentowej, czyli stopy jaka byłby na rynku jeśli NBP by nie interweniowało( czyli trzymało stały średni procent aktywów systemu finansowego i nie powstrzymywało stopy.</w:t>
      </w:r>
    </w:p>
    <w:p w14:paraId="0A97BEFF" w14:textId="77777777" w:rsidR="00FE1508" w:rsidRDefault="00FE1508" w:rsidP="00FE1508">
      <w:pPr>
        <w:keepNext/>
      </w:pPr>
      <w:r>
        <w:rPr>
          <w:noProof/>
          <w:lang w:val="en-US"/>
        </w:rPr>
        <w:drawing>
          <wp:inline distT="0" distB="0" distL="0" distR="0" wp14:anchorId="2EA7ACBE" wp14:editId="719AAEB7">
            <wp:extent cx="5760720" cy="3463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63290"/>
                    </a:xfrm>
                    <a:prstGeom prst="rect">
                      <a:avLst/>
                    </a:prstGeom>
                  </pic:spPr>
                </pic:pic>
              </a:graphicData>
            </a:graphic>
          </wp:inline>
        </w:drawing>
      </w:r>
    </w:p>
    <w:p w14:paraId="7A86F1C2" w14:textId="77777777" w:rsidR="00FE1508" w:rsidRDefault="00FE1508" w:rsidP="00FE1508">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4</w:t>
      </w:r>
      <w:r w:rsidR="008E7B40">
        <w:rPr>
          <w:noProof/>
        </w:rPr>
        <w:fldChar w:fldCharType="end"/>
      </w:r>
      <w:r>
        <w:t>Miara interwencji i realna stopa procentowa</w:t>
      </w:r>
    </w:p>
    <w:p w14:paraId="25F5975D" w14:textId="77777777" w:rsidR="00B34DDD" w:rsidRPr="00A26CD0" w:rsidRDefault="003159CB" w:rsidP="007475B7">
      <w:pPr>
        <w:rPr>
          <w:rFonts w:eastAsiaTheme="minorEastAsia"/>
          <w:color w:val="FF0000"/>
          <w:lang w:eastAsia="pl-PL"/>
        </w:rPr>
      </w:pPr>
      <w:r>
        <w:t xml:space="preserve">Widzimy, że w okresie 2005-2007 realna stopa procentowa oferowana przez NBP była blisko naturalnej stopy oraz udział NBP w sektorze finansowym był blisko średniego poziomu. Zgodnie z proponowaną interpretacją NBP w zasadzie nie interweniował na rynku, chociaż stopa operacji otwartego rynku w 2005-2006 spadła z 6.5% do 4% a później wzrosła do 5%. </w:t>
      </w:r>
      <w:commentRangeStart w:id="0"/>
      <w:r w:rsidRPr="00A26CD0">
        <w:rPr>
          <w:color w:val="FF0000"/>
        </w:rPr>
        <w:t>Ilustruje to podstawową kwestię, że zmiana stóp NBP nie oznacza jednoznacznie interwencji ze strony banku centralnego. Podobnie pozostawienie stopy na niezmienionym poziomie nie oznacza braku interwencji, gdyż naturalna stopa rynkowa mogła się zmienić w międzyczasie</w:t>
      </w:r>
      <w:commentRangeEnd w:id="0"/>
      <w:r w:rsidR="00A26CD0">
        <w:rPr>
          <w:rStyle w:val="CommentReference"/>
        </w:rPr>
        <w:commentReference w:id="0"/>
      </w:r>
    </w:p>
    <w:p w14:paraId="59BC963D" w14:textId="77777777" w:rsidR="003159CB" w:rsidRPr="003159CB" w:rsidRDefault="003159CB" w:rsidP="003159CB"/>
    <w:p w14:paraId="32DC78A1" w14:textId="77777777" w:rsidR="00E339D3" w:rsidRDefault="00E339D3" w:rsidP="00E339D3">
      <w:pPr>
        <w:keepNext/>
      </w:pPr>
      <w:r>
        <w:rPr>
          <w:noProof/>
          <w:lang w:val="en-US"/>
        </w:rPr>
        <w:drawing>
          <wp:inline distT="0" distB="0" distL="0" distR="0" wp14:anchorId="562D9D70" wp14:editId="2EFDAE60">
            <wp:extent cx="5760720" cy="3463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3290"/>
                    </a:xfrm>
                    <a:prstGeom prst="rect">
                      <a:avLst/>
                    </a:prstGeom>
                  </pic:spPr>
                </pic:pic>
              </a:graphicData>
            </a:graphic>
          </wp:inline>
        </w:drawing>
      </w:r>
    </w:p>
    <w:p w14:paraId="4F0C837E" w14:textId="77777777" w:rsidR="00E339D3" w:rsidRDefault="00E339D3" w:rsidP="00E339D3">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5</w:t>
      </w:r>
      <w:r w:rsidR="008E7B40">
        <w:rPr>
          <w:noProof/>
        </w:rPr>
        <w:fldChar w:fldCharType="end"/>
      </w:r>
      <w:r>
        <w:t xml:space="preserve"> Miara Interwencji a Inflacja CPI</w:t>
      </w:r>
    </w:p>
    <w:p w14:paraId="2E1D4BCC" w14:textId="77777777" w:rsidR="00BB24F4" w:rsidRPr="00FE1508" w:rsidRDefault="00BB24F4" w:rsidP="00FE1508"/>
    <w:p w14:paraId="34F18E7A" w14:textId="77777777" w:rsidR="00C232C3" w:rsidRDefault="00E339D3" w:rsidP="00C232C3">
      <w:pPr>
        <w:keepNext/>
      </w:pPr>
      <w:r>
        <w:rPr>
          <w:noProof/>
          <w:lang w:val="en-US"/>
        </w:rPr>
        <w:drawing>
          <wp:inline distT="0" distB="0" distL="0" distR="0" wp14:anchorId="551766CD" wp14:editId="7DCF9CB6">
            <wp:extent cx="4922300" cy="29592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9765" cy="2963727"/>
                    </a:xfrm>
                    <a:prstGeom prst="rect">
                      <a:avLst/>
                    </a:prstGeom>
                  </pic:spPr>
                </pic:pic>
              </a:graphicData>
            </a:graphic>
          </wp:inline>
        </w:drawing>
      </w:r>
    </w:p>
    <w:p w14:paraId="31F3AF18" w14:textId="77777777" w:rsidR="00FE1508" w:rsidRDefault="00C232C3" w:rsidP="00C232C3">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6</w:t>
      </w:r>
      <w:r w:rsidR="008E7B40">
        <w:rPr>
          <w:noProof/>
        </w:rPr>
        <w:fldChar w:fldCharType="end"/>
      </w:r>
      <w:r>
        <w:t xml:space="preserve"> Zmiany stanowiska polityki pieniężnej.</w:t>
      </w:r>
    </w:p>
    <w:p w14:paraId="6C90FE36" w14:textId="77777777" w:rsidR="00C106A7" w:rsidRDefault="00896B15" w:rsidP="00C106A7">
      <w:pPr>
        <w:keepNext/>
        <w:jc w:val="center"/>
      </w:pPr>
      <w:r>
        <w:rPr>
          <w:noProof/>
          <w:lang w:val="en-US"/>
        </w:rPr>
        <w:drawing>
          <wp:inline distT="0" distB="0" distL="0" distR="0" wp14:anchorId="20BBF4F2" wp14:editId="65B0A115">
            <wp:extent cx="4160067" cy="3258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766" cy="3259867"/>
                    </a:xfrm>
                    <a:prstGeom prst="rect">
                      <a:avLst/>
                    </a:prstGeom>
                  </pic:spPr>
                </pic:pic>
              </a:graphicData>
            </a:graphic>
          </wp:inline>
        </w:drawing>
      </w:r>
    </w:p>
    <w:p w14:paraId="11755D4C" w14:textId="77777777" w:rsidR="00896B15" w:rsidRPr="00896B15" w:rsidRDefault="00C106A7" w:rsidP="00C106A7">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7</w:t>
      </w:r>
      <w:r w:rsidR="008E7B40">
        <w:rPr>
          <w:noProof/>
        </w:rPr>
        <w:fldChar w:fldCharType="end"/>
      </w:r>
      <w:r>
        <w:t xml:space="preserve"> 12 miesięczne różnice Interwencji- zastosowane w celu wyeliminowania komponentów cyklicznych.</w:t>
      </w:r>
    </w:p>
    <w:p w14:paraId="5E88F3DD" w14:textId="77777777" w:rsidR="002F0D5F" w:rsidRDefault="002F0D5F" w:rsidP="00C232C3">
      <w:pPr>
        <w:rPr>
          <w:b/>
        </w:rPr>
      </w:pPr>
      <w:r>
        <w:rPr>
          <w:b/>
        </w:rPr>
        <w:t>W poszukiwaniu stopy bez interwencji:</w:t>
      </w:r>
    </w:p>
    <w:p w14:paraId="47005B86" w14:textId="77777777" w:rsidR="00C232C3" w:rsidRPr="009E4343" w:rsidRDefault="002F0D5F" w:rsidP="00C232C3">
      <w:r>
        <w:t xml:space="preserve">Zdefiniujmy stopę procentową </w:t>
      </w:r>
      <m:oMath>
        <m:sSub>
          <m:sSubPr>
            <m:ctrlPr>
              <w:rPr>
                <w:rFonts w:ascii="Cambria Math" w:hAnsi="Cambria Math"/>
                <w:i/>
                <w:noProof/>
                <w:lang w:eastAsia="pl-PL"/>
              </w:rPr>
            </m:ctrlPr>
          </m:sSubPr>
          <m:e>
            <m:r>
              <w:rPr>
                <w:rFonts w:ascii="Cambria Math" w:hAnsi="Cambria Math"/>
                <w:noProof/>
                <w:lang w:eastAsia="pl-PL"/>
              </w:rPr>
              <m:t>r</m:t>
            </m:r>
          </m:e>
          <m:sub>
            <m:r>
              <w:rPr>
                <w:rFonts w:ascii="Cambria Math" w:hAnsi="Cambria Math"/>
                <w:noProof/>
                <w:lang w:eastAsia="pl-PL"/>
              </w:rPr>
              <m:t>natural,t</m:t>
            </m:r>
          </m:sub>
        </m:sSub>
      </m:oMath>
      <w:r>
        <w:t xml:space="preserve"> jako stopę</w:t>
      </w:r>
      <w:r w:rsidR="009E4343">
        <w:t xml:space="preserve"> realną</w:t>
      </w:r>
      <w:r>
        <w:t xml:space="preserve"> która byłaby na rynku , gdyby Bank centralny nie zmieniał poziomu Interwencji oraz trzymał ją na średnim poziomie.  Ró</w:t>
      </w:r>
      <w:r w:rsidR="009E4343">
        <w:t>żnicę tej stopy od stopy rynkowej można uznać za miarę ingerencji banku centralnego.</w:t>
      </w:r>
    </w:p>
    <w:p w14:paraId="73C3EF48" w14:textId="77777777" w:rsidR="007475B7" w:rsidRDefault="007475B7" w:rsidP="007475B7">
      <w:r>
        <w:t xml:space="preserve"> Zakładając, </w:t>
      </w:r>
      <w:r w:rsidR="009E4343">
        <w:t>że zwiększenie interwencji wpływa liniowo na stopę procentową na rynku dostajemy model:</w:t>
      </w:r>
    </w:p>
    <w:p w14:paraId="3EBF8190" w14:textId="77777777" w:rsidR="007475B7" w:rsidRPr="00DF4120" w:rsidRDefault="008E7B40" w:rsidP="00DF4120">
      <w:pPr>
        <w:jc w:val="center"/>
        <w:rPr>
          <w:rFonts w:eastAsiaTheme="minorEastAsia"/>
          <w:lang w:val="en-US" w:eastAsia="pl-PL"/>
        </w:rPr>
      </w:pP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π</m:t>
            </m:r>
          </m:e>
          <m:sub>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r</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 xml:space="preserve">+ </m:t>
        </m:r>
        <m:r>
          <w:rPr>
            <w:rFonts w:ascii="Cambria Math" w:hAnsi="Cambria Math"/>
            <w:noProof/>
            <w:lang w:eastAsia="pl-PL"/>
          </w:rPr>
          <m:t>α</m:t>
        </m:r>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Interwencja</m:t>
            </m:r>
          </m:e>
          <m:sub>
            <m:r>
              <w:rPr>
                <w:rFonts w:ascii="Cambria Math" w:hAnsi="Cambria Math"/>
                <w:noProof/>
                <w:lang w:eastAsia="pl-PL"/>
              </w:rPr>
              <m:t>t</m:t>
            </m:r>
          </m:sub>
        </m:sSub>
      </m:oMath>
      <w:r w:rsidR="007475B7" w:rsidRPr="00DF4120">
        <w:rPr>
          <w:rFonts w:eastAsiaTheme="minorEastAsia"/>
          <w:lang w:val="en-US" w:eastAsia="pl-PL"/>
        </w:rPr>
        <w:t>+</w:t>
      </w:r>
      <m:oMath>
        <m:r>
          <w:rPr>
            <w:rFonts w:ascii="Cambria Math" w:hAnsi="Cambria Math"/>
            <w:noProof/>
            <w:lang w:val="en-US" w:eastAsia="pl-PL"/>
          </w:rPr>
          <m:t xml:space="preserve"> </m:t>
        </m:r>
        <m:r>
          <w:rPr>
            <w:rFonts w:ascii="Cambria Math" w:hAnsi="Cambria Math"/>
            <w:noProof/>
            <w:lang w:eastAsia="pl-PL"/>
          </w:rPr>
          <m:t>β</m:t>
        </m:r>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Interwencja</m:t>
            </m:r>
          </m:e>
          <m:sub>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γ</m:t>
            </m:r>
          </m:e>
          <m:sub>
            <m:r>
              <w:rPr>
                <w:rFonts w:ascii="Cambria Math" w:hAnsi="Cambria Math"/>
                <w:noProof/>
                <w:lang w:eastAsia="pl-PL"/>
              </w:rPr>
              <m:t>t</m:t>
            </m:r>
          </m:sub>
        </m:sSub>
      </m:oMath>
      <w:r w:rsidR="00DF4120" w:rsidRPr="00DF4120">
        <w:rPr>
          <w:rFonts w:eastAsiaTheme="minorEastAsia"/>
          <w:lang w:val="en-US" w:eastAsia="pl-PL"/>
        </w:rPr>
        <w:t>,</w:t>
      </w:r>
      <m:oMath>
        <m:r>
          <w:rPr>
            <w:rFonts w:ascii="Cambria Math" w:hAnsi="Cambria Math"/>
            <w:noProof/>
            <w:lang w:val="en-US" w:eastAsia="pl-PL"/>
          </w:rPr>
          <m:t xml:space="preserve"> </m:t>
        </m:r>
        <m:sSub>
          <m:sSubPr>
            <m:ctrlPr>
              <w:rPr>
                <w:rFonts w:ascii="Cambria Math" w:hAnsi="Cambria Math"/>
                <w:i/>
                <w:noProof/>
                <w:lang w:eastAsia="pl-PL"/>
              </w:rPr>
            </m:ctrlPr>
          </m:sSubPr>
          <m:e>
            <m:r>
              <w:rPr>
                <w:rFonts w:ascii="Cambria Math" w:hAnsi="Cambria Math"/>
                <w:noProof/>
                <w:lang w:eastAsia="pl-PL"/>
              </w:rPr>
              <m:t>γ</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γ</m:t>
            </m:r>
          </m:sub>
        </m:sSub>
        <m:r>
          <w:rPr>
            <w:rFonts w:ascii="Cambria Math" w:hAnsi="Cambria Math"/>
            <w:noProof/>
            <w:lang w:val="en-US" w:eastAsia="pl-PL"/>
          </w:rPr>
          <m:t>)</m:t>
        </m:r>
      </m:oMath>
      <w:r w:rsidR="00DF4120" w:rsidRPr="00DF4120">
        <w:rPr>
          <w:rFonts w:eastAsiaTheme="minorEastAsia"/>
          <w:lang w:val="en-US" w:eastAsia="pl-PL"/>
        </w:rPr>
        <w:t xml:space="preserve"> I.I.D</w:t>
      </w:r>
    </w:p>
    <w:p w14:paraId="53DA3413" w14:textId="77777777" w:rsidR="007475B7" w:rsidRPr="00DF4120" w:rsidRDefault="008E7B40" w:rsidP="00DF4120">
      <w:pPr>
        <w:jc w:val="center"/>
        <w:rPr>
          <w:rFonts w:eastAsiaTheme="minorEastAsia"/>
          <w:lang w:val="en-US" w:eastAsia="pl-PL"/>
        </w:rPr>
      </w:pPr>
      <m:oMath>
        <m:sSub>
          <m:sSubPr>
            <m:ctrlPr>
              <w:rPr>
                <w:rFonts w:ascii="Cambria Math" w:hAnsi="Cambria Math"/>
                <w:i/>
                <w:noProof/>
                <w:lang w:eastAsia="pl-PL"/>
              </w:rPr>
            </m:ctrlPr>
          </m:sSubPr>
          <m:e>
            <m:r>
              <w:rPr>
                <w:rFonts w:ascii="Cambria Math" w:hAnsi="Cambria Math"/>
                <w:noProof/>
                <w:lang w:eastAsia="pl-PL"/>
              </w:rPr>
              <m:t>r</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r</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r>
              <w:rPr>
                <w:rFonts w:ascii="Cambria Math" w:hAnsi="Cambria Math"/>
                <w:noProof/>
                <w:lang w:val="en-US" w:eastAsia="pl-PL"/>
              </w:rPr>
              <m:t>-1</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eastAsiaTheme="minorEastAsia" w:hAnsi="Cambria Math"/>
            <w:lang w:val="en-US" w:eastAsia="pl-PL"/>
          </w:rPr>
          <m:t xml:space="preserve"> , </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ϵ</m:t>
            </m:r>
          </m:sub>
        </m:sSub>
        <m:r>
          <w:rPr>
            <w:rFonts w:ascii="Cambria Math" w:hAnsi="Cambria Math"/>
            <w:noProof/>
            <w:lang w:val="en-US" w:eastAsia="pl-PL"/>
          </w:rPr>
          <m:t>)</m:t>
        </m:r>
      </m:oMath>
      <w:r w:rsidR="00DF4120" w:rsidRPr="00DF4120">
        <w:rPr>
          <w:rFonts w:eastAsiaTheme="minorEastAsia"/>
          <w:lang w:val="en-US" w:eastAsia="pl-PL"/>
        </w:rPr>
        <w:t xml:space="preserve"> I.I.D</w:t>
      </w:r>
    </w:p>
    <w:p w14:paraId="750C90AB" w14:textId="77777777" w:rsidR="00DF4120" w:rsidRPr="00DF4120" w:rsidRDefault="00DF4120" w:rsidP="007475B7">
      <w:pPr>
        <w:rPr>
          <w:rFonts w:eastAsiaTheme="minorEastAsia"/>
          <w:lang w:val="en-US" w:eastAsia="pl-PL"/>
        </w:rPr>
      </w:pPr>
    </w:p>
    <w:p w14:paraId="7E16F32B" w14:textId="77777777" w:rsidR="007475B7" w:rsidRPr="00DF4120" w:rsidRDefault="007475B7" w:rsidP="00C232C3">
      <w:pPr>
        <w:rPr>
          <w:lang w:val="en-US"/>
        </w:rPr>
      </w:pPr>
    </w:p>
    <w:p w14:paraId="517BACFC" w14:textId="77777777" w:rsidR="00A710A3" w:rsidRDefault="007475B7" w:rsidP="00C106A7">
      <w:pPr>
        <w:keepNext/>
        <w:jc w:val="center"/>
      </w:pPr>
      <w:r>
        <w:rPr>
          <w:noProof/>
          <w:lang w:val="en-US"/>
        </w:rPr>
        <w:drawing>
          <wp:inline distT="0" distB="0" distL="0" distR="0" wp14:anchorId="4420932C" wp14:editId="30BAD215">
            <wp:extent cx="4114800" cy="33854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2679" cy="3391940"/>
                    </a:xfrm>
                    <a:prstGeom prst="rect">
                      <a:avLst/>
                    </a:prstGeom>
                  </pic:spPr>
                </pic:pic>
              </a:graphicData>
            </a:graphic>
          </wp:inline>
        </w:drawing>
      </w:r>
    </w:p>
    <w:p w14:paraId="10A81CD6" w14:textId="77777777" w:rsidR="00A710A3" w:rsidRDefault="00A710A3" w:rsidP="00A710A3">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8</w:t>
      </w:r>
      <w:r w:rsidR="008E7B40">
        <w:rPr>
          <w:noProof/>
        </w:rPr>
        <w:fldChar w:fldCharType="end"/>
      </w:r>
      <w:r>
        <w:t xml:space="preserve"> Estymacja wpływu interwencji na stopę realną(</w:t>
      </w:r>
      <m:oMath>
        <m:sSub>
          <m:sSubPr>
            <m:ctrlPr>
              <w:rPr>
                <w:rFonts w:ascii="Cambria Math" w:hAnsi="Cambria Math"/>
                <w:noProof/>
                <w:lang w:eastAsia="pl-PL"/>
              </w:rPr>
            </m:ctrlPr>
          </m:sSubPr>
          <m:e>
            <m:r>
              <w:rPr>
                <w:rFonts w:ascii="Cambria Math" w:hAnsi="Cambria Math"/>
                <w:noProof/>
                <w:lang w:eastAsia="pl-PL"/>
              </w:rPr>
              <m:t>r</m:t>
            </m:r>
          </m:e>
          <m:sub>
            <m:r>
              <w:rPr>
                <w:rFonts w:ascii="Cambria Math" w:hAnsi="Cambria Math"/>
                <w:noProof/>
                <w:lang w:eastAsia="pl-PL"/>
              </w:rPr>
              <m:t>natural,t</m:t>
            </m:r>
          </m:sub>
        </m:sSub>
        <m:r>
          <w:rPr>
            <w:rFonts w:ascii="Cambria Math" w:hAnsi="Cambria Math"/>
            <w:noProof/>
            <w:lang w:eastAsia="pl-PL"/>
          </w:rPr>
          <m:t>-</m:t>
        </m:r>
        <m:sSub>
          <m:sSubPr>
            <m:ctrlPr>
              <w:rPr>
                <w:rFonts w:ascii="Cambria Math" w:hAnsi="Cambria Math"/>
                <w:noProof/>
                <w:lang w:eastAsia="pl-PL"/>
              </w:rPr>
            </m:ctrlPr>
          </m:sSubPr>
          <m:e>
            <m:r>
              <w:rPr>
                <w:rFonts w:ascii="Cambria Math" w:hAnsi="Cambria Math"/>
                <w:noProof/>
                <w:lang w:eastAsia="pl-PL"/>
              </w:rPr>
              <m:t>r</m:t>
            </m:r>
          </m:e>
          <m:sub>
            <m:r>
              <w:rPr>
                <w:rFonts w:ascii="Cambria Math" w:hAnsi="Cambria Math"/>
                <w:noProof/>
                <w:lang w:eastAsia="pl-PL"/>
              </w:rPr>
              <m:t>t</m:t>
            </m:r>
          </m:sub>
        </m:sSub>
        <m:r>
          <w:rPr>
            <w:rFonts w:ascii="Cambria Math" w:hAnsi="Cambria Math"/>
            <w:noProof/>
            <w:lang w:eastAsia="pl-PL"/>
          </w:rPr>
          <m:t>)</m:t>
        </m:r>
      </m:oMath>
      <w:r w:rsidR="009E4343">
        <w:rPr>
          <w:rFonts w:eastAsiaTheme="minorEastAsia"/>
          <w:lang w:eastAsia="pl-PL"/>
        </w:rPr>
        <w:t>. Maksymalny efekt to 45 punktów bazowych.</w:t>
      </w:r>
    </w:p>
    <w:p w14:paraId="1C66F6B1" w14:textId="77777777" w:rsidR="00A710A3" w:rsidRDefault="00607618" w:rsidP="00A710A3">
      <w:pPr>
        <w:keepNext/>
      </w:pPr>
      <w:r>
        <w:rPr>
          <w:noProof/>
          <w:lang w:val="en-US"/>
        </w:rPr>
        <w:drawing>
          <wp:anchor distT="0" distB="0" distL="114300" distR="114300" simplePos="0" relativeHeight="251658240" behindDoc="0" locked="0" layoutInCell="1" allowOverlap="1" wp14:anchorId="0A1A33F8" wp14:editId="2A485762">
            <wp:simplePos x="0" y="0"/>
            <wp:positionH relativeFrom="column">
              <wp:posOffset>1025</wp:posOffset>
            </wp:positionH>
            <wp:positionV relativeFrom="paragraph">
              <wp:posOffset>-25</wp:posOffset>
            </wp:positionV>
            <wp:extent cx="4796392" cy="3946238"/>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96392" cy="3946238"/>
                    </a:xfrm>
                    <a:prstGeom prst="rect">
                      <a:avLst/>
                    </a:prstGeom>
                  </pic:spPr>
                </pic:pic>
              </a:graphicData>
            </a:graphic>
            <wp14:sizeRelH relativeFrom="page">
              <wp14:pctWidth>0</wp14:pctWidth>
            </wp14:sizeRelH>
            <wp14:sizeRelV relativeFrom="page">
              <wp14:pctHeight>0</wp14:pctHeight>
            </wp14:sizeRelV>
          </wp:anchor>
        </w:drawing>
      </w:r>
    </w:p>
    <w:p w14:paraId="35129993" w14:textId="77777777" w:rsidR="00C106A7" w:rsidRDefault="00A710A3" w:rsidP="009E4343">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9</w:t>
      </w:r>
      <w:r w:rsidR="008E7B40">
        <w:rPr>
          <w:noProof/>
        </w:rPr>
        <w:fldChar w:fldCharType="end"/>
      </w:r>
      <w:r>
        <w:t xml:space="preserve"> Estymacja wpływu interwencji na stopę realną</w:t>
      </w:r>
    </w:p>
    <w:p w14:paraId="259A7BDD" w14:textId="77777777" w:rsidR="009E4343" w:rsidRDefault="009E4343" w:rsidP="00607618">
      <w:pPr>
        <w:rPr>
          <w:b/>
        </w:rPr>
      </w:pPr>
    </w:p>
    <w:p w14:paraId="328E907F" w14:textId="77777777" w:rsidR="009E4343" w:rsidRDefault="009E4343" w:rsidP="00607618">
      <w:pPr>
        <w:rPr>
          <w:b/>
        </w:rPr>
      </w:pPr>
    </w:p>
    <w:p w14:paraId="224A2F5B" w14:textId="77777777" w:rsidR="009E4343" w:rsidRPr="009E4343" w:rsidRDefault="00607618" w:rsidP="00607618">
      <w:pPr>
        <w:rPr>
          <w:b/>
        </w:rPr>
      </w:pPr>
      <w:r w:rsidRPr="00607618">
        <w:rPr>
          <w:b/>
        </w:rPr>
        <w:t xml:space="preserve">Estymacje z miarą interwencji </w:t>
      </w:r>
    </w:p>
    <w:p w14:paraId="13077A06" w14:textId="77777777" w:rsidR="009E4343" w:rsidRDefault="009E4343" w:rsidP="00607618">
      <w:pPr>
        <w:rPr>
          <w:rFonts w:eastAsiaTheme="minorEastAsia"/>
          <w:lang w:eastAsia="pl-PL"/>
        </w:rPr>
      </w:pPr>
      <w:r>
        <w:t xml:space="preserve">Zdefiniujmy stopę </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oMath>
      <w:r>
        <w:rPr>
          <w:rFonts w:eastAsiaTheme="minorEastAsia"/>
          <w:lang w:eastAsia="pl-PL"/>
        </w:rPr>
        <w:t>- czyli stopę którą Bank Centralny musiałby ustalić by nie zmieniać poziomu Interwencji- czyli nie ścią</w:t>
      </w:r>
      <w:r w:rsidR="00371E07">
        <w:rPr>
          <w:rFonts w:eastAsiaTheme="minorEastAsia"/>
          <w:lang w:eastAsia="pl-PL"/>
        </w:rPr>
        <w:t>gać/wypuszczać funduszy na rynek.</w:t>
      </w:r>
    </w:p>
    <w:p w14:paraId="20E0E1FE" w14:textId="77777777" w:rsidR="00371E07" w:rsidRDefault="00371E07" w:rsidP="00371E07">
      <w:pPr>
        <w:keepNext/>
      </w:pPr>
      <w:r>
        <w:rPr>
          <w:noProof/>
          <w:lang w:val="en-US"/>
        </w:rPr>
        <w:drawing>
          <wp:inline distT="0" distB="0" distL="0" distR="0" wp14:anchorId="344D1D79" wp14:editId="0D7080C1">
            <wp:extent cx="5760720" cy="5979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979795"/>
                    </a:xfrm>
                    <a:prstGeom prst="rect">
                      <a:avLst/>
                    </a:prstGeom>
                  </pic:spPr>
                </pic:pic>
              </a:graphicData>
            </a:graphic>
          </wp:inline>
        </w:drawing>
      </w:r>
    </w:p>
    <w:p w14:paraId="6E4A8E62" w14:textId="77777777" w:rsidR="00371E07" w:rsidRDefault="00371E07" w:rsidP="00371E07">
      <w:pPr>
        <w:pStyle w:val="Caption"/>
      </w:pPr>
      <w:r>
        <w:t xml:space="preserve">Rysunek </w:t>
      </w:r>
      <w:fldSimple w:instr=" SEQ Rysunek \* ARABIC ">
        <w:r w:rsidR="00637E5E">
          <w:rPr>
            <w:noProof/>
          </w:rPr>
          <w:t>10</w:t>
        </w:r>
      </w:fldSimple>
      <w:r>
        <w:t xml:space="preserve"> </w:t>
      </w:r>
      <w:r w:rsidR="00C91FDF">
        <w:t xml:space="preserve"> Wykres przedstawia hipotetyczną krzywą oczekiwanych zwrotów z inwestycji. </w:t>
      </w:r>
      <w:r>
        <w:t>Fundusze zainwestowane w zagraniczne aktywa Ban</w:t>
      </w:r>
      <w:r w:rsidR="00C91FDF">
        <w:t xml:space="preserve">ku Centralnego, to fundusze </w:t>
      </w:r>
      <w:r>
        <w:t>o</w:t>
      </w:r>
      <w:r w:rsidR="00C91FDF">
        <w:t xml:space="preserve"> oczekiwanej stopie zwrotu niższej niż</w:t>
      </w:r>
      <w:r w:rsidR="005A11A2">
        <w:t xml:space="preserve"> stopa referencyjna.. J</w:t>
      </w:r>
      <w:r>
        <w:t xml:space="preserve">eśli </w:t>
      </w:r>
      <w:r w:rsidR="009618F0">
        <w:t>krzywa możliwych</w:t>
      </w:r>
      <w:r>
        <w:t xml:space="preserve"> </w:t>
      </w:r>
      <w:r w:rsidR="005A11A2">
        <w:t xml:space="preserve">zwrotów oczekiwanych z </w:t>
      </w:r>
      <w:r>
        <w:t>inwestycji się przesunie, ilość funduszy zgromadzonych przez NBP się zmienia</w:t>
      </w:r>
      <w:r w:rsidR="005A11A2">
        <w:t xml:space="preserve">. Dzieje się to </w:t>
      </w:r>
      <w:r w:rsidR="009618F0">
        <w:t xml:space="preserve"> bez zmiany stopy referencyjnej. Sugeruje </w:t>
      </w:r>
      <w:r w:rsidR="005A11A2">
        <w:t>to, że</w:t>
      </w:r>
      <w:r w:rsidR="009618F0">
        <w:t xml:space="preserve"> istnieje stopa która sprawi że NBP będzie miało stałą część </w:t>
      </w:r>
      <w:r w:rsidR="005A11A2">
        <w:t>aktywów systemu finansowego</w:t>
      </w:r>
      <w:r w:rsidR="009618F0">
        <w:t xml:space="preserve"> na inwestycje w aktywa zagraniczne.</w:t>
      </w:r>
    </w:p>
    <w:p w14:paraId="3D453FE3" w14:textId="77777777" w:rsidR="005A11A2" w:rsidRDefault="009618F0" w:rsidP="009618F0">
      <w:pPr>
        <w:rPr>
          <w:rFonts w:eastAsiaTheme="minorEastAsia"/>
          <w:lang w:eastAsia="pl-PL"/>
        </w:rPr>
      </w:pPr>
      <w:r>
        <w:t xml:space="preserve">Czyli Stopa </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oMath>
      <w:r>
        <w:rPr>
          <w:rFonts w:eastAsiaTheme="minorEastAsia"/>
          <w:lang w:eastAsia="pl-PL"/>
        </w:rPr>
        <w:t xml:space="preserve"> jest zdefiniowana jako stopa przy której NBP nie zmienia swojej pozycji na rynku długu(Dług NBP wobec krajowego systemu finansowego jest stałym % aktywów systemu finansowego</w:t>
      </w:r>
      <w:r w:rsidR="005A11A2">
        <w:rPr>
          <w:rFonts w:eastAsiaTheme="minorEastAsia"/>
          <w:lang w:eastAsia="pl-PL"/>
        </w:rPr>
        <w:t>)</w:t>
      </w:r>
      <w:r>
        <w:rPr>
          <w:rFonts w:eastAsiaTheme="minorEastAsia"/>
          <w:lang w:eastAsia="pl-PL"/>
        </w:rPr>
        <w:t xml:space="preserve">. </w:t>
      </w:r>
    </w:p>
    <w:p w14:paraId="24B0ABBA" w14:textId="77777777" w:rsidR="009618F0" w:rsidRDefault="009618F0" w:rsidP="009618F0">
      <w:pPr>
        <w:rPr>
          <w:rFonts w:eastAsiaTheme="minorEastAsia"/>
          <w:lang w:eastAsia="pl-PL"/>
        </w:rPr>
      </w:pPr>
      <w:r>
        <w:rPr>
          <w:rFonts w:eastAsiaTheme="minorEastAsia"/>
          <w:lang w:eastAsia="pl-PL"/>
        </w:rPr>
        <w:t>Założymy teraz, że jeśli stopa referencyjna(</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policy,t</m:t>
            </m:r>
          </m:sub>
        </m:sSub>
      </m:oMath>
      <w:r>
        <w:rPr>
          <w:rFonts w:eastAsiaTheme="minorEastAsia"/>
          <w:lang w:eastAsia="pl-PL"/>
        </w:rPr>
        <w:t xml:space="preserve"> ) różni się od stopy </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oMath>
      <w:r>
        <w:rPr>
          <w:rFonts w:eastAsiaTheme="minorEastAsia"/>
          <w:lang w:eastAsia="pl-PL"/>
        </w:rPr>
        <w:t xml:space="preserve"> to zmiana Interwencji(</w:t>
      </w:r>
      <m:oMath>
        <m:r>
          <w:rPr>
            <w:rFonts w:ascii="Cambria Math" w:hAnsi="Cambria Math"/>
            <w:noProof/>
            <w:lang w:eastAsia="pl-PL"/>
          </w:rPr>
          <m:t>∆</m:t>
        </m:r>
        <m:sSub>
          <m:sSubPr>
            <m:ctrlPr>
              <w:rPr>
                <w:rFonts w:ascii="Cambria Math" w:hAnsi="Cambria Math"/>
                <w:i/>
                <w:noProof/>
                <w:lang w:eastAsia="pl-PL"/>
              </w:rPr>
            </m:ctrlPr>
          </m:sSubPr>
          <m:e>
            <m:r>
              <w:rPr>
                <w:rFonts w:ascii="Cambria Math" w:hAnsi="Cambria Math"/>
                <w:noProof/>
                <w:lang w:eastAsia="pl-PL"/>
              </w:rPr>
              <m:t>Interwencja</m:t>
            </m:r>
          </m:e>
          <m:sub>
            <m:r>
              <w:rPr>
                <w:rFonts w:ascii="Cambria Math" w:hAnsi="Cambria Math"/>
                <w:noProof/>
                <w:lang w:eastAsia="pl-PL"/>
              </w:rPr>
              <m:t>t</m:t>
            </m:r>
          </m:sub>
        </m:sSub>
      </m:oMath>
      <w:r>
        <w:rPr>
          <w:rFonts w:eastAsiaTheme="minorEastAsia"/>
          <w:lang w:eastAsia="pl-PL"/>
        </w:rPr>
        <w:t xml:space="preserve">) będzie wprost proporcjonalna do </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policy,t</m:t>
            </m:r>
          </m:sub>
        </m:sSub>
      </m:oMath>
      <w:r>
        <w:rPr>
          <w:rFonts w:eastAsiaTheme="minorEastAsia"/>
          <w:lang w:eastAsia="pl-PL"/>
        </w:rPr>
        <w:t>.</w:t>
      </w:r>
      <w:r w:rsidR="004D6A14">
        <w:rPr>
          <w:rFonts w:eastAsiaTheme="minorEastAsia"/>
          <w:lang w:eastAsia="pl-PL"/>
        </w:rPr>
        <w:t xml:space="preserve"> Czyli do dostosowania pozycji NBP dochodzi stopniowo. </w:t>
      </w:r>
      <w:r w:rsidR="005A11A2">
        <w:rPr>
          <w:rFonts w:eastAsiaTheme="minorEastAsia"/>
          <w:lang w:eastAsia="pl-PL"/>
        </w:rPr>
        <w:t>Powodem jest fakt, że w danym miesiącu tylko część środków jest dostępna na reinwestycje, z których tylko cześć jest „inwestowana” w BC.</w:t>
      </w:r>
    </w:p>
    <w:p w14:paraId="28B8C441" w14:textId="77777777" w:rsidR="009E4343" w:rsidRPr="009618F0" w:rsidRDefault="009618F0" w:rsidP="00607618">
      <w:r>
        <w:rPr>
          <w:rFonts w:eastAsiaTheme="minorEastAsia"/>
          <w:lang w:eastAsia="pl-PL"/>
        </w:rPr>
        <w:t>Drugie założenie jest takie</w:t>
      </w:r>
      <w:r w:rsidR="004D6A14">
        <w:rPr>
          <w:rFonts w:eastAsiaTheme="minorEastAsia"/>
          <w:lang w:eastAsia="pl-PL"/>
        </w:rPr>
        <w:t>,</w:t>
      </w:r>
      <w:r>
        <w:rPr>
          <w:rFonts w:eastAsiaTheme="minorEastAsia"/>
          <w:lang w:eastAsia="pl-PL"/>
        </w:rPr>
        <w:t xml:space="preserve"> że poziom stopy  </w:t>
      </w: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oMath>
      <w:r>
        <w:rPr>
          <w:rFonts w:eastAsiaTheme="minorEastAsia"/>
          <w:lang w:eastAsia="pl-PL"/>
        </w:rPr>
        <w:t xml:space="preserve"> jest odzwierciedlony </w:t>
      </w:r>
      <w:r w:rsidR="004D6A14">
        <w:rPr>
          <w:rFonts w:eastAsiaTheme="minorEastAsia"/>
          <w:lang w:eastAsia="pl-PL"/>
        </w:rPr>
        <w:t xml:space="preserve">w stopach rynkowych WIBOR.  </w:t>
      </w:r>
      <w:r w:rsidR="005A11A2">
        <w:rPr>
          <w:rFonts w:eastAsiaTheme="minorEastAsia"/>
          <w:lang w:eastAsia="pl-PL"/>
        </w:rPr>
        <w:t>Zmiana średniej rozkładu zwrotów</w:t>
      </w:r>
      <w:r w:rsidR="00DB0FCE">
        <w:rPr>
          <w:rFonts w:eastAsiaTheme="minorEastAsia"/>
          <w:lang w:eastAsia="pl-PL"/>
        </w:rPr>
        <w:t xml:space="preserve"> możliwości inwestycyjnych banków</w:t>
      </w:r>
      <w:r w:rsidR="005A11A2">
        <w:rPr>
          <w:rFonts w:eastAsiaTheme="minorEastAsia"/>
          <w:lang w:eastAsia="pl-PL"/>
        </w:rPr>
        <w:t xml:space="preserve"> powinna być widoczna w stopach międzybankowych.</w:t>
      </w:r>
    </w:p>
    <w:p w14:paraId="534DC89B" w14:textId="77777777" w:rsidR="00974ECF" w:rsidRDefault="00974ECF" w:rsidP="00607618">
      <w:pPr>
        <w:rPr>
          <w:rFonts w:eastAsiaTheme="minorEastAsia"/>
          <w:lang w:eastAsia="pl-PL"/>
        </w:rPr>
      </w:pPr>
      <w:r w:rsidRPr="00974ECF">
        <w:rPr>
          <w:rFonts w:eastAsiaTheme="minorEastAsia"/>
          <w:lang w:eastAsia="pl-PL"/>
        </w:rPr>
        <w:t xml:space="preserve">Jeśli </w:t>
      </w:r>
      <w:r w:rsidR="00C106A7" w:rsidRPr="00974ECF">
        <w:rPr>
          <w:rFonts w:eastAsiaTheme="minorEastAsia"/>
          <w:lang w:eastAsia="pl-PL"/>
        </w:rPr>
        <w:t>założymy</w:t>
      </w:r>
      <w:r w:rsidR="00C106A7">
        <w:rPr>
          <w:rFonts w:eastAsiaTheme="minorEastAsia"/>
          <w:lang w:eastAsia="pl-PL"/>
        </w:rPr>
        <w:t>,</w:t>
      </w:r>
      <w:r w:rsidR="00C106A7" w:rsidRPr="00974ECF">
        <w:rPr>
          <w:rFonts w:eastAsiaTheme="minorEastAsia"/>
          <w:lang w:eastAsia="pl-PL"/>
        </w:rPr>
        <w:t xml:space="preserve"> że</w:t>
      </w:r>
      <w:r w:rsidRPr="00974ECF">
        <w:rPr>
          <w:rFonts w:eastAsiaTheme="minorEastAsia"/>
          <w:lang w:eastAsia="pl-PL"/>
        </w:rPr>
        <w:t xml:space="preserve"> stopa naturalna objawia się w stopie rynkowej 1:1 to </w:t>
      </w:r>
    </w:p>
    <w:p w14:paraId="6A15B7B9" w14:textId="77777777" w:rsidR="00974ECF" w:rsidRPr="00974ECF" w:rsidRDefault="008E7B40" w:rsidP="00607618">
      <w:pPr>
        <w:rPr>
          <w:rFonts w:eastAsiaTheme="minorEastAsia"/>
          <w:lang w:eastAsia="pl-PL"/>
        </w:rPr>
      </w:pPr>
      <m:oMathPara>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WIBOR</m:t>
              </m:r>
              <m:r>
                <w:rPr>
                  <w:rFonts w:ascii="Cambria Math" w:hAnsi="Cambria Math"/>
                  <w:noProof/>
                  <w:lang w:val="en-US" w:eastAsia="pl-PL"/>
                </w:rPr>
                <m:t>3</m:t>
              </m:r>
              <m:r>
                <w:rPr>
                  <w:rFonts w:ascii="Cambria Math" w:hAnsi="Cambria Math"/>
                  <w:noProof/>
                  <w:lang w:eastAsia="pl-PL"/>
                </w:rPr>
                <m:t>M</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eastAsia="pl-PL"/>
            </w:rPr>
            <m:t>=</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eastAsia="pl-PL"/>
            </w:rPr>
            <m:t>+premium</m:t>
          </m:r>
        </m:oMath>
      </m:oMathPara>
    </w:p>
    <w:p w14:paraId="5E36371B" w14:textId="77777777" w:rsidR="00974ECF" w:rsidRPr="00974ECF" w:rsidRDefault="008E7B40" w:rsidP="00974ECF">
      <w:pPr>
        <w:rPr>
          <w:rFonts w:eastAsiaTheme="minorEastAsia"/>
          <w:lang w:eastAsia="pl-PL"/>
        </w:rPr>
      </w:pPr>
      <m:oMathPara>
        <m:oMath>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sub>
          </m:sSub>
          <m:r>
            <w:rPr>
              <w:rFonts w:ascii="Cambria Math" w:hAnsi="Cambria Math"/>
              <w:noProof/>
              <w:lang w:eastAsia="pl-PL"/>
            </w:rPr>
            <m:t>=</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m:t>
              </m:r>
              <m:r>
                <w:rPr>
                  <w:rFonts w:ascii="Cambria Math" w:hAnsi="Cambria Math"/>
                  <w:noProof/>
                  <w:lang w:val="en-US" w:eastAsia="pl-PL"/>
                </w:rPr>
                <m:t>,</m:t>
              </m:r>
              <m:r>
                <w:rPr>
                  <w:rFonts w:ascii="Cambria Math" w:hAnsi="Cambria Math"/>
                  <w:noProof/>
                  <w:lang w:eastAsia="pl-PL"/>
                </w:rPr>
                <m:t>t</m:t>
              </m:r>
            </m:sub>
          </m:sSub>
          <m:sSub>
            <m:sSubPr>
              <m:ctrlPr>
                <w:rPr>
                  <w:rFonts w:ascii="Cambria Math" w:hAnsi="Cambria Math"/>
                  <w:i/>
                  <w:noProof/>
                  <w:lang w:eastAsia="pl-PL"/>
                </w:rPr>
              </m:ctrlPr>
            </m:sSubPr>
            <m:e>
              <m:r>
                <w:rPr>
                  <w:rFonts w:ascii="Cambria Math" w:hAnsi="Cambria Math"/>
                  <w:noProof/>
                  <w:lang w:val="en-US" w:eastAsia="pl-PL"/>
                </w:rPr>
                <m:t>-</m:t>
              </m:r>
              <m:r>
                <w:rPr>
                  <w:rFonts w:ascii="Cambria Math" w:hAnsi="Cambria Math"/>
                  <w:noProof/>
                  <w:lang w:eastAsia="pl-PL"/>
                </w:rPr>
                <m:t>i</m:t>
              </m:r>
            </m:e>
            <m:sub>
              <m:r>
                <w:rPr>
                  <w:rFonts w:ascii="Cambria Math" w:hAnsi="Cambria Math"/>
                  <w:noProof/>
                  <w:lang w:eastAsia="pl-PL"/>
                </w:rPr>
                <m:t>policy</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eastAsia="pl-PL"/>
            </w:rPr>
            <m:t>=</m:t>
          </m:r>
          <m:sSub>
            <m:sSubPr>
              <m:ctrlPr>
                <w:rPr>
                  <w:rFonts w:ascii="Cambria Math" w:hAnsi="Cambria Math"/>
                  <w:i/>
                  <w:noProof/>
                  <w:lang w:eastAsia="pl-PL"/>
                </w:rPr>
              </m:ctrlPr>
            </m:sSubPr>
            <m:e>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WIBOR</m:t>
                  </m:r>
                  <m:r>
                    <w:rPr>
                      <w:rFonts w:ascii="Cambria Math" w:hAnsi="Cambria Math"/>
                      <w:noProof/>
                      <w:lang w:val="en-US" w:eastAsia="pl-PL"/>
                    </w:rPr>
                    <m:t>3</m:t>
                  </m:r>
                  <m:r>
                    <w:rPr>
                      <w:rFonts w:ascii="Cambria Math" w:hAnsi="Cambria Math"/>
                      <w:noProof/>
                      <w:lang w:eastAsia="pl-PL"/>
                    </w:rPr>
                    <m:t>M</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m:t>
              </m:r>
              <m:r>
                <w:rPr>
                  <w:rFonts w:ascii="Cambria Math" w:hAnsi="Cambria Math"/>
                  <w:noProof/>
                  <w:lang w:eastAsia="pl-PL"/>
                </w:rPr>
                <m:t>i</m:t>
              </m:r>
            </m:e>
            <m:sub>
              <m:r>
                <w:rPr>
                  <w:rFonts w:ascii="Cambria Math" w:hAnsi="Cambria Math"/>
                  <w:noProof/>
                  <w:lang w:eastAsia="pl-PL"/>
                </w:rPr>
                <m:t>policy</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eastAsia="pl-PL"/>
            </w:rPr>
            <m:t>-premium</m:t>
          </m:r>
        </m:oMath>
      </m:oMathPara>
    </w:p>
    <w:p w14:paraId="60ECED29" w14:textId="77777777" w:rsidR="00974ECF" w:rsidRPr="00974ECF" w:rsidRDefault="00974ECF" w:rsidP="00607618">
      <w:pPr>
        <w:rPr>
          <w:rFonts w:eastAsiaTheme="minorEastAsia"/>
          <w:lang w:eastAsia="pl-PL"/>
        </w:rPr>
      </w:pPr>
      <w:r>
        <w:rPr>
          <w:rFonts w:eastAsiaTheme="minorEastAsia"/>
          <w:lang w:eastAsia="pl-PL"/>
        </w:rPr>
        <w:t>Stąd poniższy model:</w:t>
      </w:r>
    </w:p>
    <w:p w14:paraId="7C531C60" w14:textId="77777777" w:rsidR="00974ECF" w:rsidRPr="002F0D5F" w:rsidRDefault="008E7B40" w:rsidP="00974ECF">
      <w:pPr>
        <w:jc w:val="center"/>
        <w:rPr>
          <w:rFonts w:eastAsiaTheme="minorEastAsia"/>
          <w:lang w:eastAsia="pl-PL"/>
        </w:rPr>
      </w:pPr>
      <m:oMath>
        <m:sSub>
          <m:sSubPr>
            <m:ctrlPr>
              <w:rPr>
                <w:rFonts w:ascii="Cambria Math" w:hAnsi="Cambria Math"/>
                <w:i/>
                <w:noProof/>
                <w:lang w:eastAsia="pl-PL"/>
              </w:rPr>
            </m:ctrlPr>
          </m:sSubPr>
          <m:e>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WIBOR3M,t</m:t>
                </m:r>
              </m:sub>
            </m:sSub>
            <m:r>
              <w:rPr>
                <w:rFonts w:ascii="Cambria Math" w:hAnsi="Cambria Math"/>
                <w:noProof/>
                <w:lang w:eastAsia="pl-PL"/>
              </w:rPr>
              <m:t>-i</m:t>
            </m:r>
          </m:e>
          <m:sub>
            <m:r>
              <w:rPr>
                <w:rFonts w:ascii="Cambria Math" w:hAnsi="Cambria Math"/>
                <w:noProof/>
                <w:lang w:eastAsia="pl-PL"/>
              </w:rPr>
              <m:t>policy,t</m:t>
            </m:r>
          </m:sub>
        </m:sSub>
        <m:r>
          <w:rPr>
            <w:rFonts w:ascii="Cambria Math" w:hAnsi="Cambria Math"/>
            <w:noProof/>
            <w:lang w:eastAsia="pl-PL"/>
          </w:rPr>
          <m:t>=</m:t>
        </m:r>
        <m:r>
          <w:rPr>
            <w:rFonts w:ascii="Cambria Math" w:hAnsi="Cambria Math"/>
            <w:noProof/>
            <w:lang w:val="en-US" w:eastAsia="pl-PL"/>
          </w:rPr>
          <m:t>premium</m:t>
        </m:r>
        <m:r>
          <w:rPr>
            <w:rFonts w:ascii="Cambria Math" w:hAnsi="Cambria Math"/>
            <w:noProof/>
            <w:lang w:eastAsia="pl-PL"/>
          </w:rPr>
          <m:t>+</m:t>
        </m:r>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sub>
        </m:sSub>
        <m:r>
          <w:rPr>
            <w:rFonts w:ascii="Cambria Math" w:hAnsi="Cambria Math"/>
            <w:noProof/>
            <w:lang w:eastAsia="pl-PL"/>
          </w:rPr>
          <m:t>+</m:t>
        </m:r>
        <m:sSub>
          <m:sSubPr>
            <m:ctrlPr>
              <w:rPr>
                <w:rFonts w:ascii="Cambria Math" w:hAnsi="Cambria Math"/>
                <w:i/>
                <w:noProof/>
                <w:lang w:eastAsia="pl-PL"/>
              </w:rPr>
            </m:ctrlPr>
          </m:sSubPr>
          <m:e>
            <m:r>
              <w:rPr>
                <w:rFonts w:ascii="Cambria Math" w:hAnsi="Cambria Math"/>
                <w:noProof/>
                <w:lang w:eastAsia="pl-PL"/>
              </w:rPr>
              <m:t>w</m:t>
            </m:r>
          </m:e>
          <m:sub>
            <m:r>
              <w:rPr>
                <w:rFonts w:ascii="Cambria Math" w:hAnsi="Cambria Math"/>
                <w:noProof/>
                <w:lang w:eastAsia="pl-PL"/>
              </w:rPr>
              <m:t>t</m:t>
            </m:r>
          </m:sub>
        </m:sSub>
        <m:r>
          <w:rPr>
            <w:rFonts w:ascii="Cambria Math" w:hAnsi="Cambria Math"/>
            <w:noProof/>
            <w:lang w:eastAsia="pl-PL"/>
          </w:rPr>
          <m:t xml:space="preserve">,  </m:t>
        </m:r>
        <m:sSub>
          <m:sSubPr>
            <m:ctrlPr>
              <w:rPr>
                <w:rFonts w:ascii="Cambria Math" w:hAnsi="Cambria Math"/>
                <w:i/>
                <w:noProof/>
                <w:lang w:eastAsia="pl-PL"/>
              </w:rPr>
            </m:ctrlPr>
          </m:sSubPr>
          <m:e>
            <m:r>
              <w:rPr>
                <w:rFonts w:ascii="Cambria Math" w:hAnsi="Cambria Math"/>
                <w:noProof/>
                <w:lang w:eastAsia="pl-PL"/>
              </w:rPr>
              <m:t>w</m:t>
            </m:r>
          </m:e>
          <m:sub>
            <m:r>
              <w:rPr>
                <w:rFonts w:ascii="Cambria Math" w:hAnsi="Cambria Math"/>
                <w:noProof/>
                <w:lang w:eastAsia="pl-PL"/>
              </w:rPr>
              <m:t>t</m:t>
            </m:r>
          </m:sub>
        </m:sSub>
        <m:r>
          <w:rPr>
            <w:rFonts w:ascii="Cambria Math" w:hAnsi="Cambria Math"/>
            <w:noProof/>
            <w:lang w:eastAsia="pl-PL"/>
          </w:rPr>
          <m:t xml:space="preserve"> ~ N(0,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w</m:t>
            </m:r>
          </m:sub>
        </m:sSub>
        <m:r>
          <w:rPr>
            <w:rFonts w:ascii="Cambria Math" w:hAnsi="Cambria Math"/>
            <w:noProof/>
            <w:lang w:eastAsia="pl-PL"/>
          </w:rPr>
          <m:t>)</m:t>
        </m:r>
      </m:oMath>
      <w:r w:rsidR="000F6A0F" w:rsidRPr="002F0D5F">
        <w:rPr>
          <w:rFonts w:eastAsiaTheme="minorEastAsia"/>
          <w:lang w:eastAsia="pl-PL"/>
        </w:rPr>
        <w:t xml:space="preserve"> I.I.D</w:t>
      </w:r>
    </w:p>
    <w:p w14:paraId="1B7490F4" w14:textId="77777777" w:rsidR="00974ECF" w:rsidRPr="00DF4120" w:rsidRDefault="00974ECF" w:rsidP="00974ECF">
      <w:pPr>
        <w:jc w:val="center"/>
        <w:rPr>
          <w:rFonts w:eastAsiaTheme="minorEastAsia"/>
          <w:lang w:val="en-US" w:eastAsia="pl-PL"/>
        </w:rPr>
      </w:pPr>
      <m:oMath>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Interwencja</m:t>
            </m:r>
          </m:e>
          <m:sub>
            <m:r>
              <w:rPr>
                <w:rFonts w:ascii="Cambria Math" w:hAnsi="Cambria Math"/>
                <w:noProof/>
                <w:lang w:eastAsia="pl-PL"/>
              </w:rPr>
              <m:t>t</m:t>
            </m:r>
          </m:sub>
        </m:sSub>
        <m:r>
          <w:rPr>
            <w:rFonts w:ascii="Cambria Math" w:hAnsi="Cambria Math"/>
            <w:noProof/>
            <w:lang w:val="en-US" w:eastAsia="pl-PL"/>
          </w:rPr>
          <m:t xml:space="preserve">= </m:t>
        </m:r>
        <m:r>
          <w:rPr>
            <w:rFonts w:ascii="Cambria Math" w:hAnsi="Cambria Math"/>
            <w:noProof/>
            <w:lang w:eastAsia="pl-PL"/>
          </w:rPr>
          <m:t>α</m:t>
        </m:r>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v</m:t>
            </m:r>
          </m:e>
          <m:sub>
            <m:r>
              <w:rPr>
                <w:rFonts w:ascii="Cambria Math" w:hAnsi="Cambria Math"/>
                <w:noProof/>
                <w:lang w:eastAsia="pl-PL"/>
              </w:rPr>
              <m:t>t</m:t>
            </m:r>
          </m:sub>
        </m:sSub>
        <m:r>
          <w:rPr>
            <w:rFonts w:ascii="Cambria Math" w:hAnsi="Cambria Math"/>
            <w:noProof/>
            <w:lang w:val="en-US" w:eastAsia="pl-PL"/>
          </w:rPr>
          <m:t xml:space="preserve">,  </m:t>
        </m:r>
        <m:sSub>
          <m:sSubPr>
            <m:ctrlPr>
              <w:rPr>
                <w:rFonts w:ascii="Cambria Math" w:hAnsi="Cambria Math"/>
                <w:i/>
                <w:noProof/>
                <w:lang w:eastAsia="pl-PL"/>
              </w:rPr>
            </m:ctrlPr>
          </m:sSubPr>
          <m:e>
            <m:r>
              <w:rPr>
                <w:rFonts w:ascii="Cambria Math" w:hAnsi="Cambria Math"/>
                <w:noProof/>
                <w:lang w:eastAsia="pl-PL"/>
              </w:rPr>
              <m:t>v</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v</m:t>
            </m:r>
          </m:sub>
        </m:sSub>
        <m:r>
          <w:rPr>
            <w:rFonts w:ascii="Cambria Math" w:hAnsi="Cambria Math"/>
            <w:noProof/>
            <w:lang w:val="en-US" w:eastAsia="pl-PL"/>
          </w:rPr>
          <m:t>)</m:t>
        </m:r>
      </m:oMath>
      <w:r w:rsidRPr="00DF4120">
        <w:rPr>
          <w:rFonts w:eastAsiaTheme="minorEastAsia"/>
          <w:lang w:val="en-US" w:eastAsia="pl-PL"/>
        </w:rPr>
        <w:t xml:space="preserve"> I.I.D</w:t>
      </w:r>
    </w:p>
    <w:p w14:paraId="61E9A0B4" w14:textId="77777777" w:rsidR="000F6A0F" w:rsidRPr="00974ECF" w:rsidRDefault="008E7B40" w:rsidP="00974ECF">
      <w:pPr>
        <w:jc w:val="center"/>
        <w:rPr>
          <w:rFonts w:ascii="Cambria Math" w:hAnsi="Cambria Math"/>
          <w:i/>
          <w:noProof/>
          <w:lang w:val="en-US" w:eastAsia="pl-PL"/>
        </w:rPr>
      </w:pPr>
      <m:oMath>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sub>
        </m:sSub>
        <m:r>
          <w:rPr>
            <w:rFonts w:ascii="Cambria Math" w:hAnsi="Cambria Math"/>
            <w:noProof/>
            <w:lang w:val="en-US" w:eastAsia="pl-PL"/>
          </w:rPr>
          <m:t>=</m:t>
        </m:r>
        <m:r>
          <w:rPr>
            <w:rFonts w:ascii="Cambria Math" w:hAnsi="Cambria Math"/>
            <w:noProof/>
            <w:lang w:eastAsia="pl-PL"/>
          </w:rPr>
          <m:t>γ</m:t>
        </m:r>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r>
              <w:rPr>
                <w:rFonts w:ascii="Cambria Math" w:hAnsi="Cambria Math"/>
                <w:noProof/>
                <w:lang w:val="en-US" w:eastAsia="pl-PL"/>
              </w:rPr>
              <m:t>-1</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hAnsi="Cambria Math"/>
            <w:noProof/>
            <w:lang w:val="en-US" w:eastAsia="pl-PL"/>
          </w:rPr>
          <m:t xml:space="preserve"> , </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d>
          <m:dPr>
            <m:ctrlPr>
              <w:rPr>
                <w:rFonts w:ascii="Cambria Math" w:hAnsi="Cambria Math"/>
                <w:i/>
                <w:noProof/>
                <w:lang w:eastAsia="pl-PL"/>
              </w:rPr>
            </m:ctrlPr>
          </m:dPr>
          <m:e>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ϵ</m:t>
                </m:r>
              </m:sub>
            </m:sSub>
          </m:e>
        </m:d>
      </m:oMath>
      <w:r w:rsidR="00974ECF" w:rsidRPr="00974ECF">
        <w:rPr>
          <w:rFonts w:eastAsiaTheme="minorEastAsia"/>
          <w:lang w:val="en-US" w:eastAsia="pl-PL"/>
        </w:rPr>
        <w:t xml:space="preserve"> </w:t>
      </w:r>
      <w:r w:rsidR="00974ECF" w:rsidRPr="00DF4120">
        <w:rPr>
          <w:rFonts w:eastAsiaTheme="minorEastAsia"/>
          <w:lang w:val="en-US" w:eastAsia="pl-PL"/>
        </w:rPr>
        <w:t>I.I.D</w:t>
      </w:r>
    </w:p>
    <w:p w14:paraId="5AC6FED8" w14:textId="77777777" w:rsidR="003B5EBC" w:rsidRDefault="000F6A0F" w:rsidP="00896B15">
      <w:pPr>
        <w:rPr>
          <w:rFonts w:eastAsiaTheme="minorEastAsia"/>
          <w:lang w:eastAsia="pl-PL"/>
        </w:rPr>
      </w:pPr>
      <w:r w:rsidRPr="000F6A0F">
        <w:t xml:space="preserve">Interpretacja </w:t>
      </w:r>
      <m:oMath>
        <m:sSub>
          <m:sSubPr>
            <m:ctrlPr>
              <w:rPr>
                <w:rFonts w:ascii="Cambria Math" w:hAnsi="Cambria Math"/>
                <w:i/>
                <w:noProof/>
                <w:lang w:eastAsia="pl-PL"/>
              </w:rPr>
            </m:ctrlPr>
          </m:sSubPr>
          <m:e>
            <m:r>
              <w:rPr>
                <w:rFonts w:ascii="Cambria Math" w:hAnsi="Cambria Math"/>
                <w:noProof/>
                <w:lang w:eastAsia="pl-PL"/>
              </w:rPr>
              <m:t>e</m:t>
            </m:r>
          </m:e>
          <m:sub>
            <m:r>
              <w:rPr>
                <w:rFonts w:ascii="Cambria Math" w:hAnsi="Cambria Math"/>
                <w:noProof/>
                <w:lang w:eastAsia="pl-PL"/>
              </w:rPr>
              <m:t>t</m:t>
            </m:r>
          </m:sub>
        </m:sSub>
      </m:oMath>
      <w:r>
        <w:rPr>
          <w:rFonts w:eastAsiaTheme="minorEastAsia"/>
          <w:lang w:eastAsia="pl-PL"/>
        </w:rPr>
        <w:t xml:space="preserve"> to różnica pomiędzy stopą </w:t>
      </w:r>
      <w:r w:rsidR="00974ECF">
        <w:rPr>
          <w:rFonts w:eastAsiaTheme="minorEastAsia"/>
          <w:lang w:eastAsia="pl-PL"/>
        </w:rPr>
        <w:t>n</w:t>
      </w:r>
      <w:r w:rsidR="00DB0FCE">
        <w:rPr>
          <w:rFonts w:eastAsiaTheme="minorEastAsia"/>
          <w:lang w:eastAsia="pl-PL"/>
        </w:rPr>
        <w:t>ieinterwencyjną</w:t>
      </w:r>
      <w:r w:rsidR="00974ECF">
        <w:rPr>
          <w:rFonts w:eastAsiaTheme="minorEastAsia"/>
          <w:lang w:eastAsia="pl-PL"/>
        </w:rPr>
        <w:t xml:space="preserve">, a stopą </w:t>
      </w:r>
      <w:r w:rsidR="00896B15">
        <w:rPr>
          <w:rFonts w:eastAsiaTheme="minorEastAsia"/>
          <w:lang w:eastAsia="pl-PL"/>
        </w:rPr>
        <w:t xml:space="preserve">podyktowaną przez bank centralny. Różnica ta jest powiązana z miarą Interwencji. Oznacza to, że aby utrzymać stopy referencyjne ponad stopami naturalnymi, Bank Centralny musi „interweniować”, czyli pożyczać więcej od sektora Bankowego(stąd </w:t>
      </w:r>
      <m:oMath>
        <m:r>
          <w:rPr>
            <w:rFonts w:ascii="Cambria Math" w:hAnsi="Cambria Math"/>
            <w:noProof/>
            <w:lang w:eastAsia="pl-PL"/>
          </w:rPr>
          <m:t>α&lt;0</m:t>
        </m:r>
      </m:oMath>
      <w:r w:rsidR="00896B15">
        <w:rPr>
          <w:rFonts w:eastAsiaTheme="minorEastAsia"/>
          <w:lang w:eastAsia="pl-PL"/>
        </w:rPr>
        <w:t xml:space="preserve">). Spodziewana jest </w:t>
      </w:r>
      <w:r w:rsidR="00C106A7">
        <w:rPr>
          <w:rFonts w:eastAsiaTheme="minorEastAsia"/>
          <w:lang w:eastAsia="pl-PL"/>
        </w:rPr>
        <w:t>także, istotna</w:t>
      </w:r>
      <w:r w:rsidR="00896B15">
        <w:rPr>
          <w:rFonts w:eastAsiaTheme="minorEastAsia"/>
          <w:lang w:eastAsia="pl-PL"/>
        </w:rPr>
        <w:t xml:space="preserve"> </w:t>
      </w:r>
      <w:r w:rsidR="00C106A7">
        <w:rPr>
          <w:rFonts w:eastAsiaTheme="minorEastAsia"/>
          <w:lang w:eastAsia="pl-PL"/>
        </w:rPr>
        <w:t>wartość</w:t>
      </w:r>
      <w:r w:rsidR="00896B15">
        <w:rPr>
          <w:rFonts w:eastAsiaTheme="minorEastAsia"/>
          <w:lang w:eastAsia="pl-PL"/>
        </w:rPr>
        <w:t xml:space="preserve"> </w:t>
      </w:r>
      <m:oMath>
        <m:r>
          <w:rPr>
            <w:rFonts w:ascii="Cambria Math" w:hAnsi="Cambria Math"/>
            <w:noProof/>
            <w:lang w:eastAsia="pl-PL"/>
          </w:rPr>
          <m:t xml:space="preserve">γ </m:t>
        </m:r>
      </m:oMath>
      <w:r w:rsidR="00896B15">
        <w:rPr>
          <w:rFonts w:eastAsiaTheme="minorEastAsia"/>
          <w:lang w:eastAsia="pl-PL"/>
        </w:rPr>
        <w:t xml:space="preserve"> gdyż wiele badań sugeruję Inercję polityki pieniężnej.</w:t>
      </w:r>
      <w:r w:rsidR="008D401A">
        <w:rPr>
          <w:rFonts w:eastAsiaTheme="minorEastAsia"/>
          <w:lang w:eastAsia="pl-PL"/>
        </w:rPr>
        <w:t xml:space="preserve"> </w:t>
      </w:r>
    </w:p>
    <w:p w14:paraId="1F2B7C10" w14:textId="77777777" w:rsidR="00DB0FCE" w:rsidRPr="00DB0FCE" w:rsidRDefault="003B5EBC" w:rsidP="00DB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lang w:eastAsia="pl-PL"/>
        </w:rPr>
      </w:pPr>
      <m:oMath>
        <m:r>
          <w:rPr>
            <w:rFonts w:ascii="Cambria Math" w:hAnsi="Cambria Math"/>
            <w:noProof/>
            <w:lang w:eastAsia="pl-PL"/>
          </w:rPr>
          <m:t>α</m:t>
        </m:r>
      </m:oMath>
      <w:r w:rsidRPr="002F0D5F">
        <w:rPr>
          <w:rFonts w:ascii="Lucida Console" w:eastAsia="Times New Roman" w:hAnsi="Lucida Console" w:cs="Courier New"/>
          <w:color w:val="000000"/>
          <w:sz w:val="20"/>
          <w:szCs w:val="20"/>
          <w:shd w:val="clear" w:color="auto" w:fill="E1E2E5"/>
          <w:lang w:eastAsia="pl-PL"/>
        </w:rPr>
        <w:t xml:space="preserve">        </w:t>
      </w:r>
      <m:oMath>
        <m:r>
          <w:rPr>
            <w:rFonts w:ascii="Cambria Math" w:hAnsi="Cambria Math"/>
            <w:noProof/>
            <w:lang w:eastAsia="pl-PL"/>
          </w:rPr>
          <m:t>γ</m:t>
        </m:r>
      </m:oMath>
      <w:r w:rsidRPr="002F0D5F">
        <w:rPr>
          <w:rFonts w:ascii="Lucida Console" w:eastAsia="Times New Roman" w:hAnsi="Lucida Console" w:cs="Courier New"/>
          <w:color w:val="000000"/>
          <w:sz w:val="20"/>
          <w:szCs w:val="20"/>
          <w:shd w:val="clear" w:color="auto" w:fill="E1E2E5"/>
          <w:lang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v</m:t>
            </m:r>
          </m:sub>
        </m:sSub>
      </m:oMath>
      <w:r w:rsidRPr="002F0D5F">
        <w:rPr>
          <w:rFonts w:ascii="Lucida Console" w:eastAsia="Times New Roman" w:hAnsi="Lucida Console" w:cs="Courier New"/>
          <w:color w:val="000000"/>
          <w:sz w:val="20"/>
          <w:szCs w:val="20"/>
          <w:shd w:val="clear" w:color="auto" w:fill="E1E2E5"/>
          <w:lang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w</m:t>
            </m:r>
          </m:sub>
        </m:sSub>
      </m:oMath>
      <w:r w:rsidRPr="002F0D5F">
        <w:rPr>
          <w:rFonts w:ascii="Lucida Console" w:eastAsia="Times New Roman" w:hAnsi="Lucida Console" w:cs="Courier New"/>
          <w:color w:val="000000"/>
          <w:sz w:val="20"/>
          <w:szCs w:val="20"/>
          <w:shd w:val="clear" w:color="auto" w:fill="E1E2E5"/>
          <w:lang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ϵ</m:t>
            </m:r>
          </m:sub>
        </m:sSub>
      </m:oMath>
      <w:r w:rsidRPr="002F0D5F">
        <w:rPr>
          <w:rFonts w:ascii="Lucida Console" w:eastAsia="Times New Roman" w:hAnsi="Lucida Console" w:cs="Courier New"/>
          <w:color w:val="000000"/>
          <w:sz w:val="20"/>
          <w:szCs w:val="20"/>
          <w:shd w:val="clear" w:color="auto" w:fill="E1E2E5"/>
          <w:lang w:eastAsia="pl-PL"/>
        </w:rPr>
        <w:t xml:space="preserve"> </w:t>
      </w:r>
      <w:r w:rsidRPr="002F0D5F">
        <w:rPr>
          <w:rFonts w:ascii="Lucida Console" w:eastAsia="Times New Roman" w:hAnsi="Lucida Console" w:cs="Courier New"/>
          <w:color w:val="000000"/>
          <w:sz w:val="20"/>
          <w:szCs w:val="20"/>
          <w:shd w:val="clear" w:color="auto" w:fill="E1E2E5"/>
          <w:lang w:eastAsia="pl-PL"/>
        </w:rPr>
        <w:tab/>
      </w:r>
      <m:oMath>
        <m:r>
          <w:rPr>
            <w:rFonts w:ascii="Cambria Math" w:hAnsi="Cambria Math"/>
            <w:noProof/>
            <w:lang w:eastAsia="pl-PL"/>
          </w:rPr>
          <m:t>premium</m:t>
        </m:r>
      </m:oMath>
    </w:p>
    <w:p w14:paraId="62433240" w14:textId="77777777" w:rsidR="00DB0FCE" w:rsidRPr="00DB0FCE" w:rsidRDefault="003B5EBC" w:rsidP="00DB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rPr>
      </w:pPr>
      <w:r w:rsidRPr="003B5EBC">
        <w:rPr>
          <w:rFonts w:ascii="Lucida Console" w:eastAsia="Times New Roman" w:hAnsi="Lucida Console" w:cs="Courier New"/>
          <w:color w:val="000000"/>
          <w:sz w:val="20"/>
          <w:szCs w:val="20"/>
          <w:shd w:val="clear" w:color="auto" w:fill="E1E2E5"/>
          <w:lang w:eastAsia="pl-PL"/>
        </w:rPr>
        <w:t>-1.930 0.9116 4.2544 0.0391  0.016    0.</w:t>
      </w:r>
      <w:r>
        <w:rPr>
          <w:rFonts w:ascii="Lucida Console" w:eastAsia="Times New Roman" w:hAnsi="Lucida Console" w:cs="Courier New"/>
          <w:color w:val="000000"/>
          <w:sz w:val="20"/>
          <w:szCs w:val="20"/>
          <w:shd w:val="clear" w:color="auto" w:fill="E1E2E5"/>
          <w:lang w:eastAsia="pl-PL"/>
        </w:rPr>
        <w:t>320</w:t>
      </w:r>
      <w:r w:rsidRPr="003B5EBC">
        <w:rPr>
          <w:rFonts w:ascii="Lucida Console" w:eastAsia="Times New Roman" w:hAnsi="Lucida Console" w:cs="Courier New"/>
          <w:color w:val="000000"/>
          <w:sz w:val="20"/>
          <w:szCs w:val="20"/>
          <w:shd w:val="clear" w:color="auto" w:fill="E1E2E5"/>
          <w:lang w:eastAsia="pl-PL"/>
        </w:rPr>
        <w:t xml:space="preserve">  </w:t>
      </w:r>
      <w:r w:rsidRPr="003B5EBC">
        <w:rPr>
          <w:rFonts w:ascii="Lucida Console" w:eastAsia="Times New Roman" w:hAnsi="Lucida Console" w:cs="Courier New"/>
          <w:color w:val="000000"/>
          <w:sz w:val="20"/>
          <w:szCs w:val="20"/>
          <w:shd w:val="clear" w:color="auto" w:fill="E1E2E5"/>
          <w:lang w:eastAsia="pl-PL"/>
        </w:rPr>
        <w:tab/>
      </w:r>
      <w:r w:rsidR="000F6A0F">
        <w:rPr>
          <w:noProof/>
          <w:lang w:val="en-US"/>
        </w:rPr>
        <w:drawing>
          <wp:inline distT="0" distB="0" distL="0" distR="0" wp14:anchorId="30081EC4" wp14:editId="429116F3">
            <wp:extent cx="5205742" cy="4077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5955" cy="4085602"/>
                    </a:xfrm>
                    <a:prstGeom prst="rect">
                      <a:avLst/>
                    </a:prstGeom>
                  </pic:spPr>
                </pic:pic>
              </a:graphicData>
            </a:graphic>
          </wp:inline>
        </w:drawing>
      </w:r>
    </w:p>
    <w:p w14:paraId="46EBA32E" w14:textId="77777777" w:rsidR="00607618" w:rsidRDefault="000F6A0F" w:rsidP="000F6A0F">
      <w:pPr>
        <w:pStyle w:val="Caption"/>
      </w:pPr>
      <w:r>
        <w:t xml:space="preserve">Rysunek </w:t>
      </w:r>
      <w:r w:rsidR="008E7B40">
        <w:fldChar w:fldCharType="begin"/>
      </w:r>
      <w:r w:rsidR="008E7B40">
        <w:instrText xml:space="preserve"> SEQ Rysunek \* ARABIC </w:instrText>
      </w:r>
      <w:r w:rsidR="008E7B40">
        <w:fldChar w:fldCharType="separate"/>
      </w:r>
      <w:r w:rsidR="00637E5E">
        <w:rPr>
          <w:noProof/>
        </w:rPr>
        <w:t>11</w:t>
      </w:r>
      <w:r w:rsidR="008E7B40">
        <w:rPr>
          <w:noProof/>
        </w:rPr>
        <w:fldChar w:fldCharType="end"/>
      </w:r>
      <w:r>
        <w:t xml:space="preserve"> Estymacja różnicy odchylenia stopy polityki od stopy </w:t>
      </w:r>
      <w:r w:rsidR="00DB0FCE">
        <w:t>nieinterwencyjnej</w:t>
      </w:r>
      <w:r>
        <w:t xml:space="preserve"> przy założeniu stałej ceny ryzyka i w  Wibor3M</w:t>
      </w:r>
    </w:p>
    <w:p w14:paraId="58E0050F" w14:textId="77777777" w:rsidR="00C106A7" w:rsidRPr="002F0D5F" w:rsidRDefault="00C106A7" w:rsidP="003B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pl-PL"/>
        </w:rPr>
      </w:pPr>
      <w:r>
        <w:rPr>
          <w:rFonts w:eastAsiaTheme="minorEastAsia"/>
          <w:i/>
          <w:lang w:eastAsia="pl-PL"/>
        </w:rPr>
        <w:t xml:space="preserve">    </w:t>
      </w:r>
    </w:p>
    <w:p w14:paraId="252EF920" w14:textId="77777777" w:rsidR="00C106A7" w:rsidRPr="002F0D5F" w:rsidRDefault="00C106A7" w:rsidP="00C106A7"/>
    <w:p w14:paraId="161810F3" w14:textId="77777777" w:rsidR="00DB0FCE" w:rsidRDefault="00DB0FCE" w:rsidP="008D401A">
      <w:pPr>
        <w:rPr>
          <w:rFonts w:eastAsiaTheme="minorEastAsia"/>
          <w:lang w:eastAsia="pl-PL"/>
        </w:rPr>
      </w:pPr>
      <w:r>
        <w:rPr>
          <w:rFonts w:eastAsiaTheme="minorEastAsia"/>
          <w:lang w:eastAsia="pl-PL"/>
        </w:rPr>
        <w:t xml:space="preserve">Powyższy model zakłada, że poziom stopy referencyjnej nie ma wpływu na Wibor3M. Jako że jest to niezgodne z stylizowanymi </w:t>
      </w:r>
      <w:commentRangeStart w:id="1"/>
      <w:r>
        <w:rPr>
          <w:rFonts w:eastAsiaTheme="minorEastAsia"/>
          <w:lang w:eastAsia="pl-PL"/>
        </w:rPr>
        <w:t xml:space="preserve">faktami dotyczącymi stóp na rynku międzybankowym. Stąd teraz założymy że Wibor3M jest ważoną średnią </w:t>
      </w:r>
      <w:r w:rsidR="00637E5E">
        <w:rPr>
          <w:rFonts w:eastAsiaTheme="minorEastAsia"/>
          <w:lang w:eastAsia="pl-PL"/>
        </w:rPr>
        <w:t>Stopy nieinterwencyjnej oraz stopy referencyjnej, czyli:</w:t>
      </w:r>
    </w:p>
    <w:p w14:paraId="344F0954" w14:textId="77777777" w:rsidR="008D401A" w:rsidRPr="00974ECF" w:rsidRDefault="008E7B40" w:rsidP="008D401A">
      <w:pPr>
        <w:rPr>
          <w:rFonts w:eastAsiaTheme="minorEastAsia"/>
          <w:lang w:eastAsia="pl-PL"/>
        </w:rPr>
      </w:pPr>
      <m:oMathPara>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WIBOR3M,t</m:t>
              </m:r>
            </m:sub>
          </m:sSub>
          <m:r>
            <w:rPr>
              <w:rFonts w:ascii="Cambria Math" w:hAnsi="Cambria Math"/>
              <w:noProof/>
              <w:lang w:eastAsia="pl-PL"/>
            </w:rPr>
            <m:t>=δ</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natural,t</m:t>
              </m:r>
            </m:sub>
          </m:sSub>
          <m:r>
            <w:rPr>
              <w:rFonts w:ascii="Cambria Math" w:hAnsi="Cambria Math"/>
              <w:noProof/>
              <w:lang w:eastAsia="pl-PL"/>
            </w:rPr>
            <m:t>+</m:t>
          </m:r>
          <m:d>
            <m:dPr>
              <m:ctrlPr>
                <w:rPr>
                  <w:rFonts w:ascii="Cambria Math" w:hAnsi="Cambria Math"/>
                  <w:i/>
                  <w:noProof/>
                  <w:lang w:eastAsia="pl-PL"/>
                </w:rPr>
              </m:ctrlPr>
            </m:dPr>
            <m:e>
              <m:r>
                <w:rPr>
                  <w:rFonts w:ascii="Cambria Math" w:hAnsi="Cambria Math"/>
                  <w:noProof/>
                  <w:lang w:eastAsia="pl-PL"/>
                </w:rPr>
                <m:t>1-δ</m:t>
              </m:r>
            </m:e>
          </m:d>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policy,t</m:t>
              </m:r>
            </m:sub>
          </m:sSub>
          <m:r>
            <w:rPr>
              <w:rFonts w:ascii="Cambria Math" w:hAnsi="Cambria Math"/>
              <w:noProof/>
              <w:lang w:eastAsia="pl-PL"/>
            </w:rPr>
            <m:t>+ premium</m:t>
          </m:r>
          <w:commentRangeEnd w:id="1"/>
          <m:r>
            <m:rPr>
              <m:sty m:val="p"/>
            </m:rPr>
            <w:rPr>
              <w:rStyle w:val="CommentReference"/>
            </w:rPr>
            <w:commentReference w:id="1"/>
          </m:r>
        </m:oMath>
      </m:oMathPara>
    </w:p>
    <w:p w14:paraId="5725A731" w14:textId="77777777" w:rsidR="008D401A" w:rsidRPr="00974ECF" w:rsidRDefault="008D401A" w:rsidP="008D401A">
      <w:pPr>
        <w:rPr>
          <w:rFonts w:eastAsiaTheme="minorEastAsia"/>
          <w:lang w:eastAsia="pl-PL"/>
        </w:rPr>
      </w:pPr>
      <w:r>
        <w:rPr>
          <w:rFonts w:eastAsiaTheme="minorEastAsia"/>
          <w:lang w:eastAsia="pl-PL"/>
        </w:rPr>
        <w:t>Stąd poniższy model:</w:t>
      </w:r>
    </w:p>
    <w:p w14:paraId="5A8BEE2C" w14:textId="77777777" w:rsidR="008D401A" w:rsidRPr="008D401A" w:rsidRDefault="008E7B40" w:rsidP="008D401A">
      <w:pPr>
        <w:jc w:val="center"/>
        <w:rPr>
          <w:rFonts w:eastAsiaTheme="minorEastAsia"/>
          <w:lang w:eastAsia="pl-PL"/>
        </w:rPr>
      </w:pP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 xml:space="preserve">WIBOR3M,t    </m:t>
            </m:r>
          </m:sub>
        </m:sSub>
        <m:r>
          <w:rPr>
            <w:rFonts w:ascii="Cambria Math" w:hAnsi="Cambria Math"/>
            <w:noProof/>
            <w:lang w:eastAsia="pl-PL"/>
          </w:rPr>
          <m:t>=δ</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non int,t</m:t>
            </m:r>
          </m:sub>
        </m:sSub>
        <m:r>
          <w:rPr>
            <w:rFonts w:ascii="Cambria Math" w:hAnsi="Cambria Math"/>
            <w:noProof/>
            <w:lang w:eastAsia="pl-PL"/>
          </w:rPr>
          <m:t>+</m:t>
        </m:r>
        <m:d>
          <m:dPr>
            <m:ctrlPr>
              <w:rPr>
                <w:rFonts w:ascii="Cambria Math" w:hAnsi="Cambria Math"/>
                <w:i/>
                <w:noProof/>
                <w:lang w:eastAsia="pl-PL"/>
              </w:rPr>
            </m:ctrlPr>
          </m:dPr>
          <m:e>
            <m:r>
              <w:rPr>
                <w:rFonts w:ascii="Cambria Math" w:hAnsi="Cambria Math"/>
                <w:noProof/>
                <w:lang w:eastAsia="pl-PL"/>
              </w:rPr>
              <m:t>1-δ</m:t>
            </m:r>
          </m:e>
        </m:d>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policy,t</m:t>
            </m:r>
          </m:sub>
        </m:sSub>
        <m:r>
          <w:rPr>
            <w:rFonts w:ascii="Cambria Math" w:hAnsi="Cambria Math"/>
            <w:noProof/>
            <w:lang w:eastAsia="pl-PL"/>
          </w:rPr>
          <m:t>+ premium+</m:t>
        </m:r>
        <m:sSub>
          <m:sSubPr>
            <m:ctrlPr>
              <w:rPr>
                <w:rFonts w:ascii="Cambria Math" w:hAnsi="Cambria Math"/>
                <w:i/>
                <w:noProof/>
                <w:lang w:eastAsia="pl-PL"/>
              </w:rPr>
            </m:ctrlPr>
          </m:sSubPr>
          <m:e>
            <m:r>
              <w:rPr>
                <w:rFonts w:ascii="Cambria Math" w:hAnsi="Cambria Math"/>
                <w:noProof/>
                <w:lang w:eastAsia="pl-PL"/>
              </w:rPr>
              <m:t>w</m:t>
            </m:r>
          </m:e>
          <m:sub>
            <m:r>
              <w:rPr>
                <w:rFonts w:ascii="Cambria Math" w:hAnsi="Cambria Math"/>
                <w:noProof/>
                <w:lang w:eastAsia="pl-PL"/>
              </w:rPr>
              <m:t>t</m:t>
            </m:r>
          </m:sub>
        </m:sSub>
        <m:r>
          <w:rPr>
            <w:rFonts w:ascii="Cambria Math" w:hAnsi="Cambria Math"/>
            <w:noProof/>
            <w:lang w:eastAsia="pl-PL"/>
          </w:rPr>
          <m:t xml:space="preserve">,  </m:t>
        </m:r>
        <m:sSub>
          <m:sSubPr>
            <m:ctrlPr>
              <w:rPr>
                <w:rFonts w:ascii="Cambria Math" w:hAnsi="Cambria Math"/>
                <w:i/>
                <w:noProof/>
                <w:lang w:eastAsia="pl-PL"/>
              </w:rPr>
            </m:ctrlPr>
          </m:sSubPr>
          <m:e>
            <m:r>
              <w:rPr>
                <w:rFonts w:ascii="Cambria Math" w:hAnsi="Cambria Math"/>
                <w:noProof/>
                <w:lang w:eastAsia="pl-PL"/>
              </w:rPr>
              <m:t>w</m:t>
            </m:r>
          </m:e>
          <m:sub>
            <m:r>
              <w:rPr>
                <w:rFonts w:ascii="Cambria Math" w:hAnsi="Cambria Math"/>
                <w:noProof/>
                <w:lang w:eastAsia="pl-PL"/>
              </w:rPr>
              <m:t>t</m:t>
            </m:r>
          </m:sub>
        </m:sSub>
        <m:r>
          <w:rPr>
            <w:rFonts w:ascii="Cambria Math" w:hAnsi="Cambria Math"/>
            <w:noProof/>
            <w:lang w:eastAsia="pl-PL"/>
          </w:rPr>
          <m:t xml:space="preserve"> ~ N(0,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w</m:t>
            </m:r>
          </m:sub>
        </m:sSub>
        <m:r>
          <w:rPr>
            <w:rFonts w:ascii="Cambria Math" w:hAnsi="Cambria Math"/>
            <w:noProof/>
            <w:lang w:eastAsia="pl-PL"/>
          </w:rPr>
          <m:t>)</m:t>
        </m:r>
      </m:oMath>
      <w:r w:rsidR="008D401A" w:rsidRPr="008D401A">
        <w:rPr>
          <w:rFonts w:eastAsiaTheme="minorEastAsia"/>
          <w:lang w:eastAsia="pl-PL"/>
        </w:rPr>
        <w:t xml:space="preserve"> I.I.D</w:t>
      </w:r>
    </w:p>
    <w:p w14:paraId="453CF2FD" w14:textId="77777777" w:rsidR="008D401A" w:rsidRPr="00DF4120" w:rsidRDefault="008D401A" w:rsidP="008D401A">
      <w:pPr>
        <w:jc w:val="center"/>
        <w:rPr>
          <w:rFonts w:eastAsiaTheme="minorEastAsia"/>
          <w:lang w:val="en-US" w:eastAsia="pl-PL"/>
        </w:rPr>
      </w:pPr>
      <m:oMath>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Interwencja</m:t>
            </m:r>
          </m:e>
          <m:sub>
            <m:r>
              <w:rPr>
                <w:rFonts w:ascii="Cambria Math" w:hAnsi="Cambria Math"/>
                <w:noProof/>
                <w:lang w:eastAsia="pl-PL"/>
              </w:rPr>
              <m:t>t</m:t>
            </m:r>
          </m:sub>
        </m:sSub>
        <m:r>
          <w:rPr>
            <w:rFonts w:ascii="Cambria Math" w:hAnsi="Cambria Math"/>
            <w:noProof/>
            <w:lang w:val="en-US" w:eastAsia="pl-PL"/>
          </w:rPr>
          <m:t xml:space="preserve">= </m:t>
        </m:r>
        <m:r>
          <w:rPr>
            <w:rFonts w:ascii="Cambria Math" w:hAnsi="Cambria Math"/>
            <w:noProof/>
            <w:lang w:eastAsia="pl-PL"/>
          </w:rPr>
          <m:t>α</m:t>
        </m:r>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policy</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m:t>
        </m:r>
        <m:sSub>
          <m:sSubPr>
            <m:ctrlPr>
              <w:rPr>
                <w:rFonts w:ascii="Cambria Math" w:hAnsi="Cambria Math"/>
                <w:i/>
                <w:noProof/>
                <w:lang w:eastAsia="pl-PL"/>
              </w:rPr>
            </m:ctrlPr>
          </m:sSubPr>
          <m:e>
            <m:r>
              <w:rPr>
                <w:rFonts w:ascii="Cambria Math" w:hAnsi="Cambria Math"/>
                <w:noProof/>
                <w:lang w:eastAsia="pl-PL"/>
              </w:rPr>
              <m:t>v</m:t>
            </m:r>
          </m:e>
          <m:sub>
            <m:r>
              <w:rPr>
                <w:rFonts w:ascii="Cambria Math" w:hAnsi="Cambria Math"/>
                <w:noProof/>
                <w:lang w:eastAsia="pl-PL"/>
              </w:rPr>
              <m:t>t</m:t>
            </m:r>
          </m:sub>
        </m:sSub>
        <m:r>
          <w:rPr>
            <w:rFonts w:ascii="Cambria Math" w:hAnsi="Cambria Math"/>
            <w:noProof/>
            <w:lang w:val="en-US" w:eastAsia="pl-PL"/>
          </w:rPr>
          <m:t xml:space="preserve">,  </m:t>
        </m:r>
        <m:sSub>
          <m:sSubPr>
            <m:ctrlPr>
              <w:rPr>
                <w:rFonts w:ascii="Cambria Math" w:hAnsi="Cambria Math"/>
                <w:i/>
                <w:noProof/>
                <w:lang w:eastAsia="pl-PL"/>
              </w:rPr>
            </m:ctrlPr>
          </m:sSubPr>
          <m:e>
            <m:r>
              <w:rPr>
                <w:rFonts w:ascii="Cambria Math" w:hAnsi="Cambria Math"/>
                <w:noProof/>
                <w:lang w:eastAsia="pl-PL"/>
              </w:rPr>
              <m:t>v</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v</m:t>
            </m:r>
          </m:sub>
        </m:sSub>
        <m:r>
          <w:rPr>
            <w:rFonts w:ascii="Cambria Math" w:hAnsi="Cambria Math"/>
            <w:noProof/>
            <w:lang w:val="en-US" w:eastAsia="pl-PL"/>
          </w:rPr>
          <m:t>)</m:t>
        </m:r>
      </m:oMath>
      <w:r w:rsidRPr="00DF4120">
        <w:rPr>
          <w:rFonts w:eastAsiaTheme="minorEastAsia"/>
          <w:lang w:val="en-US" w:eastAsia="pl-PL"/>
        </w:rPr>
        <w:t xml:space="preserve"> I.I.D</w:t>
      </w:r>
    </w:p>
    <w:p w14:paraId="4E42A80E" w14:textId="77777777" w:rsidR="008D401A" w:rsidRPr="00974ECF" w:rsidRDefault="008E7B40" w:rsidP="008D401A">
      <w:pPr>
        <w:jc w:val="center"/>
        <w:rPr>
          <w:rFonts w:ascii="Cambria Math" w:hAnsi="Cambria Math"/>
          <w:i/>
          <w:noProof/>
          <w:lang w:val="en-US" w:eastAsia="pl-PL"/>
        </w:rPr>
      </w:pPr>
      <m:oMath>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sub>
        </m:sSub>
        <m:r>
          <w:rPr>
            <w:rFonts w:ascii="Cambria Math" w:hAnsi="Cambria Math"/>
            <w:noProof/>
            <w:lang w:val="en-US" w:eastAsia="pl-PL"/>
          </w:rPr>
          <m:t>=</m:t>
        </m:r>
        <m:r>
          <w:rPr>
            <w:rFonts w:ascii="Cambria Math" w:hAnsi="Cambria Math"/>
            <w:noProof/>
            <w:lang w:eastAsia="pl-PL"/>
          </w:rPr>
          <m:t>γ</m:t>
        </m:r>
        <m:sSub>
          <m:sSubPr>
            <m:ctrlPr>
              <w:rPr>
                <w:rFonts w:ascii="Cambria Math" w:hAnsi="Cambria Math"/>
                <w:i/>
                <w:noProof/>
                <w:lang w:eastAsia="pl-PL"/>
              </w:rPr>
            </m:ctrlPr>
          </m:sSubPr>
          <m:e>
            <m:r>
              <w:rPr>
                <w:rFonts w:ascii="Cambria Math" w:hAnsi="Cambria Math"/>
                <w:noProof/>
                <w:lang w:eastAsia="pl-PL"/>
              </w:rPr>
              <m:t>i</m:t>
            </m:r>
          </m:e>
          <m:sub>
            <m:r>
              <w:rPr>
                <w:rFonts w:ascii="Cambria Math" w:hAnsi="Cambria Math"/>
                <w:noProof/>
                <w:lang w:eastAsia="pl-PL"/>
              </w:rPr>
              <m:t>natural</m:t>
            </m:r>
            <m:r>
              <w:rPr>
                <w:rFonts w:ascii="Cambria Math" w:hAnsi="Cambria Math"/>
                <w:noProof/>
                <w:lang w:val="en-US" w:eastAsia="pl-PL"/>
              </w:rPr>
              <m:t>,</m:t>
            </m:r>
            <m:r>
              <w:rPr>
                <w:rFonts w:ascii="Cambria Math" w:hAnsi="Cambria Math"/>
                <w:noProof/>
                <w:lang w:eastAsia="pl-PL"/>
              </w:rPr>
              <m:t>t</m:t>
            </m:r>
            <m:r>
              <w:rPr>
                <w:rFonts w:ascii="Cambria Math" w:hAnsi="Cambria Math"/>
                <w:noProof/>
                <w:lang w:val="en-US" w:eastAsia="pl-PL"/>
              </w:rPr>
              <m:t>-1</m:t>
            </m:r>
          </m:sub>
        </m:sSub>
        <m:r>
          <w:rPr>
            <w:rFonts w:ascii="Cambria Math" w:hAnsi="Cambria Math"/>
            <w:noProof/>
            <w:lang w:val="en-US" w:eastAsia="pl-PL"/>
          </w:rPr>
          <m:t xml:space="preserve">+ </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hAnsi="Cambria Math"/>
            <w:noProof/>
            <w:lang w:val="en-US" w:eastAsia="pl-PL"/>
          </w:rPr>
          <m:t xml:space="preserve"> , </m:t>
        </m:r>
        <m:sSub>
          <m:sSubPr>
            <m:ctrlPr>
              <w:rPr>
                <w:rFonts w:ascii="Cambria Math" w:hAnsi="Cambria Math"/>
                <w:i/>
                <w:noProof/>
                <w:lang w:eastAsia="pl-PL"/>
              </w:rPr>
            </m:ctrlPr>
          </m:sSubPr>
          <m:e>
            <m:r>
              <w:rPr>
                <w:rFonts w:ascii="Cambria Math" w:hAnsi="Cambria Math"/>
                <w:noProof/>
                <w:lang w:eastAsia="pl-PL"/>
              </w:rPr>
              <m:t>ϵ</m:t>
            </m:r>
          </m:e>
          <m:sub>
            <m:r>
              <w:rPr>
                <w:rFonts w:ascii="Cambria Math" w:hAnsi="Cambria Math"/>
                <w:noProof/>
                <w:lang w:eastAsia="pl-PL"/>
              </w:rPr>
              <m:t>t</m:t>
            </m:r>
          </m:sub>
        </m:sSub>
        <m:r>
          <w:rPr>
            <w:rFonts w:ascii="Cambria Math" w:hAnsi="Cambria Math"/>
            <w:noProof/>
            <w:lang w:val="en-US" w:eastAsia="pl-PL"/>
          </w:rPr>
          <m:t xml:space="preserve"> ~ </m:t>
        </m:r>
        <m:r>
          <w:rPr>
            <w:rFonts w:ascii="Cambria Math" w:hAnsi="Cambria Math"/>
            <w:noProof/>
            <w:lang w:eastAsia="pl-PL"/>
          </w:rPr>
          <m:t>N</m:t>
        </m:r>
        <m:d>
          <m:dPr>
            <m:ctrlPr>
              <w:rPr>
                <w:rFonts w:ascii="Cambria Math" w:hAnsi="Cambria Math"/>
                <w:i/>
                <w:noProof/>
                <w:lang w:eastAsia="pl-PL"/>
              </w:rPr>
            </m:ctrlPr>
          </m:dPr>
          <m:e>
            <m:r>
              <w:rPr>
                <w:rFonts w:ascii="Cambria Math" w:hAnsi="Cambria Math"/>
                <w:noProof/>
                <w:lang w:val="en-US" w:eastAsia="pl-PL"/>
              </w:rPr>
              <m:t>0,</m:t>
            </m:r>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ϵ</m:t>
                </m:r>
              </m:sub>
            </m:sSub>
          </m:e>
        </m:d>
      </m:oMath>
      <w:r w:rsidR="008D401A" w:rsidRPr="00974ECF">
        <w:rPr>
          <w:rFonts w:eastAsiaTheme="minorEastAsia"/>
          <w:lang w:val="en-US" w:eastAsia="pl-PL"/>
        </w:rPr>
        <w:t xml:space="preserve"> </w:t>
      </w:r>
      <w:r w:rsidR="008D401A" w:rsidRPr="00DF4120">
        <w:rPr>
          <w:rFonts w:eastAsiaTheme="minorEastAsia"/>
          <w:lang w:val="en-US" w:eastAsia="pl-PL"/>
        </w:rPr>
        <w:t>I.I.D</w:t>
      </w:r>
    </w:p>
    <w:p w14:paraId="6E35FA40" w14:textId="77777777" w:rsidR="003B5EBC" w:rsidRPr="00C106A7" w:rsidRDefault="00705C50" w:rsidP="003B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US" w:eastAsia="pl-PL"/>
        </w:rPr>
      </w:pPr>
      <w:r w:rsidRPr="003B5EBC">
        <w:rPr>
          <w:rFonts w:ascii="Cambria Math" w:eastAsiaTheme="minorEastAsia" w:hAnsi="Cambria Math"/>
          <w:i/>
          <w:noProof/>
          <w:lang w:val="en-US" w:eastAsia="pl-PL"/>
        </w:rPr>
        <w:t xml:space="preserve"> </w:t>
      </w:r>
      <m:oMath>
        <m:r>
          <w:rPr>
            <w:rFonts w:ascii="Cambria Math" w:hAnsi="Cambria Math"/>
            <w:noProof/>
            <w:lang w:eastAsia="pl-PL"/>
          </w:rPr>
          <m:t>α</m:t>
        </m:r>
      </m:oMath>
      <w:r w:rsidR="003B5EBC">
        <w:rPr>
          <w:rFonts w:ascii="Lucida Console" w:eastAsia="Times New Roman" w:hAnsi="Lucida Console" w:cs="Courier New"/>
          <w:color w:val="000000"/>
          <w:sz w:val="20"/>
          <w:szCs w:val="20"/>
          <w:shd w:val="clear" w:color="auto" w:fill="E1E2E5"/>
          <w:lang w:val="en-US" w:eastAsia="pl-PL"/>
        </w:rPr>
        <w:t xml:space="preserve">        </w:t>
      </w:r>
      <m:oMath>
        <m:r>
          <w:rPr>
            <w:rFonts w:ascii="Cambria Math" w:hAnsi="Cambria Math"/>
            <w:noProof/>
            <w:lang w:eastAsia="pl-PL"/>
          </w:rPr>
          <m:t>δ</m:t>
        </m:r>
      </m:oMath>
      <w:r w:rsidR="003B5EBC">
        <w:rPr>
          <w:rFonts w:ascii="Lucida Console" w:eastAsia="Times New Roman" w:hAnsi="Lucida Console" w:cs="Courier New"/>
          <w:color w:val="000000"/>
          <w:sz w:val="20"/>
          <w:szCs w:val="20"/>
          <w:shd w:val="clear" w:color="auto" w:fill="E1E2E5"/>
          <w:lang w:val="en-US" w:eastAsia="pl-PL"/>
        </w:rPr>
        <w:t xml:space="preserve"> </w:t>
      </w:r>
      <w:r w:rsidR="003B5EBC" w:rsidRPr="00C106A7">
        <w:rPr>
          <w:rFonts w:ascii="Lucida Console" w:eastAsia="Times New Roman" w:hAnsi="Lucida Console" w:cs="Courier New"/>
          <w:color w:val="000000"/>
          <w:sz w:val="20"/>
          <w:szCs w:val="20"/>
          <w:shd w:val="clear" w:color="auto" w:fill="E1E2E5"/>
          <w:lang w:val="en-US" w:eastAsia="pl-PL"/>
        </w:rPr>
        <w:t xml:space="preserve"> </w:t>
      </w:r>
      <w:r w:rsidR="003B5EBC">
        <w:rPr>
          <w:rFonts w:ascii="Lucida Console" w:eastAsia="Times New Roman" w:hAnsi="Lucida Console" w:cs="Courier New"/>
          <w:color w:val="000000"/>
          <w:sz w:val="20"/>
          <w:szCs w:val="20"/>
          <w:shd w:val="clear" w:color="auto" w:fill="E1E2E5"/>
          <w:lang w:val="en-US" w:eastAsia="pl-PL"/>
        </w:rPr>
        <w:t xml:space="preserve">  </w:t>
      </w:r>
      <m:oMath>
        <m:r>
          <w:rPr>
            <w:rFonts w:ascii="Cambria Math" w:eastAsia="Times New Roman" w:hAnsi="Cambria Math" w:cs="Courier New"/>
            <w:color w:val="000000"/>
            <w:sz w:val="20"/>
            <w:szCs w:val="20"/>
            <w:shd w:val="clear" w:color="auto" w:fill="E1E2E5"/>
            <w:lang w:val="en-US" w:eastAsia="pl-PL"/>
          </w:rPr>
          <m:t>1-</m:t>
        </m:r>
        <m:r>
          <w:rPr>
            <w:rFonts w:ascii="Cambria Math" w:hAnsi="Cambria Math"/>
            <w:noProof/>
            <w:lang w:eastAsia="pl-PL"/>
          </w:rPr>
          <m:t>δ</m:t>
        </m:r>
      </m:oMath>
      <w:r w:rsidR="003B5EBC">
        <w:rPr>
          <w:rFonts w:ascii="Lucida Console" w:eastAsia="Times New Roman" w:hAnsi="Lucida Console" w:cs="Courier New"/>
          <w:color w:val="000000"/>
          <w:sz w:val="20"/>
          <w:szCs w:val="20"/>
          <w:shd w:val="clear" w:color="auto" w:fill="E1E2E5"/>
          <w:lang w:val="en-US" w:eastAsia="pl-PL"/>
        </w:rPr>
        <w:t xml:space="preserve">    </w:t>
      </w:r>
      <m:oMath>
        <m:r>
          <w:rPr>
            <w:rFonts w:ascii="Cambria Math" w:hAnsi="Cambria Math"/>
            <w:noProof/>
            <w:lang w:eastAsia="pl-PL"/>
          </w:rPr>
          <m:t>γ</m:t>
        </m:r>
      </m:oMath>
      <w:r w:rsidR="003B5EBC" w:rsidRPr="003B5EBC">
        <w:rPr>
          <w:rFonts w:ascii="Lucida Console" w:eastAsia="Times New Roman" w:hAnsi="Lucida Console" w:cs="Courier New"/>
          <w:lang w:val="en-US" w:eastAsia="pl-PL"/>
        </w:rPr>
        <w:t xml:space="preserve">     </w:t>
      </w:r>
      <w:r w:rsidR="003B5EBC">
        <w:rPr>
          <w:rFonts w:ascii="Lucida Console" w:eastAsia="Times New Roman" w:hAnsi="Lucida Console" w:cs="Courier New"/>
          <w:color w:val="000000"/>
          <w:sz w:val="20"/>
          <w:szCs w:val="20"/>
          <w:shd w:val="clear" w:color="auto" w:fill="E1E2E5"/>
          <w:lang w:val="en-US"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v</m:t>
            </m:r>
          </m:sub>
        </m:sSub>
      </m:oMath>
      <w:r w:rsidR="003B5EBC">
        <w:rPr>
          <w:rFonts w:ascii="Lucida Console" w:eastAsia="Times New Roman" w:hAnsi="Lucida Console" w:cs="Courier New"/>
          <w:color w:val="000000"/>
          <w:sz w:val="20"/>
          <w:szCs w:val="20"/>
          <w:shd w:val="clear" w:color="auto" w:fill="E1E2E5"/>
          <w:lang w:val="en-US" w:eastAsia="pl-PL"/>
        </w:rPr>
        <w:t xml:space="preserve">        </w:t>
      </w:r>
      <w:r w:rsidR="003B5EBC" w:rsidRPr="00C106A7">
        <w:rPr>
          <w:rFonts w:ascii="Lucida Console" w:eastAsia="Times New Roman" w:hAnsi="Lucida Console" w:cs="Courier New"/>
          <w:color w:val="000000"/>
          <w:sz w:val="20"/>
          <w:szCs w:val="20"/>
          <w:shd w:val="clear" w:color="auto" w:fill="E1E2E5"/>
          <w:lang w:val="en-US"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w</m:t>
            </m:r>
          </m:sub>
        </m:sSub>
      </m:oMath>
      <w:r w:rsidR="003B5EBC" w:rsidRPr="00C106A7">
        <w:rPr>
          <w:rFonts w:ascii="Lucida Console" w:eastAsia="Times New Roman" w:hAnsi="Lucida Console" w:cs="Courier New"/>
          <w:color w:val="000000"/>
          <w:sz w:val="20"/>
          <w:szCs w:val="20"/>
          <w:shd w:val="clear" w:color="auto" w:fill="E1E2E5"/>
          <w:lang w:val="en-US" w:eastAsia="pl-PL"/>
        </w:rPr>
        <w:t xml:space="preserve">      </w:t>
      </w:r>
      <m:oMath>
        <m:sSub>
          <m:sSubPr>
            <m:ctrlPr>
              <w:rPr>
                <w:rFonts w:ascii="Cambria Math" w:hAnsi="Cambria Math"/>
                <w:i/>
                <w:noProof/>
                <w:lang w:eastAsia="pl-PL"/>
              </w:rPr>
            </m:ctrlPr>
          </m:sSubPr>
          <m:e>
            <m:r>
              <w:rPr>
                <w:rFonts w:ascii="Cambria Math" w:hAnsi="Cambria Math"/>
                <w:noProof/>
                <w:lang w:eastAsia="pl-PL"/>
              </w:rPr>
              <m:t>σ</m:t>
            </m:r>
          </m:e>
          <m:sub>
            <m:r>
              <w:rPr>
                <w:rFonts w:ascii="Cambria Math" w:hAnsi="Cambria Math"/>
                <w:noProof/>
                <w:lang w:eastAsia="pl-PL"/>
              </w:rPr>
              <m:t>ϵ</m:t>
            </m:r>
          </m:sub>
        </m:sSub>
      </m:oMath>
      <w:r w:rsidR="003B5EBC" w:rsidRPr="00C106A7">
        <w:rPr>
          <w:rFonts w:ascii="Lucida Console" w:eastAsia="Times New Roman" w:hAnsi="Lucida Console" w:cs="Courier New"/>
          <w:color w:val="000000"/>
          <w:sz w:val="20"/>
          <w:szCs w:val="20"/>
          <w:shd w:val="clear" w:color="auto" w:fill="E1E2E5"/>
          <w:lang w:val="en-US" w:eastAsia="pl-PL"/>
        </w:rPr>
        <w:t xml:space="preserve"> </w:t>
      </w:r>
      <w:r w:rsidR="003B5EBC">
        <w:rPr>
          <w:rFonts w:ascii="Lucida Console" w:eastAsia="Times New Roman" w:hAnsi="Lucida Console" w:cs="Courier New"/>
          <w:color w:val="000000"/>
          <w:sz w:val="20"/>
          <w:szCs w:val="20"/>
          <w:shd w:val="clear" w:color="auto" w:fill="E1E2E5"/>
          <w:lang w:val="en-US" w:eastAsia="pl-PL"/>
        </w:rPr>
        <w:t xml:space="preserve">    </w:t>
      </w:r>
      <m:oMath>
        <m:r>
          <w:rPr>
            <w:rFonts w:ascii="Cambria Math" w:hAnsi="Cambria Math"/>
            <w:noProof/>
            <w:lang w:eastAsia="pl-PL"/>
          </w:rPr>
          <m:t>premium</m:t>
        </m:r>
      </m:oMath>
    </w:p>
    <w:p w14:paraId="27CE48EF" w14:textId="77777777" w:rsidR="003B5EBC" w:rsidRDefault="003B5EBC" w:rsidP="003B5EB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lang w:val="en-US"/>
        </w:rPr>
        <w:t>-</w:t>
      </w:r>
      <w:r w:rsidRPr="003B5EBC">
        <w:rPr>
          <w:rFonts w:ascii="Lucida Console" w:hAnsi="Lucida Console"/>
          <w:color w:val="000000"/>
          <w:shd w:val="clear" w:color="auto" w:fill="E1E2E5"/>
          <w:lang w:val="en-US"/>
        </w:rPr>
        <w:t xml:space="preserve"> 0.2801 0.343 0.656 </w:t>
      </w:r>
      <w:r>
        <w:rPr>
          <w:rFonts w:ascii="Lucida Console" w:hAnsi="Lucida Console"/>
          <w:color w:val="000000"/>
          <w:shd w:val="clear" w:color="auto" w:fill="E1E2E5"/>
          <w:lang w:val="en-US"/>
        </w:rPr>
        <w:t xml:space="preserve"> </w:t>
      </w:r>
      <w:r>
        <w:rPr>
          <w:rFonts w:ascii="Lucida Console" w:hAnsi="Lucida Console"/>
          <w:color w:val="000000"/>
          <w:shd w:val="clear" w:color="auto" w:fill="E1E2E5"/>
        </w:rPr>
        <w:t>0.974</w:t>
      </w:r>
      <w:r>
        <w:rPr>
          <w:rFonts w:ascii="Lucida Console" w:hAnsi="Lucida Console"/>
          <w:color w:val="000000"/>
          <w:shd w:val="clear" w:color="auto" w:fill="E1E2E5"/>
          <w:lang w:val="en-US"/>
        </w:rPr>
        <w:t xml:space="preserve">   </w:t>
      </w:r>
      <w:r w:rsidRPr="003B5EBC">
        <w:rPr>
          <w:rFonts w:ascii="Lucida Console" w:hAnsi="Lucida Console"/>
          <w:color w:val="000000"/>
          <w:shd w:val="clear" w:color="auto" w:fill="E1E2E5"/>
          <w:lang w:val="en-US"/>
        </w:rPr>
        <w:t>4.644748   0.012</w:t>
      </w:r>
      <w:r>
        <w:rPr>
          <w:rFonts w:ascii="Lucida Console" w:hAnsi="Lucida Console"/>
          <w:color w:val="000000"/>
          <w:shd w:val="clear" w:color="auto" w:fill="E1E2E5"/>
          <w:lang w:val="en-US"/>
        </w:rPr>
        <w:t xml:space="preserve">   </w:t>
      </w:r>
      <w:r>
        <w:rPr>
          <w:rFonts w:ascii="Lucida Console" w:hAnsi="Lucida Console"/>
          <w:color w:val="000000"/>
          <w:shd w:val="clear" w:color="auto" w:fill="E1E2E5"/>
        </w:rPr>
        <w:t>0.293</w:t>
      </w:r>
      <w:r>
        <w:rPr>
          <w:rFonts w:ascii="Lucida Console" w:hAnsi="Lucida Console"/>
          <w:color w:val="000000"/>
          <w:shd w:val="clear" w:color="auto" w:fill="E1E2E5"/>
        </w:rPr>
        <w:tab/>
        <w:t>0.400</w:t>
      </w:r>
    </w:p>
    <w:p w14:paraId="2FD0D104" w14:textId="77777777" w:rsidR="003B5EBC" w:rsidRPr="003B5EBC" w:rsidRDefault="003B5EBC" w:rsidP="003B5EBC">
      <w:pPr>
        <w:pStyle w:val="HTMLPreformatted"/>
        <w:wordWrap w:val="0"/>
        <w:rPr>
          <w:rFonts w:ascii="Lucida Console" w:hAnsi="Lucida Console"/>
          <w:color w:val="000000"/>
          <w:shd w:val="clear" w:color="auto" w:fill="E1E2E5"/>
          <w:lang w:val="en-US"/>
        </w:rPr>
      </w:pPr>
    </w:p>
    <w:p w14:paraId="78EF5846" w14:textId="77777777" w:rsidR="003B5EBC" w:rsidRPr="003B5EBC" w:rsidRDefault="003B5EBC" w:rsidP="003B5EBC">
      <w:pPr>
        <w:pStyle w:val="HTMLPreformatted"/>
        <w:wordWrap w:val="0"/>
        <w:rPr>
          <w:rFonts w:ascii="Lucida Console" w:hAnsi="Lucida Console"/>
          <w:color w:val="000000"/>
          <w:shd w:val="clear" w:color="auto" w:fill="E1E2E5"/>
          <w:lang w:val="en-US"/>
        </w:rPr>
      </w:pPr>
    </w:p>
    <w:p w14:paraId="111A5CC2" w14:textId="77777777" w:rsidR="00637E5E" w:rsidRDefault="00D96768" w:rsidP="00637E5E">
      <w:pPr>
        <w:pStyle w:val="HTMLPreformatted"/>
        <w:keepNext/>
        <w:wordWrap w:val="0"/>
      </w:pPr>
      <w:r>
        <w:rPr>
          <w:noProof/>
          <w:lang w:val="en-US" w:eastAsia="en-US"/>
        </w:rPr>
        <w:drawing>
          <wp:inline distT="0" distB="0" distL="0" distR="0" wp14:anchorId="532A48A2" wp14:editId="18315F52">
            <wp:extent cx="5760720" cy="3161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61030"/>
                    </a:xfrm>
                    <a:prstGeom prst="rect">
                      <a:avLst/>
                    </a:prstGeom>
                  </pic:spPr>
                </pic:pic>
              </a:graphicData>
            </a:graphic>
          </wp:inline>
        </w:drawing>
      </w:r>
    </w:p>
    <w:p w14:paraId="3B654489" w14:textId="77777777" w:rsidR="003B5EBC" w:rsidRDefault="00637E5E" w:rsidP="00637E5E">
      <w:pPr>
        <w:pStyle w:val="Caption"/>
      </w:pPr>
      <w:r>
        <w:t xml:space="preserve">Rysunek </w:t>
      </w:r>
      <w:r w:rsidR="008E7B40">
        <w:fldChar w:fldCharType="begin"/>
      </w:r>
      <w:r w:rsidR="008E7B40">
        <w:instrText xml:space="preserve"> SEQ Rysunek \* ARABIC </w:instrText>
      </w:r>
      <w:r w:rsidR="008E7B40">
        <w:fldChar w:fldCharType="separate"/>
      </w:r>
      <w:r>
        <w:rPr>
          <w:noProof/>
        </w:rPr>
        <w:t>12</w:t>
      </w:r>
      <w:r w:rsidR="008E7B40">
        <w:rPr>
          <w:noProof/>
        </w:rPr>
        <w:fldChar w:fldCharType="end"/>
      </w:r>
      <w:r>
        <w:t xml:space="preserve">  Różnica Stopa nieinterwencyjna z modelu-Stopa referencyjna NBP wraz z 95% przedziałami ufności.. W kształcie rysunek przypomina rysunek 11, natomiast wartości są znacząco większe.</w:t>
      </w:r>
    </w:p>
    <w:p w14:paraId="37030F3E" w14:textId="77777777" w:rsidR="00637E5E" w:rsidRPr="00637E5E" w:rsidRDefault="00637E5E" w:rsidP="00637E5E">
      <w:r>
        <w:t xml:space="preserve">Wyniki z obu modeli pomagają ocenić </w:t>
      </w:r>
      <w:r w:rsidR="004B65B0">
        <w:t xml:space="preserve">politykę stopy procentowej </w:t>
      </w:r>
      <w:r>
        <w:t>NBP</w:t>
      </w:r>
      <w:r w:rsidR="004B65B0">
        <w:t>. W latach 2008-2009 NBP utrzymywało stopę poniżej stop</w:t>
      </w:r>
      <w:r w:rsidR="00482842">
        <w:t>y nieinterwencyjnej, później 20</w:t>
      </w:r>
      <w:r w:rsidR="004B65B0">
        <w:t xml:space="preserve">10-2011 stopy referencyjne były blisko stopy nieinterwencyjnej oraz po 2011 stopy NBP były powyżej wyestymowanej stopy. Mając te wyniki można szukać reguł decyzyjnych ala </w:t>
      </w:r>
      <w:r w:rsidR="00113AA6">
        <w:t>Taylor, które</w:t>
      </w:r>
      <w:r w:rsidR="004B65B0">
        <w:t xml:space="preserve"> będą niezależne od problemu z popytem na pieniądz. Estymację pokazują także że </w:t>
      </w:r>
      <w:r w:rsidR="00113AA6">
        <w:t>ok. 35 % zmian</w:t>
      </w:r>
      <w:r w:rsidR="004B65B0">
        <w:t xml:space="preserve"> WIBOR3M jest podyk</w:t>
      </w:r>
      <w:bookmarkStart w:id="2" w:name="_GoBack"/>
      <w:bookmarkEnd w:id="2"/>
      <w:r w:rsidR="004B65B0">
        <w:t xml:space="preserve">towane zmianami w rozkładzie </w:t>
      </w:r>
      <w:r w:rsidR="00CE1DB4">
        <w:t xml:space="preserve">dostępnych inwestycji, a 65% poziomem stopy referencyjnej. Wyniki ostatniego Modelu dają znaczącą siłę Bankowi centralnemu we wpływaniu na stopy międzybankowe, </w:t>
      </w:r>
      <w:r w:rsidR="00113AA6">
        <w:t>siłę, która</w:t>
      </w:r>
      <w:r w:rsidR="00CE1DB4">
        <w:t xml:space="preserve"> BC jednak wykorzystuje.</w:t>
      </w:r>
    </w:p>
    <w:sectPr w:rsidR="00637E5E" w:rsidRPr="00637E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taszek" w:date="2016-01-12T19:12:00Z" w:initials="p">
    <w:p w14:paraId="0D2DEFCB" w14:textId="77777777" w:rsidR="00A26CD0" w:rsidRDefault="00A26CD0">
      <w:pPr>
        <w:pStyle w:val="CommentText"/>
      </w:pPr>
      <w:r>
        <w:rPr>
          <w:rStyle w:val="CommentReference"/>
        </w:rPr>
        <w:annotationRef/>
      </w:r>
      <w:r>
        <w:t>Przeformuj nie zmienia wpływu na sektor finansowy</w:t>
      </w:r>
    </w:p>
  </w:comment>
  <w:comment w:id="1" w:author="ptaszek" w:date="2016-01-12T19:29:00Z" w:initials="p">
    <w:p w14:paraId="3654EA5B" w14:textId="77777777" w:rsidR="00482842" w:rsidRDefault="00482842">
      <w:pPr>
        <w:pStyle w:val="CommentText"/>
      </w:pPr>
      <w:r>
        <w:rPr>
          <w:rStyle w:val="CommentReference"/>
        </w:rPr>
        <w:annotationRef/>
      </w:r>
      <w:r>
        <w:t xml:space="preserve"> Struktura terminowa  polskich stóp poszukaj</w:t>
      </w:r>
    </w:p>
    <w:p w14:paraId="72AF73F5" w14:textId="77777777" w:rsidR="00482842" w:rsidRDefault="0048284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DEFCB" w15:done="0"/>
  <w15:commentEx w15:paraId="72AF73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7AF25" w14:textId="77777777" w:rsidR="008E7B40" w:rsidRDefault="008E7B40" w:rsidP="00C232C3">
      <w:pPr>
        <w:spacing w:after="0" w:line="240" w:lineRule="auto"/>
      </w:pPr>
      <w:r>
        <w:separator/>
      </w:r>
    </w:p>
  </w:endnote>
  <w:endnote w:type="continuationSeparator" w:id="0">
    <w:p w14:paraId="5196D200" w14:textId="77777777" w:rsidR="008E7B40" w:rsidRDefault="008E7B40" w:rsidP="00C2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0E5FD" w14:textId="77777777" w:rsidR="008E7B40" w:rsidRDefault="008E7B40" w:rsidP="00C232C3">
      <w:pPr>
        <w:spacing w:after="0" w:line="240" w:lineRule="auto"/>
      </w:pPr>
      <w:r>
        <w:separator/>
      </w:r>
    </w:p>
  </w:footnote>
  <w:footnote w:type="continuationSeparator" w:id="0">
    <w:p w14:paraId="79B1C85A" w14:textId="77777777" w:rsidR="008E7B40" w:rsidRDefault="008E7B40" w:rsidP="00C232C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aszek">
    <w15:presenceInfo w15:providerId="None" w15:userId="ptasz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C5"/>
    <w:rsid w:val="000D665F"/>
    <w:rsid w:val="000F6A0F"/>
    <w:rsid w:val="00113AA6"/>
    <w:rsid w:val="001337E4"/>
    <w:rsid w:val="001548BC"/>
    <w:rsid w:val="001E7F1F"/>
    <w:rsid w:val="00290246"/>
    <w:rsid w:val="002F0D5F"/>
    <w:rsid w:val="003159CB"/>
    <w:rsid w:val="00343E0F"/>
    <w:rsid w:val="00371E07"/>
    <w:rsid w:val="003B5EBC"/>
    <w:rsid w:val="004430C8"/>
    <w:rsid w:val="00482842"/>
    <w:rsid w:val="00487B94"/>
    <w:rsid w:val="004B65B0"/>
    <w:rsid w:val="004C1666"/>
    <w:rsid w:val="004D6A14"/>
    <w:rsid w:val="004F30A9"/>
    <w:rsid w:val="005A11A2"/>
    <w:rsid w:val="005D5140"/>
    <w:rsid w:val="005F2F78"/>
    <w:rsid w:val="00607618"/>
    <w:rsid w:val="006302D5"/>
    <w:rsid w:val="00637E5E"/>
    <w:rsid w:val="00646310"/>
    <w:rsid w:val="00672156"/>
    <w:rsid w:val="00705C50"/>
    <w:rsid w:val="0074352F"/>
    <w:rsid w:val="00743E42"/>
    <w:rsid w:val="007475B7"/>
    <w:rsid w:val="00813409"/>
    <w:rsid w:val="00866227"/>
    <w:rsid w:val="00886CD6"/>
    <w:rsid w:val="00896B15"/>
    <w:rsid w:val="008D401A"/>
    <w:rsid w:val="008E7B40"/>
    <w:rsid w:val="009618F0"/>
    <w:rsid w:val="00974ECF"/>
    <w:rsid w:val="009E4343"/>
    <w:rsid w:val="00A1236F"/>
    <w:rsid w:val="00A26CD0"/>
    <w:rsid w:val="00A37106"/>
    <w:rsid w:val="00A4421F"/>
    <w:rsid w:val="00A710A3"/>
    <w:rsid w:val="00B13185"/>
    <w:rsid w:val="00B17C8D"/>
    <w:rsid w:val="00B34DDD"/>
    <w:rsid w:val="00B80F18"/>
    <w:rsid w:val="00BB24F4"/>
    <w:rsid w:val="00BC5132"/>
    <w:rsid w:val="00C106A7"/>
    <w:rsid w:val="00C232C3"/>
    <w:rsid w:val="00C91FDF"/>
    <w:rsid w:val="00CE1DB4"/>
    <w:rsid w:val="00D01FD6"/>
    <w:rsid w:val="00D25D00"/>
    <w:rsid w:val="00D41D7D"/>
    <w:rsid w:val="00D63F7B"/>
    <w:rsid w:val="00D84A55"/>
    <w:rsid w:val="00D96768"/>
    <w:rsid w:val="00DB0FCE"/>
    <w:rsid w:val="00DF4120"/>
    <w:rsid w:val="00E01AC5"/>
    <w:rsid w:val="00E07CF3"/>
    <w:rsid w:val="00E25A44"/>
    <w:rsid w:val="00E3161D"/>
    <w:rsid w:val="00E339D3"/>
    <w:rsid w:val="00E81F29"/>
    <w:rsid w:val="00F176B4"/>
    <w:rsid w:val="00FE15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80C5"/>
  <w15:chartTrackingRefBased/>
  <w15:docId w15:val="{D88D3847-9133-4046-82D7-367ACC93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FD6"/>
    <w:rPr>
      <w:color w:val="808080"/>
    </w:rPr>
  </w:style>
  <w:style w:type="paragraph" w:styleId="Caption">
    <w:name w:val="caption"/>
    <w:basedOn w:val="Normal"/>
    <w:next w:val="Normal"/>
    <w:uiPriority w:val="35"/>
    <w:unhideWhenUsed/>
    <w:qFormat/>
    <w:rsid w:val="00886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32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2C3"/>
  </w:style>
  <w:style w:type="paragraph" w:styleId="Footer">
    <w:name w:val="footer"/>
    <w:basedOn w:val="Normal"/>
    <w:link w:val="FooterChar"/>
    <w:uiPriority w:val="99"/>
    <w:unhideWhenUsed/>
    <w:rsid w:val="00C232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2C3"/>
  </w:style>
  <w:style w:type="paragraph" w:styleId="EndnoteText">
    <w:name w:val="endnote text"/>
    <w:basedOn w:val="Normal"/>
    <w:link w:val="EndnoteTextChar"/>
    <w:uiPriority w:val="99"/>
    <w:semiHidden/>
    <w:unhideWhenUsed/>
    <w:rsid w:val="00896B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15"/>
    <w:rPr>
      <w:sz w:val="20"/>
      <w:szCs w:val="20"/>
    </w:rPr>
  </w:style>
  <w:style w:type="character" w:styleId="EndnoteReference">
    <w:name w:val="endnote reference"/>
    <w:basedOn w:val="DefaultParagraphFont"/>
    <w:uiPriority w:val="99"/>
    <w:semiHidden/>
    <w:unhideWhenUsed/>
    <w:rsid w:val="00896B15"/>
    <w:rPr>
      <w:vertAlign w:val="superscript"/>
    </w:rPr>
  </w:style>
  <w:style w:type="paragraph" w:styleId="HTMLPreformatted">
    <w:name w:val="HTML Preformatted"/>
    <w:basedOn w:val="Normal"/>
    <w:link w:val="HTMLPreformattedChar"/>
    <w:uiPriority w:val="99"/>
    <w:unhideWhenUsed/>
    <w:rsid w:val="00C1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C106A7"/>
    <w:rPr>
      <w:rFonts w:ascii="Courier New" w:eastAsia="Times New Roman" w:hAnsi="Courier New" w:cs="Courier New"/>
      <w:sz w:val="20"/>
      <w:szCs w:val="20"/>
      <w:lang w:eastAsia="pl-PL"/>
    </w:rPr>
  </w:style>
  <w:style w:type="character" w:styleId="CommentReference">
    <w:name w:val="annotation reference"/>
    <w:basedOn w:val="DefaultParagraphFont"/>
    <w:uiPriority w:val="99"/>
    <w:semiHidden/>
    <w:unhideWhenUsed/>
    <w:rsid w:val="00A26CD0"/>
    <w:rPr>
      <w:sz w:val="16"/>
      <w:szCs w:val="16"/>
    </w:rPr>
  </w:style>
  <w:style w:type="paragraph" w:styleId="CommentText">
    <w:name w:val="annotation text"/>
    <w:basedOn w:val="Normal"/>
    <w:link w:val="CommentTextChar"/>
    <w:uiPriority w:val="99"/>
    <w:semiHidden/>
    <w:unhideWhenUsed/>
    <w:rsid w:val="00A26CD0"/>
    <w:pPr>
      <w:spacing w:line="240" w:lineRule="auto"/>
    </w:pPr>
    <w:rPr>
      <w:sz w:val="20"/>
      <w:szCs w:val="20"/>
    </w:rPr>
  </w:style>
  <w:style w:type="character" w:customStyle="1" w:styleId="CommentTextChar">
    <w:name w:val="Comment Text Char"/>
    <w:basedOn w:val="DefaultParagraphFont"/>
    <w:link w:val="CommentText"/>
    <w:uiPriority w:val="99"/>
    <w:semiHidden/>
    <w:rsid w:val="00A26CD0"/>
    <w:rPr>
      <w:sz w:val="20"/>
      <w:szCs w:val="20"/>
    </w:rPr>
  </w:style>
  <w:style w:type="paragraph" w:styleId="CommentSubject">
    <w:name w:val="annotation subject"/>
    <w:basedOn w:val="CommentText"/>
    <w:next w:val="CommentText"/>
    <w:link w:val="CommentSubjectChar"/>
    <w:uiPriority w:val="99"/>
    <w:semiHidden/>
    <w:unhideWhenUsed/>
    <w:rsid w:val="00A26CD0"/>
    <w:rPr>
      <w:b/>
      <w:bCs/>
    </w:rPr>
  </w:style>
  <w:style w:type="character" w:customStyle="1" w:styleId="CommentSubjectChar">
    <w:name w:val="Comment Subject Char"/>
    <w:basedOn w:val="CommentTextChar"/>
    <w:link w:val="CommentSubject"/>
    <w:uiPriority w:val="99"/>
    <w:semiHidden/>
    <w:rsid w:val="00A26CD0"/>
    <w:rPr>
      <w:b/>
      <w:bCs/>
      <w:sz w:val="20"/>
      <w:szCs w:val="20"/>
    </w:rPr>
  </w:style>
  <w:style w:type="paragraph" w:styleId="BalloonText">
    <w:name w:val="Balloon Text"/>
    <w:basedOn w:val="Normal"/>
    <w:link w:val="BalloonTextChar"/>
    <w:uiPriority w:val="99"/>
    <w:semiHidden/>
    <w:unhideWhenUsed/>
    <w:rsid w:val="00A2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C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828">
      <w:bodyDiv w:val="1"/>
      <w:marLeft w:val="0"/>
      <w:marRight w:val="0"/>
      <w:marTop w:val="0"/>
      <w:marBottom w:val="0"/>
      <w:divBdr>
        <w:top w:val="none" w:sz="0" w:space="0" w:color="auto"/>
        <w:left w:val="none" w:sz="0" w:space="0" w:color="auto"/>
        <w:bottom w:val="none" w:sz="0" w:space="0" w:color="auto"/>
        <w:right w:val="none" w:sz="0" w:space="0" w:color="auto"/>
      </w:divBdr>
    </w:div>
    <w:div w:id="191380834">
      <w:bodyDiv w:val="1"/>
      <w:marLeft w:val="0"/>
      <w:marRight w:val="0"/>
      <w:marTop w:val="0"/>
      <w:marBottom w:val="0"/>
      <w:divBdr>
        <w:top w:val="none" w:sz="0" w:space="0" w:color="auto"/>
        <w:left w:val="none" w:sz="0" w:space="0" w:color="auto"/>
        <w:bottom w:val="none" w:sz="0" w:space="0" w:color="auto"/>
        <w:right w:val="none" w:sz="0" w:space="0" w:color="auto"/>
      </w:divBdr>
    </w:div>
    <w:div w:id="519972985">
      <w:bodyDiv w:val="1"/>
      <w:marLeft w:val="0"/>
      <w:marRight w:val="0"/>
      <w:marTop w:val="0"/>
      <w:marBottom w:val="0"/>
      <w:divBdr>
        <w:top w:val="none" w:sz="0" w:space="0" w:color="auto"/>
        <w:left w:val="none" w:sz="0" w:space="0" w:color="auto"/>
        <w:bottom w:val="none" w:sz="0" w:space="0" w:color="auto"/>
        <w:right w:val="none" w:sz="0" w:space="0" w:color="auto"/>
      </w:divBdr>
    </w:div>
    <w:div w:id="521214021">
      <w:bodyDiv w:val="1"/>
      <w:marLeft w:val="0"/>
      <w:marRight w:val="0"/>
      <w:marTop w:val="0"/>
      <w:marBottom w:val="0"/>
      <w:divBdr>
        <w:top w:val="none" w:sz="0" w:space="0" w:color="auto"/>
        <w:left w:val="none" w:sz="0" w:space="0" w:color="auto"/>
        <w:bottom w:val="none" w:sz="0" w:space="0" w:color="auto"/>
        <w:right w:val="none" w:sz="0" w:space="0" w:color="auto"/>
      </w:divBdr>
    </w:div>
    <w:div w:id="702753453">
      <w:bodyDiv w:val="1"/>
      <w:marLeft w:val="0"/>
      <w:marRight w:val="0"/>
      <w:marTop w:val="0"/>
      <w:marBottom w:val="0"/>
      <w:divBdr>
        <w:top w:val="none" w:sz="0" w:space="0" w:color="auto"/>
        <w:left w:val="none" w:sz="0" w:space="0" w:color="auto"/>
        <w:bottom w:val="none" w:sz="0" w:space="0" w:color="auto"/>
        <w:right w:val="none" w:sz="0" w:space="0" w:color="auto"/>
      </w:divBdr>
    </w:div>
    <w:div w:id="963654986">
      <w:bodyDiv w:val="1"/>
      <w:marLeft w:val="0"/>
      <w:marRight w:val="0"/>
      <w:marTop w:val="0"/>
      <w:marBottom w:val="0"/>
      <w:divBdr>
        <w:top w:val="none" w:sz="0" w:space="0" w:color="auto"/>
        <w:left w:val="none" w:sz="0" w:space="0" w:color="auto"/>
        <w:bottom w:val="none" w:sz="0" w:space="0" w:color="auto"/>
        <w:right w:val="none" w:sz="0" w:space="0" w:color="auto"/>
      </w:divBdr>
    </w:div>
    <w:div w:id="988635227">
      <w:bodyDiv w:val="1"/>
      <w:marLeft w:val="0"/>
      <w:marRight w:val="0"/>
      <w:marTop w:val="0"/>
      <w:marBottom w:val="0"/>
      <w:divBdr>
        <w:top w:val="none" w:sz="0" w:space="0" w:color="auto"/>
        <w:left w:val="none" w:sz="0" w:space="0" w:color="auto"/>
        <w:bottom w:val="none" w:sz="0" w:space="0" w:color="auto"/>
        <w:right w:val="none" w:sz="0" w:space="0" w:color="auto"/>
      </w:divBdr>
      <w:divsChild>
        <w:div w:id="108161374">
          <w:marLeft w:val="0"/>
          <w:marRight w:val="0"/>
          <w:marTop w:val="0"/>
          <w:marBottom w:val="0"/>
          <w:divBdr>
            <w:top w:val="none" w:sz="0" w:space="0" w:color="auto"/>
            <w:left w:val="none" w:sz="0" w:space="0" w:color="auto"/>
            <w:bottom w:val="none" w:sz="0" w:space="0" w:color="auto"/>
            <w:right w:val="none" w:sz="0" w:space="0" w:color="auto"/>
          </w:divBdr>
        </w:div>
        <w:div w:id="433670714">
          <w:marLeft w:val="0"/>
          <w:marRight w:val="0"/>
          <w:marTop w:val="0"/>
          <w:marBottom w:val="0"/>
          <w:divBdr>
            <w:top w:val="none" w:sz="0" w:space="0" w:color="auto"/>
            <w:left w:val="none" w:sz="0" w:space="0" w:color="auto"/>
            <w:bottom w:val="none" w:sz="0" w:space="0" w:color="auto"/>
            <w:right w:val="none" w:sz="0" w:space="0" w:color="auto"/>
          </w:divBdr>
        </w:div>
        <w:div w:id="758869622">
          <w:marLeft w:val="0"/>
          <w:marRight w:val="0"/>
          <w:marTop w:val="0"/>
          <w:marBottom w:val="0"/>
          <w:divBdr>
            <w:top w:val="none" w:sz="0" w:space="0" w:color="auto"/>
            <w:left w:val="none" w:sz="0" w:space="0" w:color="auto"/>
            <w:bottom w:val="none" w:sz="0" w:space="0" w:color="auto"/>
            <w:right w:val="none" w:sz="0" w:space="0" w:color="auto"/>
          </w:divBdr>
        </w:div>
        <w:div w:id="1069573358">
          <w:marLeft w:val="0"/>
          <w:marRight w:val="0"/>
          <w:marTop w:val="0"/>
          <w:marBottom w:val="0"/>
          <w:divBdr>
            <w:top w:val="none" w:sz="0" w:space="0" w:color="auto"/>
            <w:left w:val="none" w:sz="0" w:space="0" w:color="auto"/>
            <w:bottom w:val="none" w:sz="0" w:space="0" w:color="auto"/>
            <w:right w:val="none" w:sz="0" w:space="0" w:color="auto"/>
          </w:divBdr>
        </w:div>
        <w:div w:id="1074277970">
          <w:marLeft w:val="0"/>
          <w:marRight w:val="0"/>
          <w:marTop w:val="0"/>
          <w:marBottom w:val="0"/>
          <w:divBdr>
            <w:top w:val="none" w:sz="0" w:space="0" w:color="auto"/>
            <w:left w:val="none" w:sz="0" w:space="0" w:color="auto"/>
            <w:bottom w:val="none" w:sz="0" w:space="0" w:color="auto"/>
            <w:right w:val="none" w:sz="0" w:space="0" w:color="auto"/>
          </w:divBdr>
        </w:div>
        <w:div w:id="1100179778">
          <w:marLeft w:val="0"/>
          <w:marRight w:val="0"/>
          <w:marTop w:val="0"/>
          <w:marBottom w:val="0"/>
          <w:divBdr>
            <w:top w:val="none" w:sz="0" w:space="0" w:color="auto"/>
            <w:left w:val="none" w:sz="0" w:space="0" w:color="auto"/>
            <w:bottom w:val="none" w:sz="0" w:space="0" w:color="auto"/>
            <w:right w:val="none" w:sz="0" w:space="0" w:color="auto"/>
          </w:divBdr>
        </w:div>
        <w:div w:id="1388259589">
          <w:marLeft w:val="0"/>
          <w:marRight w:val="0"/>
          <w:marTop w:val="0"/>
          <w:marBottom w:val="0"/>
          <w:divBdr>
            <w:top w:val="none" w:sz="0" w:space="0" w:color="auto"/>
            <w:left w:val="none" w:sz="0" w:space="0" w:color="auto"/>
            <w:bottom w:val="none" w:sz="0" w:space="0" w:color="auto"/>
            <w:right w:val="none" w:sz="0" w:space="0" w:color="auto"/>
          </w:divBdr>
        </w:div>
        <w:div w:id="1629898104">
          <w:marLeft w:val="0"/>
          <w:marRight w:val="0"/>
          <w:marTop w:val="0"/>
          <w:marBottom w:val="0"/>
          <w:divBdr>
            <w:top w:val="none" w:sz="0" w:space="0" w:color="auto"/>
            <w:left w:val="none" w:sz="0" w:space="0" w:color="auto"/>
            <w:bottom w:val="none" w:sz="0" w:space="0" w:color="auto"/>
            <w:right w:val="none" w:sz="0" w:space="0" w:color="auto"/>
          </w:divBdr>
        </w:div>
        <w:div w:id="1635254975">
          <w:marLeft w:val="0"/>
          <w:marRight w:val="0"/>
          <w:marTop w:val="0"/>
          <w:marBottom w:val="0"/>
          <w:divBdr>
            <w:top w:val="none" w:sz="0" w:space="0" w:color="auto"/>
            <w:left w:val="none" w:sz="0" w:space="0" w:color="auto"/>
            <w:bottom w:val="none" w:sz="0" w:space="0" w:color="auto"/>
            <w:right w:val="none" w:sz="0" w:space="0" w:color="auto"/>
          </w:divBdr>
        </w:div>
      </w:divsChild>
    </w:div>
    <w:div w:id="1285043818">
      <w:bodyDiv w:val="1"/>
      <w:marLeft w:val="0"/>
      <w:marRight w:val="0"/>
      <w:marTop w:val="0"/>
      <w:marBottom w:val="0"/>
      <w:divBdr>
        <w:top w:val="none" w:sz="0" w:space="0" w:color="auto"/>
        <w:left w:val="none" w:sz="0" w:space="0" w:color="auto"/>
        <w:bottom w:val="none" w:sz="0" w:space="0" w:color="auto"/>
        <w:right w:val="none" w:sz="0" w:space="0" w:color="auto"/>
      </w:divBdr>
    </w:div>
    <w:div w:id="13421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57114-C7EC-4CE4-A114-CCECEBAA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ptaszek</dc:creator>
  <cp:keywords/>
  <dc:description/>
  <cp:lastModifiedBy>Karol Partyka</cp:lastModifiedBy>
  <cp:revision>2</cp:revision>
  <dcterms:created xsi:type="dcterms:W3CDTF">2018-01-07T13:19:00Z</dcterms:created>
  <dcterms:modified xsi:type="dcterms:W3CDTF">2018-01-07T13:19:00Z</dcterms:modified>
</cp:coreProperties>
</file>