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3.2.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Participant Characteristics by Wave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4"/>
        <w:gridCol w:w="1719"/>
        <w:gridCol w:w="1597"/>
        <w:gridCol w:w="1842"/>
        <w:gridCol w:w="1842"/>
        <w:gridCol w:w="1597"/>
        <w:gridCol w:w="1597"/>
        <w:gridCol w:w="1842"/>
        <w:gridCol w:w="1842"/>
        <w:gridCol w:w="1842"/>
        <w:gridCol w:w="1597"/>
        <w:gridCol w:w="1842"/>
        <w:gridCol w:w="1842"/>
        <w:gridCol w:w="1842"/>
        <w:gridCol w:w="1842"/>
        <w:gridCol w:w="1842"/>
        <w:gridCol w:w="1842"/>
      </w:tblGrid>
      <w:tr>
        <w:trPr>
          <w:trHeight w:val="42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Montréal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Saskatoon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Vancouver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Victoria</w:t>
            </w:r>
          </w:p>
        </w:tc>
      </w:tr>
      <w:tr>
        <w:trPr>
          <w:trHeight w:val="59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1,153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599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535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914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315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265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318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339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333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300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226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360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281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284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260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352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101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133 (38%)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785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324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233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207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143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 (57%)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Genderqueer/Gender non-conforming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 (3.1%)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Different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(1.1%)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 (33, 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 (35, 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 (36, 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 (38, 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 (21, 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 (26, 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 (27, 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 (28,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 (48, 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 (45, 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 (39, 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 (37, 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 (33, 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(36,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(37, 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 (40, 63)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Ethnic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African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Asian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 (6.0%)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European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1,056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491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816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216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218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253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250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233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306 (87%)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Latin, Central and South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(1.4%)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(1.7%)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Other ethnic and cultural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 (3.4%)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Annual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Between $50,000 and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111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 (28%)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Less than $50,000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125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 (13%)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More than $100,000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400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121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209 (59%)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MVPA minutes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210 (45, 450)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 (0, 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285 (120, 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360 (180, 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 (0, 360)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 (0, 345)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240 (120, 480)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300 (120, 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330 (100, 585)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180 (0, 410)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420 (225, 720)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440 (225, 765)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510 (300, 900)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460 (300, 840)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410 (205, 720)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540 (360, 900)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Walking and Cycling (frequency past 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805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619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262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198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251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175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297 (84%)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Active Living Environment (ALE) index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218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 (28%)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 (25%)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(21%)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 (16%)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Transit stops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113 (32%)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 (28%)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73 (21%)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 (17%)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412 (36%)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258 (43%)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217 (41%)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437 (48%)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(0.3%)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(0.9%)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(3.9%)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 (2.5%)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(1.4%)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(1.9%)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(1.7%)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 (%);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patysalazar</cp:lastModifiedBy>
  <cp:revision>9</cp:revision>
  <dcterms:created xsi:type="dcterms:W3CDTF">2017-02-28T11:18:00Z</dcterms:created>
  <dcterms:modified xsi:type="dcterms:W3CDTF">2026-07-15T21:34:32Z</dcterms:modified>
  <cp:category/>
</cp:coreProperties>
</file>