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DA940" w14:textId="77777777" w:rsidR="009E72D8" w:rsidRPr="00490352" w:rsidRDefault="009E72D8" w:rsidP="009E72D8">
      <w:pPr>
        <w:spacing w:afterLines="40" w:after="96"/>
        <w:rPr>
          <w:rFonts w:ascii="Georgia" w:hAnsi="Georgia"/>
        </w:rPr>
      </w:pPr>
    </w:p>
    <w:p w14:paraId="4852B81E" w14:textId="77777777" w:rsidR="009E72D8" w:rsidRPr="005D0667" w:rsidRDefault="009E72D8" w:rsidP="009E72D8">
      <w:pPr>
        <w:spacing w:afterLines="40" w:after="96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Operators</w:t>
      </w:r>
    </w:p>
    <w:p w14:paraId="286E35C2" w14:textId="77777777" w:rsidR="004C2926" w:rsidRPr="005D0667" w:rsidRDefault="004C2926" w:rsidP="009E72D8">
      <w:pPr>
        <w:spacing w:afterLines="40" w:after="96" w:line="360" w:lineRule="auto"/>
        <w:rPr>
          <w:rFonts w:ascii="Georgia" w:hAnsi="Georgia"/>
        </w:rPr>
      </w:pPr>
      <w:r w:rsidRPr="004C2926">
        <w:rPr>
          <w:rFonts w:ascii="Georgia" w:hAnsi="Georgia"/>
        </w:rPr>
        <w:t>This chapter covers in detail implementing your own </w:t>
      </w:r>
      <w:r w:rsidRPr="004C2926">
        <w:rPr>
          <w:rFonts w:ascii="Georgia" w:hAnsi="Georgia"/>
          <w:i/>
        </w:rPr>
        <w:t>operators</w:t>
      </w:r>
      <w:r w:rsidRPr="004C2926">
        <w:rPr>
          <w:rFonts w:ascii="Georgia" w:hAnsi="Georgia"/>
        </w:rPr>
        <w:t>—methods with the same syntax as the familiar mathematical operators. Operators are often used to build </w:t>
      </w:r>
      <w:r w:rsidRPr="004C2926">
        <w:rPr>
          <w:rFonts w:ascii="Georgia" w:hAnsi="Georgia"/>
          <w:i/>
        </w:rPr>
        <w:t>domain-specific languages</w:t>
      </w:r>
      <w:r w:rsidRPr="004C2926">
        <w:rPr>
          <w:rFonts w:ascii="Georgia" w:hAnsi="Georgia"/>
        </w:rPr>
        <w:t>—minilanguages embedded inside Scala. </w:t>
      </w:r>
      <w:r w:rsidRPr="004C2926">
        <w:rPr>
          <w:rFonts w:ascii="Georgia" w:hAnsi="Georgia"/>
          <w:i/>
        </w:rPr>
        <w:t>Implicit conversions</w:t>
      </w:r>
      <w:r w:rsidRPr="004C2926">
        <w:rPr>
          <w:rFonts w:ascii="Georgia" w:hAnsi="Georgia"/>
        </w:rPr>
        <w:t> (type conversion functions that are applied automatically) are another tool facilitating the creation of domain-specific languages. This chapter also discusses the special methods </w:t>
      </w:r>
      <w:r w:rsidRPr="004C2926">
        <w:rPr>
          <w:rFonts w:ascii="Courier New" w:hAnsi="Courier New" w:cs="Courier New"/>
          <w:sz w:val="20"/>
        </w:rPr>
        <w:t>apply</w:t>
      </w:r>
      <w:r w:rsidRPr="004C2926">
        <w:rPr>
          <w:rFonts w:ascii="Georgia" w:hAnsi="Georgia"/>
        </w:rPr>
        <w:t>, </w:t>
      </w:r>
      <w:r w:rsidRPr="004C2926">
        <w:rPr>
          <w:rFonts w:ascii="Courier New" w:hAnsi="Courier New" w:cs="Courier New"/>
          <w:sz w:val="20"/>
        </w:rPr>
        <w:t>update</w:t>
      </w:r>
      <w:r w:rsidRPr="004C2926">
        <w:rPr>
          <w:rFonts w:ascii="Georgia" w:hAnsi="Georgia"/>
        </w:rPr>
        <w:t>, and </w:t>
      </w:r>
      <w:r w:rsidRPr="004C2926">
        <w:rPr>
          <w:rFonts w:ascii="Courier New" w:hAnsi="Courier New" w:cs="Courier New"/>
          <w:sz w:val="20"/>
        </w:rPr>
        <w:t>unapply</w:t>
      </w:r>
      <w:r w:rsidRPr="004C2926">
        <w:rPr>
          <w:rFonts w:ascii="Georgia" w:hAnsi="Georgia"/>
        </w:rPr>
        <w:t>. We end the chapter with a discussion of </w:t>
      </w:r>
      <w:r w:rsidRPr="004C2926">
        <w:rPr>
          <w:rFonts w:ascii="Georgia" w:hAnsi="Georgia"/>
          <w:i/>
        </w:rPr>
        <w:t>dynamic invocations</w:t>
      </w:r>
      <w:r w:rsidRPr="004C2926">
        <w:rPr>
          <w:rFonts w:ascii="Georgia" w:hAnsi="Georgia"/>
        </w:rPr>
        <w:t>—method calls that can be intercepted at runtime, so that arbitrary actions can occur depending on the method names and arguments.</w:t>
      </w:r>
    </w:p>
    <w:p w14:paraId="27112BAB" w14:textId="77777777" w:rsidR="005E42FA" w:rsidRDefault="004C2926" w:rsidP="005E42FA">
      <w:pPr>
        <w:spacing w:afterLines="40" w:after="96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-</w:t>
      </w:r>
      <w:r w:rsidRPr="004C2926">
        <w:rPr>
          <w:rFonts w:ascii="Courier New" w:hAnsi="Courier New" w:cs="Courier New"/>
          <w:sz w:val="20"/>
        </w:rPr>
        <w:t>Identifiers contain either alphanumeric or operator characters.</w:t>
      </w:r>
    </w:p>
    <w:p w14:paraId="58C510F1" w14:textId="77777777" w:rsidR="004C2926" w:rsidRPr="004C2926" w:rsidRDefault="004C2926" w:rsidP="004C2926">
      <w:pPr>
        <w:shd w:val="clear" w:color="auto" w:fill="FFFFFF"/>
        <w:spacing w:before="80" w:after="80" w:line="240" w:lineRule="auto"/>
        <w:rPr>
          <w:rFonts w:ascii="Georgia" w:hAnsi="Georgia"/>
        </w:rPr>
      </w:pPr>
      <w:r w:rsidRPr="004C2926">
        <w:rPr>
          <w:rFonts w:ascii="Georgia" w:hAnsi="Georgia"/>
        </w:rPr>
        <w:t>Unary and binary operators are method calls.</w:t>
      </w:r>
    </w:p>
    <w:p w14:paraId="1B27D4E1" w14:textId="77777777" w:rsidR="004C2926" w:rsidRPr="004C2926" w:rsidRDefault="004C2926" w:rsidP="004C2926">
      <w:pPr>
        <w:shd w:val="clear" w:color="auto" w:fill="FFFFFF"/>
        <w:spacing w:before="80" w:after="80" w:line="240" w:lineRule="auto"/>
        <w:rPr>
          <w:rFonts w:ascii="Georgia" w:hAnsi="Georgia"/>
        </w:rPr>
      </w:pPr>
      <w:r w:rsidRPr="004C2926">
        <w:rPr>
          <w:rFonts w:ascii="Georgia" w:hAnsi="Georgia"/>
        </w:rPr>
        <w:t>• Operator precedence depends on the first character, associativity on the last.</w:t>
      </w:r>
    </w:p>
    <w:p w14:paraId="621E81B8" w14:textId="77777777" w:rsidR="004C2926" w:rsidRPr="004C2926" w:rsidRDefault="004C2926" w:rsidP="004C2926">
      <w:pPr>
        <w:spacing w:afterLines="40" w:after="96" w:line="360" w:lineRule="auto"/>
        <w:rPr>
          <w:rFonts w:ascii="Georgia" w:hAnsi="Georgia"/>
        </w:rPr>
      </w:pPr>
      <w:r w:rsidRPr="004C2926">
        <w:rPr>
          <w:rFonts w:ascii="Georgia" w:hAnsi="Georgia"/>
        </w:rPr>
        <w:t>• The </w:t>
      </w:r>
      <w:r w:rsidRPr="004C2926">
        <w:rPr>
          <w:rFonts w:ascii="Courier New" w:hAnsi="Courier New" w:cs="Courier New"/>
          <w:sz w:val="20"/>
        </w:rPr>
        <w:t>apply</w:t>
      </w:r>
      <w:r w:rsidRPr="004C2926">
        <w:rPr>
          <w:rFonts w:ascii="Georgia" w:hAnsi="Georgia"/>
        </w:rPr>
        <w:t> and </w:t>
      </w:r>
      <w:r w:rsidRPr="004C2926">
        <w:rPr>
          <w:rFonts w:ascii="Courier New" w:hAnsi="Courier New" w:cs="Courier New"/>
          <w:sz w:val="20"/>
        </w:rPr>
        <w:t>update</w:t>
      </w:r>
      <w:r w:rsidRPr="004C2926">
        <w:rPr>
          <w:rFonts w:ascii="Georgia" w:hAnsi="Georgia"/>
        </w:rPr>
        <w:t> methods are called when evaluating expr(args).</w:t>
      </w:r>
    </w:p>
    <w:p w14:paraId="476362B5" w14:textId="584E340A" w:rsidR="004C2926" w:rsidRPr="004C2926" w:rsidRDefault="004C2926" w:rsidP="004C2926">
      <w:pPr>
        <w:shd w:val="clear" w:color="auto" w:fill="FFFFFF"/>
        <w:spacing w:before="80" w:after="80" w:line="240" w:lineRule="auto"/>
        <w:rPr>
          <w:rFonts w:ascii="Georgia" w:hAnsi="Georgia"/>
        </w:rPr>
      </w:pPr>
      <w:r w:rsidRPr="004C2926">
        <w:rPr>
          <w:rFonts w:ascii="Georgia" w:hAnsi="Georgia"/>
        </w:rPr>
        <w:t xml:space="preserve">• Extractors extract tuples or sequences of values from an </w:t>
      </w:r>
      <w:proofErr w:type="gramStart"/>
      <w:r w:rsidRPr="004C2926">
        <w:rPr>
          <w:rFonts w:ascii="Georgia" w:hAnsi="Georgia"/>
        </w:rPr>
        <w:t>input .</w:t>
      </w:r>
      <w:proofErr w:type="gramEnd"/>
    </w:p>
    <w:p w14:paraId="4ACEA50D" w14:textId="4B2F3DD9" w:rsidR="004C2926" w:rsidRDefault="004C2926" w:rsidP="004C2926">
      <w:pPr>
        <w:spacing w:afterLines="40" w:after="96" w:line="360" w:lineRule="auto"/>
        <w:rPr>
          <w:rFonts w:ascii="Georgia" w:hAnsi="Georgia"/>
        </w:rPr>
      </w:pPr>
      <w:r w:rsidRPr="004C2926">
        <w:rPr>
          <w:rFonts w:ascii="Georgia" w:hAnsi="Georgia"/>
        </w:rPr>
        <w:t>• Types extending the </w:t>
      </w:r>
      <w:r w:rsidRPr="004C2926">
        <w:rPr>
          <w:rFonts w:ascii="Courier New" w:hAnsi="Courier New" w:cs="Courier New"/>
          <w:sz w:val="20"/>
        </w:rPr>
        <w:t>Dynamic</w:t>
      </w:r>
      <w:r w:rsidRPr="004C2926">
        <w:rPr>
          <w:rFonts w:ascii="Georgia" w:hAnsi="Georgia"/>
        </w:rPr>
        <w:t> trait can inspect the names of methods and arguments at runtime. </w:t>
      </w:r>
    </w:p>
    <w:p w14:paraId="6E6492FC" w14:textId="2FC71679" w:rsidR="004C2926" w:rsidRDefault="004C2926" w:rsidP="004C2926">
      <w:pPr>
        <w:spacing w:afterLines="40" w:after="96" w:line="360" w:lineRule="auto"/>
        <w:rPr>
          <w:rFonts w:ascii="Georgia" w:hAnsi="Georgia"/>
          <w:b/>
        </w:rPr>
      </w:pPr>
      <w:r>
        <w:rPr>
          <w:rFonts w:ascii="Georgia" w:hAnsi="Georgia"/>
          <w:b/>
        </w:rPr>
        <w:t>Identifiers</w:t>
      </w:r>
    </w:p>
    <w:p w14:paraId="03B5F408" w14:textId="1A914EBD" w:rsidR="004C2926" w:rsidRDefault="004C2926" w:rsidP="004C2926">
      <w:pPr>
        <w:spacing w:afterLines="40" w:after="96" w:line="360" w:lineRule="auto"/>
        <w:rPr>
          <w:rFonts w:ascii="Georgia" w:hAnsi="Georgia"/>
        </w:rPr>
      </w:pPr>
      <w:r>
        <w:rPr>
          <w:rFonts w:ascii="Georgia" w:hAnsi="Georgia"/>
        </w:rPr>
        <w:t xml:space="preserve">The name of variables, functions, classes and so on are collectively called </w:t>
      </w:r>
      <w:r w:rsidRPr="004C2926">
        <w:rPr>
          <w:rFonts w:ascii="Georgia" w:hAnsi="Georgia"/>
          <w:b/>
          <w:i/>
        </w:rPr>
        <w:t>identifiers</w:t>
      </w:r>
      <w:r>
        <w:rPr>
          <w:rFonts w:ascii="Georgia" w:hAnsi="Georgia"/>
        </w:rPr>
        <w:t>. In Scala, you have more choices for forming identifiers than in other languages. Of course, you can follow the time-honored pattern: sequences of alphanumeric characters, starting with an alphabetic carácter ora n underscore, such as input1 or next_token.</w:t>
      </w:r>
    </w:p>
    <w:p w14:paraId="53867649" w14:textId="46369FF5" w:rsidR="004C2926" w:rsidRDefault="004C2926" w:rsidP="004C2926">
      <w:pPr>
        <w:spacing w:afterLines="40" w:after="96" w:line="360" w:lineRule="auto"/>
        <w:rPr>
          <w:rFonts w:ascii="Courier New" w:hAnsi="Courier New" w:cs="Courier New"/>
          <w:sz w:val="20"/>
        </w:rPr>
      </w:pPr>
      <w:r>
        <w:rPr>
          <w:rFonts w:ascii="Georgia" w:hAnsi="Georgia"/>
        </w:rPr>
        <w:t xml:space="preserve">As in Java, Unicode characters are allowed. For example, </w:t>
      </w:r>
      <w:r w:rsidRPr="004C2926">
        <w:rPr>
          <w:rFonts w:ascii="Courier New" w:hAnsi="Courier New" w:cs="Courier New"/>
          <w:sz w:val="20"/>
        </w:rPr>
        <w:t>quantité</w:t>
      </w:r>
      <w:r w:rsidRPr="004C2926">
        <w:rPr>
          <w:rFonts w:ascii="Georgia" w:hAnsi="Georgia"/>
        </w:rPr>
        <w:t xml:space="preserve"> or </w:t>
      </w:r>
      <w:r w:rsidRPr="004C2926">
        <w:rPr>
          <w:rFonts w:ascii="Courier New" w:hAnsi="Courier New" w:cs="Courier New"/>
          <w:sz w:val="20"/>
        </w:rPr>
        <w:t>ποσó</w:t>
      </w:r>
      <w:r>
        <w:rPr>
          <w:rFonts w:ascii="Courier New" w:hAnsi="Courier New" w:cs="Courier New"/>
          <w:sz w:val="20"/>
        </w:rPr>
        <w:t xml:space="preserve"> </w:t>
      </w:r>
      <w:r w:rsidRPr="00046D13">
        <w:rPr>
          <w:rFonts w:ascii="Georgia" w:hAnsi="Georgia"/>
        </w:rPr>
        <w:t>are valid identifiers, In addition, you can use operator characters in identifiers:</w:t>
      </w:r>
    </w:p>
    <w:p w14:paraId="38A3653A" w14:textId="1E1A02C4" w:rsidR="00046D13" w:rsidRDefault="00046D13" w:rsidP="004C2926">
      <w:pPr>
        <w:spacing w:afterLines="40" w:after="96" w:line="360" w:lineRule="auto"/>
        <w:rPr>
          <w:rFonts w:ascii="Georgia" w:hAnsi="Georgia"/>
        </w:rPr>
      </w:pPr>
      <w:r>
        <w:rPr>
          <w:rFonts w:ascii="Georgia" w:hAnsi="Georgia"/>
        </w:rPr>
        <w:t>-</w:t>
      </w:r>
      <w:r w:rsidRPr="00046D13">
        <w:rPr>
          <w:rFonts w:ascii="Georgia" w:hAnsi="Georgia"/>
        </w:rPr>
        <w:t xml:space="preserve">The ASCII </w:t>
      </w:r>
      <w:proofErr w:type="gramStart"/>
      <w:r w:rsidRPr="00046D13">
        <w:rPr>
          <w:rFonts w:ascii="Georgia" w:hAnsi="Georgia"/>
        </w:rPr>
        <w:t xml:space="preserve">characters </w:t>
      </w:r>
      <w:r w:rsidRPr="00046D13">
        <w:rPr>
          <w:rFonts w:ascii="Courier New" w:hAnsi="Courier New" w:cs="Courier New"/>
          <w:sz w:val="20"/>
        </w:rPr>
        <w:t>!</w:t>
      </w:r>
      <w:proofErr w:type="gramEnd"/>
      <w:r w:rsidRPr="00046D13">
        <w:rPr>
          <w:rFonts w:ascii="Courier New" w:hAnsi="Courier New" w:cs="Courier New"/>
          <w:sz w:val="20"/>
        </w:rPr>
        <w:t xml:space="preserve"> # % &amp; * + - / : &lt; = &gt; ? @ \ ^ | ~</w:t>
      </w:r>
      <w:r w:rsidRPr="00046D13">
        <w:rPr>
          <w:rFonts w:ascii="Georgia" w:hAnsi="Georgia"/>
        </w:rPr>
        <w:t xml:space="preserve"> that are not letters, digits, underscore, </w:t>
      </w:r>
      <w:proofErr w:type="gramStart"/>
      <w:r w:rsidRPr="00046D13">
        <w:rPr>
          <w:rFonts w:ascii="Georgia" w:hAnsi="Georgia"/>
        </w:rPr>
        <w:t>the .</w:t>
      </w:r>
      <w:proofErr w:type="gramEnd"/>
      <w:r w:rsidRPr="00046D13">
        <w:rPr>
          <w:rFonts w:ascii="Georgia" w:hAnsi="Georgia"/>
        </w:rPr>
        <w:t xml:space="preserve">,; punctuation marks, parentheses </w:t>
      </w:r>
      <w:r w:rsidRPr="00046D13">
        <w:rPr>
          <w:rFonts w:ascii="Courier New" w:hAnsi="Courier New" w:cs="Courier New"/>
          <w:sz w:val="20"/>
        </w:rPr>
        <w:t>() [] {}</w:t>
      </w:r>
      <w:r w:rsidRPr="00046D13">
        <w:rPr>
          <w:rFonts w:ascii="Georgia" w:hAnsi="Georgia"/>
        </w:rPr>
        <w:t xml:space="preserve">, or quotation marks </w:t>
      </w:r>
      <w:r w:rsidRPr="00046D13">
        <w:rPr>
          <w:rFonts w:ascii="Courier New" w:hAnsi="Courier New" w:cs="Courier New"/>
          <w:sz w:val="20"/>
        </w:rPr>
        <w:t>' ` "</w:t>
      </w:r>
      <w:r w:rsidRPr="00046D13">
        <w:rPr>
          <w:rFonts w:ascii="Georgia" w:hAnsi="Georgia"/>
        </w:rPr>
        <w:t>.</w:t>
      </w:r>
    </w:p>
    <w:p w14:paraId="66E8D8AA" w14:textId="23BD4B71" w:rsidR="00046D13" w:rsidRPr="004C2926" w:rsidRDefault="00046D13" w:rsidP="004C2926">
      <w:pPr>
        <w:spacing w:afterLines="40" w:after="96" w:line="360" w:lineRule="auto"/>
        <w:rPr>
          <w:rFonts w:ascii="Georgia" w:hAnsi="Georgia"/>
        </w:rPr>
      </w:pPr>
      <w:r w:rsidRPr="00046D13">
        <w:rPr>
          <w:rFonts w:ascii="Georgia" w:hAnsi="Georgia"/>
        </w:rPr>
        <w:t xml:space="preserve">For example, </w:t>
      </w:r>
      <w:r w:rsidRPr="00046D13">
        <w:rPr>
          <w:rFonts w:ascii="Courier New" w:hAnsi="Courier New" w:cs="Courier New"/>
          <w:sz w:val="20"/>
        </w:rPr>
        <w:t>**</w:t>
      </w:r>
      <w:r w:rsidRPr="00046D13">
        <w:rPr>
          <w:rFonts w:ascii="Georgia" w:hAnsi="Georgia"/>
        </w:rPr>
        <w:t xml:space="preserve"> and </w:t>
      </w:r>
      <w:r w:rsidRPr="00046D13">
        <w:rPr>
          <w:rFonts w:ascii="Courier New" w:hAnsi="Courier New" w:cs="Courier New"/>
          <w:sz w:val="20"/>
        </w:rPr>
        <w:t>√</w:t>
      </w:r>
      <w:r w:rsidRPr="00046D13">
        <w:rPr>
          <w:rFonts w:ascii="Georgia" w:hAnsi="Georgia"/>
        </w:rPr>
        <w:t xml:space="preserve"> are valid identifiers. With the definition</w:t>
      </w:r>
    </w:p>
    <w:p w14:paraId="3DB8BA90" w14:textId="4A3A7DF3" w:rsidR="004C2926" w:rsidRPr="004C2926" w:rsidRDefault="00046D13" w:rsidP="004C2926">
      <w:pPr>
        <w:spacing w:afterLines="40" w:after="96" w:line="360" w:lineRule="auto"/>
        <w:rPr>
          <w:rFonts w:ascii="Courier New" w:hAnsi="Courier New" w:cs="Courier New"/>
          <w:sz w:val="20"/>
        </w:rPr>
      </w:pPr>
      <w:r w:rsidRPr="00046D13">
        <w:rPr>
          <w:rFonts w:ascii="Courier New" w:hAnsi="Courier New" w:cs="Courier New"/>
          <w:sz w:val="20"/>
        </w:rPr>
        <w:t xml:space="preserve">val √ = </w:t>
      </w:r>
      <w:proofErr w:type="gramStart"/>
      <w:r w:rsidRPr="00046D13">
        <w:rPr>
          <w:rFonts w:ascii="Courier New" w:hAnsi="Courier New" w:cs="Courier New"/>
          <w:sz w:val="20"/>
        </w:rPr>
        <w:t>scala.math</w:t>
      </w:r>
      <w:proofErr w:type="gramEnd"/>
      <w:r w:rsidRPr="00046D13">
        <w:rPr>
          <w:rFonts w:ascii="Courier New" w:hAnsi="Courier New" w:cs="Courier New"/>
          <w:sz w:val="20"/>
        </w:rPr>
        <w:t>.sqrt _</w:t>
      </w:r>
    </w:p>
    <w:p w14:paraId="749EC1C1" w14:textId="27619441" w:rsidR="004C2926" w:rsidRDefault="00046D13" w:rsidP="005E42FA">
      <w:pPr>
        <w:spacing w:afterLines="40" w:after="96" w:line="240" w:lineRule="auto"/>
        <w:rPr>
          <w:rFonts w:ascii="Georgia" w:hAnsi="Georgia"/>
        </w:rPr>
      </w:pPr>
      <w:r>
        <w:rPr>
          <w:rFonts w:ascii="Georgia" w:hAnsi="Georgia"/>
        </w:rPr>
        <w:t>-Y</w:t>
      </w:r>
      <w:r w:rsidRPr="00046D13">
        <w:rPr>
          <w:rFonts w:ascii="Georgia" w:hAnsi="Georgia"/>
        </w:rPr>
        <w:t>ou can write</w:t>
      </w:r>
      <w:r w:rsidRPr="00046D13">
        <w:rPr>
          <w:rFonts w:ascii="Courier New" w:hAnsi="Courier New" w:cs="Courier New"/>
          <w:sz w:val="20"/>
        </w:rPr>
        <w:t xml:space="preserve"> </w:t>
      </w:r>
      <w:proofErr w:type="gramStart"/>
      <w:r w:rsidRPr="00046D13">
        <w:rPr>
          <w:rFonts w:ascii="Courier New" w:hAnsi="Courier New" w:cs="Courier New"/>
          <w:sz w:val="20"/>
        </w:rPr>
        <w:t>√(</w:t>
      </w:r>
      <w:proofErr w:type="gramEnd"/>
      <w:r w:rsidRPr="00046D13">
        <w:rPr>
          <w:rFonts w:ascii="Courier New" w:hAnsi="Courier New" w:cs="Courier New"/>
          <w:sz w:val="20"/>
        </w:rPr>
        <w:t xml:space="preserve">2) </w:t>
      </w:r>
      <w:r w:rsidRPr="00046D13">
        <w:rPr>
          <w:rFonts w:ascii="Georgia" w:hAnsi="Georgia"/>
        </w:rPr>
        <w:t>to compute a square root. This may be a good idea, provided one’s programming environment makes it easy to type the symbol.</w:t>
      </w:r>
    </w:p>
    <w:p w14:paraId="65815621" w14:textId="2DD22BFF" w:rsidR="00F95F66" w:rsidRDefault="00F95F66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72EEA0B6" w14:textId="05C04441" w:rsidR="00F95F66" w:rsidRDefault="00F95F66" w:rsidP="005E42FA">
      <w:pPr>
        <w:spacing w:afterLines="40" w:after="96" w:line="240" w:lineRule="auto"/>
        <w:rPr>
          <w:rFonts w:ascii="Georgia" w:hAnsi="Georgia"/>
        </w:rPr>
      </w:pPr>
      <w:r w:rsidRPr="00F95F66">
        <w:rPr>
          <w:rFonts w:ascii="Georgia" w:hAnsi="Georgia"/>
        </w:rPr>
        <w:lastRenderedPageBreak/>
        <w:t xml:space="preserve">The identifiers </w:t>
      </w:r>
      <w:r w:rsidRPr="00F95F66">
        <w:rPr>
          <w:rFonts w:ascii="Courier New" w:hAnsi="Courier New" w:cs="Courier New"/>
          <w:sz w:val="20"/>
        </w:rPr>
        <w:t xml:space="preserve">@ </w:t>
      </w:r>
      <w:proofErr w:type="gramStart"/>
      <w:r w:rsidRPr="00F95F66">
        <w:rPr>
          <w:rFonts w:ascii="Courier New" w:hAnsi="Courier New" w:cs="Courier New"/>
          <w:sz w:val="20"/>
        </w:rPr>
        <w:t># :</w:t>
      </w:r>
      <w:proofErr w:type="gramEnd"/>
      <w:r w:rsidRPr="00F95F66">
        <w:rPr>
          <w:rFonts w:ascii="Courier New" w:hAnsi="Courier New" w:cs="Courier New"/>
          <w:sz w:val="20"/>
        </w:rPr>
        <w:t xml:space="preserve"> = _ =&gt; &lt;- &lt;: &lt;% &gt;: </w:t>
      </w:r>
      <w:r w:rsidRPr="00F95F66">
        <w:rPr>
          <w:rFonts w:ascii="Cambria Math" w:hAnsi="Cambria Math" w:cs="Cambria Math"/>
          <w:sz w:val="20"/>
        </w:rPr>
        <w:t>⇒</w:t>
      </w:r>
      <w:r w:rsidRPr="00F95F66">
        <w:rPr>
          <w:rFonts w:ascii="Courier New" w:hAnsi="Courier New" w:cs="Courier New"/>
          <w:sz w:val="20"/>
        </w:rPr>
        <w:t xml:space="preserve"> ←</w:t>
      </w:r>
      <w:r w:rsidRPr="00F95F66">
        <w:rPr>
          <w:rFonts w:ascii="Georgia" w:hAnsi="Georgia"/>
        </w:rPr>
        <w:t xml:space="preserve"> are reserved in the specification, and you cannot redefine them.</w:t>
      </w:r>
    </w:p>
    <w:p w14:paraId="3C072936" w14:textId="50DB7E8B" w:rsidR="00F95F66" w:rsidRDefault="00F95F66" w:rsidP="005E42FA">
      <w:pPr>
        <w:spacing w:afterLines="40" w:after="96" w:line="240" w:lineRule="auto"/>
        <w:rPr>
          <w:rFonts w:ascii="Georgia" w:hAnsi="Georgia"/>
        </w:rPr>
      </w:pPr>
      <w:r w:rsidRPr="00F95F66">
        <w:rPr>
          <w:rFonts w:ascii="Georgia" w:hAnsi="Georgia"/>
          <w:highlight w:val="red"/>
        </w:rPr>
        <w:t>If the carácter</w:t>
      </w:r>
      <w:r w:rsidRPr="00F95F66">
        <w:rPr>
          <w:rFonts w:ascii="Courier New" w:hAnsi="Courier New" w:cs="Courier New"/>
          <w:sz w:val="20"/>
          <w:highlight w:val="red"/>
        </w:rPr>
        <w:t xml:space="preserve"> ‘</w:t>
      </w:r>
      <w:r w:rsidRPr="00F95F66">
        <w:rPr>
          <w:rFonts w:ascii="Courier New" w:hAnsi="Courier New" w:cs="Courier New"/>
          <w:sz w:val="20"/>
          <w:highlight w:val="red"/>
        </w:rPr>
        <w:t>=</w:t>
      </w:r>
      <w:r w:rsidRPr="00F95F66">
        <w:rPr>
          <w:rFonts w:ascii="Courier New" w:hAnsi="Courier New" w:cs="Courier New"/>
          <w:sz w:val="20"/>
          <w:highlight w:val="red"/>
        </w:rPr>
        <w:t xml:space="preserve">’ </w:t>
      </w:r>
      <w:r w:rsidRPr="00F95F66">
        <w:rPr>
          <w:rFonts w:ascii="Georgia" w:hAnsi="Georgia"/>
          <w:highlight w:val="red"/>
        </w:rPr>
        <w:t>is reserved as a operator, it shoud be used as</w:t>
      </w:r>
      <w:r w:rsidRPr="00F95F66">
        <w:rPr>
          <w:rFonts w:ascii="Courier New" w:hAnsi="Courier New" w:cs="Courier New"/>
          <w:sz w:val="20"/>
          <w:highlight w:val="red"/>
        </w:rPr>
        <w:t xml:space="preserve"> </w:t>
      </w:r>
      <w:proofErr w:type="gramStart"/>
      <w:r w:rsidRPr="00F95F66">
        <w:rPr>
          <w:rFonts w:ascii="Courier New" w:hAnsi="Courier New" w:cs="Courier New"/>
          <w:sz w:val="20"/>
          <w:highlight w:val="red"/>
        </w:rPr>
        <w:t>=(</w:t>
      </w:r>
      <w:proofErr w:type="gramEnd"/>
      <w:r w:rsidRPr="00F95F66">
        <w:rPr>
          <w:rFonts w:ascii="Courier New" w:hAnsi="Courier New" w:cs="Courier New"/>
          <w:sz w:val="20"/>
          <w:highlight w:val="red"/>
        </w:rPr>
        <w:t xml:space="preserve">), </w:t>
      </w:r>
      <w:r w:rsidRPr="00F95F66">
        <w:rPr>
          <w:rFonts w:ascii="Georgia" w:hAnsi="Georgia"/>
          <w:highlight w:val="red"/>
        </w:rPr>
        <w:t>shoudn’t it?</w:t>
      </w:r>
    </w:p>
    <w:p w14:paraId="0F927D7B" w14:textId="7DD6D953" w:rsidR="00F95F66" w:rsidRDefault="00F95F66" w:rsidP="005E42FA">
      <w:pPr>
        <w:spacing w:afterLines="40" w:after="96" w:line="240" w:lineRule="auto"/>
        <w:rPr>
          <w:rFonts w:ascii="Courier New" w:hAnsi="Courier New" w:cs="Courier New"/>
          <w:sz w:val="20"/>
        </w:rPr>
      </w:pPr>
      <w:r w:rsidRPr="00F95F66">
        <w:rPr>
          <w:rFonts w:ascii="Georgia" w:hAnsi="Georgia"/>
        </w:rPr>
        <w:t>Finally, you can include just about any sequence of characters in backquotes. For example,</w:t>
      </w:r>
      <w:r>
        <w:rPr>
          <w:rFonts w:ascii="Georgia" w:hAnsi="Georgia"/>
        </w:rPr>
        <w:t xml:space="preserve"> </w:t>
      </w:r>
      <w:r w:rsidRPr="00F95F66">
        <w:rPr>
          <w:rFonts w:ascii="Courier New" w:hAnsi="Courier New" w:cs="Courier New"/>
          <w:sz w:val="20"/>
        </w:rPr>
        <w:t>val `val` = 42</w:t>
      </w:r>
    </w:p>
    <w:p w14:paraId="365C4821" w14:textId="497683EC" w:rsidR="00F95F66" w:rsidRDefault="00F95F66" w:rsidP="005E42FA">
      <w:pPr>
        <w:spacing w:afterLines="40" w:after="96" w:line="240" w:lineRule="auto"/>
        <w:rPr>
          <w:rFonts w:ascii="Courier New" w:hAnsi="Courier New" w:cs="Courier New"/>
          <w:sz w:val="20"/>
        </w:rPr>
      </w:pPr>
      <w:r w:rsidRPr="00F95F66">
        <w:rPr>
          <w:rFonts w:ascii="Georgia" w:hAnsi="Georgia"/>
        </w:rPr>
        <w:t xml:space="preserve">That example is silly, but backquotes can sometimes be an “escape hatch.” For example, in Scala, yield is a reserved word, but you may need to access a Java method of the same name. Backquotes to the rescue: </w:t>
      </w:r>
      <w:proofErr w:type="gramStart"/>
      <w:r w:rsidRPr="00F95F66">
        <w:rPr>
          <w:rFonts w:ascii="Courier New" w:hAnsi="Courier New" w:cs="Courier New"/>
          <w:sz w:val="20"/>
        </w:rPr>
        <w:t>Thread.`</w:t>
      </w:r>
      <w:proofErr w:type="gramEnd"/>
      <w:r w:rsidRPr="00F95F66">
        <w:rPr>
          <w:rFonts w:ascii="Courier New" w:hAnsi="Courier New" w:cs="Courier New"/>
          <w:sz w:val="20"/>
        </w:rPr>
        <w:t>yield`().</w:t>
      </w:r>
    </w:p>
    <w:p w14:paraId="62AFD0E5" w14:textId="0DEDCB12" w:rsidR="00F95F66" w:rsidRDefault="00F95F66" w:rsidP="005E42FA">
      <w:pPr>
        <w:spacing w:afterLines="40" w:after="96" w:line="240" w:lineRule="auto"/>
        <w:rPr>
          <w:rFonts w:ascii="Courier New" w:hAnsi="Courier New" w:cs="Courier New"/>
          <w:sz w:val="20"/>
        </w:rPr>
      </w:pPr>
    </w:p>
    <w:p w14:paraId="769417E6" w14:textId="39915F37" w:rsidR="00F95F66" w:rsidRDefault="00F95F66" w:rsidP="00F95F66">
      <w:pPr>
        <w:spacing w:afterLines="40" w:after="96" w:line="360" w:lineRule="auto"/>
        <w:rPr>
          <w:rFonts w:ascii="Georgia" w:hAnsi="Georgia"/>
          <w:b/>
        </w:rPr>
      </w:pPr>
      <w:r>
        <w:rPr>
          <w:rFonts w:ascii="Georgia" w:hAnsi="Georgia"/>
          <w:b/>
        </w:rPr>
        <w:t>I</w:t>
      </w:r>
      <w:r>
        <w:rPr>
          <w:rFonts w:ascii="Georgia" w:hAnsi="Georgia"/>
          <w:b/>
        </w:rPr>
        <w:t>nfix operators</w:t>
      </w:r>
    </w:p>
    <w:p w14:paraId="18FE9115" w14:textId="0AF55FF9" w:rsidR="00F95F66" w:rsidRPr="00F95F66" w:rsidRDefault="00F95F66" w:rsidP="00F95F66">
      <w:pPr>
        <w:spacing w:afterLines="40" w:after="96" w:line="360" w:lineRule="auto"/>
        <w:rPr>
          <w:rFonts w:ascii="Georgia" w:hAnsi="Georgia"/>
        </w:rPr>
      </w:pPr>
      <w:bookmarkStart w:id="0" w:name="_GoBack"/>
      <w:r w:rsidRPr="00F95F66">
        <w:rPr>
          <w:rFonts w:ascii="Georgia" w:hAnsi="Georgia"/>
        </w:rPr>
        <w:t>You can write</w:t>
      </w:r>
      <w:bookmarkEnd w:id="0"/>
    </w:p>
    <w:sectPr w:rsidR="00F95F66" w:rsidRPr="00F95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F687A"/>
    <w:multiLevelType w:val="multilevel"/>
    <w:tmpl w:val="BB2E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5143"/>
    <w:rsid w:val="00026F3B"/>
    <w:rsid w:val="00035C35"/>
    <w:rsid w:val="00046D13"/>
    <w:rsid w:val="000677B4"/>
    <w:rsid w:val="000B6C31"/>
    <w:rsid w:val="00153A4B"/>
    <w:rsid w:val="00154126"/>
    <w:rsid w:val="00167684"/>
    <w:rsid w:val="001766D6"/>
    <w:rsid w:val="001A19E4"/>
    <w:rsid w:val="001A2CBE"/>
    <w:rsid w:val="001C56B1"/>
    <w:rsid w:val="001C6F7D"/>
    <w:rsid w:val="001D23AE"/>
    <w:rsid w:val="00214AC6"/>
    <w:rsid w:val="002463CB"/>
    <w:rsid w:val="0028141C"/>
    <w:rsid w:val="00284524"/>
    <w:rsid w:val="002A779B"/>
    <w:rsid w:val="002E56EB"/>
    <w:rsid w:val="002F2C28"/>
    <w:rsid w:val="002F548A"/>
    <w:rsid w:val="003F6780"/>
    <w:rsid w:val="003F6AC3"/>
    <w:rsid w:val="00461BBB"/>
    <w:rsid w:val="0047492A"/>
    <w:rsid w:val="00482F8C"/>
    <w:rsid w:val="00490352"/>
    <w:rsid w:val="004C2926"/>
    <w:rsid w:val="004C5143"/>
    <w:rsid w:val="004E2502"/>
    <w:rsid w:val="004E6479"/>
    <w:rsid w:val="005222F9"/>
    <w:rsid w:val="00544A2B"/>
    <w:rsid w:val="005D0667"/>
    <w:rsid w:val="005E42FA"/>
    <w:rsid w:val="006074BB"/>
    <w:rsid w:val="00612AF9"/>
    <w:rsid w:val="00637317"/>
    <w:rsid w:val="006428B2"/>
    <w:rsid w:val="00652B49"/>
    <w:rsid w:val="006669EA"/>
    <w:rsid w:val="00697007"/>
    <w:rsid w:val="006A2BA3"/>
    <w:rsid w:val="006B2C10"/>
    <w:rsid w:val="006B5D2F"/>
    <w:rsid w:val="00717604"/>
    <w:rsid w:val="007553E3"/>
    <w:rsid w:val="00787035"/>
    <w:rsid w:val="007A3F53"/>
    <w:rsid w:val="00825E3A"/>
    <w:rsid w:val="00840075"/>
    <w:rsid w:val="00873CF6"/>
    <w:rsid w:val="008A181D"/>
    <w:rsid w:val="008A38B2"/>
    <w:rsid w:val="008C030C"/>
    <w:rsid w:val="008C3EB5"/>
    <w:rsid w:val="008D4CF0"/>
    <w:rsid w:val="008F01DE"/>
    <w:rsid w:val="00913FC5"/>
    <w:rsid w:val="00931087"/>
    <w:rsid w:val="00947553"/>
    <w:rsid w:val="00975324"/>
    <w:rsid w:val="009A66A1"/>
    <w:rsid w:val="009E4FD8"/>
    <w:rsid w:val="009E72D8"/>
    <w:rsid w:val="009F5B80"/>
    <w:rsid w:val="00A020DF"/>
    <w:rsid w:val="00A33C7C"/>
    <w:rsid w:val="00A37E9F"/>
    <w:rsid w:val="00A7018C"/>
    <w:rsid w:val="00AC17A5"/>
    <w:rsid w:val="00AF47FB"/>
    <w:rsid w:val="00AF6D77"/>
    <w:rsid w:val="00B30936"/>
    <w:rsid w:val="00B37F0D"/>
    <w:rsid w:val="00B4540D"/>
    <w:rsid w:val="00B467A2"/>
    <w:rsid w:val="00B477CF"/>
    <w:rsid w:val="00B75EB3"/>
    <w:rsid w:val="00B931EA"/>
    <w:rsid w:val="00BF30FF"/>
    <w:rsid w:val="00C44738"/>
    <w:rsid w:val="00C7657D"/>
    <w:rsid w:val="00CD7E13"/>
    <w:rsid w:val="00CF69DD"/>
    <w:rsid w:val="00D10028"/>
    <w:rsid w:val="00D1067D"/>
    <w:rsid w:val="00D231A0"/>
    <w:rsid w:val="00D331F4"/>
    <w:rsid w:val="00D46EA1"/>
    <w:rsid w:val="00D61AFA"/>
    <w:rsid w:val="00D92D6F"/>
    <w:rsid w:val="00D95FFF"/>
    <w:rsid w:val="00DC11E5"/>
    <w:rsid w:val="00DF1759"/>
    <w:rsid w:val="00E048B0"/>
    <w:rsid w:val="00E5193A"/>
    <w:rsid w:val="00E91373"/>
    <w:rsid w:val="00F43A68"/>
    <w:rsid w:val="00F52883"/>
    <w:rsid w:val="00F836D9"/>
    <w:rsid w:val="00F93451"/>
    <w:rsid w:val="00F95F66"/>
    <w:rsid w:val="00FB2C28"/>
    <w:rsid w:val="00FC7FBC"/>
    <w:rsid w:val="00FD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0949"/>
  <w15:docId w15:val="{C496E31D-C78A-45D6-8485-534A0E1C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6D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143"/>
    <w:pPr>
      <w:ind w:left="720"/>
      <w:contextualSpacing/>
    </w:pPr>
  </w:style>
  <w:style w:type="character" w:customStyle="1" w:styleId="empstrong">
    <w:name w:val="empstrong"/>
    <w:basedOn w:val="DefaultParagraphFont"/>
    <w:rsid w:val="00637317"/>
  </w:style>
  <w:style w:type="character" w:styleId="HTMLCode">
    <w:name w:val="HTML Code"/>
    <w:basedOn w:val="DefaultParagraphFont"/>
    <w:uiPriority w:val="99"/>
    <w:semiHidden/>
    <w:unhideWhenUsed/>
    <w:rsid w:val="001A2CBE"/>
    <w:rPr>
      <w:rFonts w:ascii="Courier New" w:eastAsia="Times New Roman" w:hAnsi="Courier New" w:cs="Courier New"/>
      <w:sz w:val="20"/>
      <w:szCs w:val="20"/>
    </w:rPr>
  </w:style>
  <w:style w:type="character" w:customStyle="1" w:styleId="roman">
    <w:name w:val="roman"/>
    <w:basedOn w:val="DefaultParagraphFont"/>
    <w:rsid w:val="00D10028"/>
  </w:style>
  <w:style w:type="character" w:styleId="Strong">
    <w:name w:val="Strong"/>
    <w:basedOn w:val="DefaultParagraphFont"/>
    <w:uiPriority w:val="22"/>
    <w:qFormat/>
    <w:rsid w:val="004903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035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90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Emphasis">
    <w:name w:val="Emphasis"/>
    <w:basedOn w:val="DefaultParagraphFont"/>
    <w:uiPriority w:val="20"/>
    <w:qFormat/>
    <w:rsid w:val="00490352"/>
    <w:rPr>
      <w:i/>
      <w:iCs/>
    </w:rPr>
  </w:style>
  <w:style w:type="paragraph" w:customStyle="1" w:styleId="pre-ex">
    <w:name w:val="pre-ex"/>
    <w:basedOn w:val="Normal"/>
    <w:rsid w:val="00154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759"/>
    <w:rPr>
      <w:rFonts w:ascii="Tahoma" w:hAnsi="Tahoma" w:cs="Tahoma"/>
      <w:sz w:val="16"/>
      <w:szCs w:val="16"/>
    </w:rPr>
  </w:style>
  <w:style w:type="paragraph" w:customStyle="1" w:styleId="noindent">
    <w:name w:val="noindent"/>
    <w:basedOn w:val="Normal"/>
    <w:rsid w:val="00E04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AF6D7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romanitalic">
    <w:name w:val="romanitalic"/>
    <w:basedOn w:val="DefaultParagraphFont"/>
    <w:rsid w:val="00461BBB"/>
  </w:style>
  <w:style w:type="paragraph" w:customStyle="1" w:styleId="indenthangingb">
    <w:name w:val="indenthangingb"/>
    <w:basedOn w:val="Normal"/>
    <w:rsid w:val="00C4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10156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pauisusanna</dc:creator>
  <cp:lastModifiedBy>Alarcon cerdan, Pau (SanTech)</cp:lastModifiedBy>
  <cp:revision>15</cp:revision>
  <dcterms:created xsi:type="dcterms:W3CDTF">2019-02-11T21:27:00Z</dcterms:created>
  <dcterms:modified xsi:type="dcterms:W3CDTF">2019-02-26T17:36:00Z</dcterms:modified>
</cp:coreProperties>
</file>