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5D5E8F">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5D5E8F">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5D5E8F">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5D5E8F">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5D5E8F">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5D5E8F">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5D5E8F">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5D5E8F">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5D5E8F">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5D5E8F">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5D5E8F">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5D5E8F">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5D5E8F">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5D5E8F">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5D5E8F">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5D5E8F">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5D5E8F">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5D5E8F">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5D5E8F">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5D5E8F">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5D5E8F">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5D5E8F">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5D5E8F">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5D5E8F">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5D5E8F">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5D5E8F">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5D5E8F">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5D5E8F">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5D5E8F">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5D5E8F">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5D5E8F">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5D5E8F">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5D5E8F">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5D5E8F">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5D5E8F">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5D5E8F">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5D5E8F">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576559" w:rsidRDefault="00521662" w:rsidP="00564C7F">
      <w:pPr>
        <w:pStyle w:val="Heading1"/>
        <w:rPr>
          <w:lang w:val="en-US"/>
        </w:rPr>
      </w:pPr>
      <w:bookmarkStart w:id="3" w:name="_Toc37025446"/>
      <w:r>
        <w:rPr>
          <w:lang w:val="en-US"/>
        </w:rPr>
        <w:t>Harmonic</w:t>
      </w:r>
      <w:r w:rsidRPr="00576559">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6611EB5D" w14:textId="6255C035" w:rsidR="00633041" w:rsidRPr="001B265E" w:rsidRDefault="00633041" w:rsidP="00633041">
      <w:pPr>
        <w:pStyle w:val="Heading3"/>
        <w:numPr>
          <w:ilvl w:val="0"/>
          <w:numId w:val="0"/>
        </w:numPr>
        <w:rPr>
          <w:lang w:val="en-US"/>
        </w:rPr>
      </w:pPr>
      <w:bookmarkStart w:id="23" w:name="_Toc37025458"/>
      <w:r>
        <w:rPr>
          <w:lang w:val="en-US"/>
        </w:rPr>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3359B222" w:rsidR="00CD1063" w:rsidRPr="00855285" w:rsidRDefault="00CD1063" w:rsidP="00521662">
      <w:r w:rsidRPr="00CD1063">
        <w:lastRenderedPageBreak/>
        <w:tab/>
      </w:r>
      <w:r w:rsidRPr="006147CE">
        <w:rPr>
          <w:u w:val="thick" w:color="FFC000" w:themeColor="accent4"/>
        </w:rPr>
        <w:t xml:space="preserve">Second inversion </w:t>
      </w:r>
      <w:r w:rsidR="00B77783">
        <w:rPr>
          <w:u w:val="thick" w:color="FFC000" w:themeColor="accent4"/>
        </w:rPr>
        <w:t>triad</w:t>
      </w:r>
      <w:r w:rsidRPr="006147CE">
        <w:rPr>
          <w:u w:val="thick" w:color="FFC000" w:themeColor="accent4"/>
        </w:rPr>
        <w:t xml:space="preserve">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Pr="0060572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60E901EF" w14:textId="1E59035F" w:rsidR="005B21B6" w:rsidRDefault="00B55C98" w:rsidP="007C6CA8">
      <w:pPr>
        <w:ind w:firstLine="720"/>
      </w:pPr>
      <w:r w:rsidRPr="00262060">
        <w:rPr>
          <w:u w:val="thick" w:color="FFC000" w:themeColor="accent4"/>
        </w:rPr>
        <w:t>Root and 3rd of second inversion triad should resolve stepwise</w:t>
      </w:r>
      <w:r>
        <w:t>.</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5"/>
      <w:r w:rsidRPr="002F0CED">
        <w:rPr>
          <w:u w:val="thick" w:color="FFC000" w:themeColor="accent4"/>
        </w:rPr>
        <w:t xml:space="preserve">should not start </w:t>
      </w:r>
      <w:commentRangeEnd w:id="25"/>
      <w:r>
        <w:rPr>
          <w:rStyle w:val="CommentReference"/>
        </w:rPr>
        <w:commentReference w:id="25"/>
      </w:r>
      <w:r w:rsidRPr="002F0CED">
        <w:rPr>
          <w:u w:val="thick" w:color="FFC000" w:themeColor="accent4"/>
        </w:rPr>
        <w:t>with non-harmonic tone (suspension, appoggiatura)</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6" w:name="_Toc37025459"/>
      <w:r>
        <w:rPr>
          <w:lang w:val="en-US"/>
        </w:rPr>
        <w:t>Dominant of the dominant</w:t>
      </w:r>
      <w:bookmarkEnd w:id="26"/>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7" w:name="_Toc37025460"/>
      <w:r>
        <w:rPr>
          <w:lang w:val="en-US"/>
        </w:rPr>
        <w:t>Chords formed by non-chord tones</w:t>
      </w:r>
      <w:bookmarkEnd w:id="27"/>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8" w:name="_Toc37025461"/>
      <w:r>
        <w:rPr>
          <w:lang w:val="en-US"/>
        </w:rPr>
        <w:t>Incomplete chords</w:t>
      </w:r>
      <w:bookmarkEnd w:id="2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29"/>
      <w:r w:rsidR="00D30BFA">
        <w:rPr>
          <w:u w:val="thick" w:color="00B050"/>
        </w:rPr>
        <w:t>Th</w:t>
      </w:r>
      <w:r w:rsidR="00404808" w:rsidRPr="00404808">
        <w:rPr>
          <w:u w:val="thick" w:color="00B050"/>
        </w:rPr>
        <w:t xml:space="preserve">ree chord tones </w:t>
      </w:r>
      <w:commentRangeEnd w:id="29"/>
      <w:r w:rsidR="003A54D0">
        <w:rPr>
          <w:rStyle w:val="CommentReference"/>
        </w:rPr>
        <w:commentReference w:id="29"/>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0"/>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0"/>
      <w:r>
        <w:rPr>
          <w:rStyle w:val="CommentReference"/>
        </w:rPr>
        <w:commentReference w:id="30"/>
      </w:r>
      <w:r w:rsidRPr="004812DB">
        <w:t>.</w:t>
      </w:r>
    </w:p>
    <w:p w14:paraId="7BD68323" w14:textId="60499B54" w:rsidR="001F5F2A" w:rsidRDefault="001F5F2A" w:rsidP="001F5F2A">
      <w:pPr>
        <w:pStyle w:val="Heading3"/>
        <w:numPr>
          <w:ilvl w:val="0"/>
          <w:numId w:val="0"/>
        </w:numPr>
        <w:rPr>
          <w:lang w:val="en-US"/>
        </w:rPr>
      </w:pPr>
      <w:bookmarkStart w:id="31" w:name="_Toc37025462"/>
      <w:r>
        <w:rPr>
          <w:lang w:val="en-US"/>
        </w:rPr>
        <w:t>7th chord</w:t>
      </w:r>
      <w:bookmarkEnd w:id="31"/>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2"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3"/>
      <w:r w:rsidRPr="00C6762E">
        <w:rPr>
          <w:u w:val="thick" w:color="FFC000" w:themeColor="accent4"/>
        </w:rPr>
        <w:t>used as a chord tone in the previous chord</w:t>
      </w:r>
      <w:commentRangeEnd w:id="33"/>
      <w:r w:rsidR="00274049" w:rsidRPr="00C6762E">
        <w:rPr>
          <w:u w:val="thick" w:color="FFC000" w:themeColor="accent4"/>
        </w:rPr>
        <w:commentReference w:id="33"/>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4"/>
      <w:r>
        <w:t>stepwise motion from a chord tone</w:t>
      </w:r>
      <w:commentRangeEnd w:id="34"/>
      <w:r>
        <w:rPr>
          <w:rStyle w:val="CommentReference"/>
        </w:rPr>
        <w:commentReference w:id="34"/>
      </w:r>
      <w:r>
        <w:t>.</w:t>
      </w:r>
    </w:p>
    <w:p w14:paraId="052AD9FF" w14:textId="4EF9D4BB" w:rsidR="00A57752" w:rsidRDefault="00A57752" w:rsidP="00521662">
      <w:r>
        <w:lastRenderedPageBreak/>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5" w:name="_Toc37025464"/>
      <w:r>
        <w:rPr>
          <w:lang w:val="en-US"/>
        </w:rPr>
        <w:t>Diminished 7th chord</w:t>
      </w:r>
    </w:p>
    <w:p w14:paraId="31DF7101" w14:textId="0746623B" w:rsidR="006B3E31" w:rsidRPr="00111569" w:rsidRDefault="006B3E31" w:rsidP="006B3E31">
      <w:r>
        <w:tab/>
        <w:t>Diminished 7th</w:t>
      </w:r>
      <w:r w:rsidR="00111569">
        <w:t xml:space="preserve"> (dim7)</w:t>
      </w:r>
      <w:r>
        <w:t xml:space="preserve"> chord consists of minor 3rd, diminished 5th and diminished 7th. </w:t>
      </w:r>
      <w:r w:rsidR="00111569">
        <w:t>It is actually a minor dominant 9th chord without a root and should follow the rules of resolution of a 9th chord: 7th (5th of dim7) and 9th (7th of dim7) tones should resolve stepwise down.</w:t>
      </w:r>
    </w:p>
    <w:p w14:paraId="40CDB71B" w14:textId="5E3CF27E" w:rsidR="00111569" w:rsidRPr="00B53445" w:rsidRDefault="00111569" w:rsidP="006B3E31">
      <w:r>
        <w:tab/>
      </w:r>
      <w:r w:rsidR="00B82AF7">
        <w:t>O</w:t>
      </w:r>
      <w:r>
        <w:t xml:space="preserve">ne of four tones </w:t>
      </w:r>
      <w:r w:rsidR="00B82AF7">
        <w:t xml:space="preserve">of diminished 7th chord </w:t>
      </w:r>
      <w:r>
        <w:t xml:space="preserve">should resolve </w:t>
      </w:r>
      <w:r w:rsidR="00024CAE">
        <w:t>stepwise up by a halftone to the tonic of the resolution chord.</w:t>
      </w:r>
    </w:p>
    <w:p w14:paraId="0E72C495" w14:textId="7B9A7C8B" w:rsidR="002D054C" w:rsidRPr="00233E05" w:rsidRDefault="002D054C" w:rsidP="00A517E2">
      <w:pPr>
        <w:pStyle w:val="Heading3"/>
        <w:numPr>
          <w:ilvl w:val="0"/>
          <w:numId w:val="0"/>
        </w:numPr>
        <w:rPr>
          <w:lang w:val="en-US"/>
        </w:rPr>
      </w:pPr>
      <w:r>
        <w:rPr>
          <w:lang w:val="en-US"/>
        </w:rPr>
        <w:t>9th chord</w:t>
      </w:r>
      <w:bookmarkEnd w:id="35"/>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6" w:name="_Toc37025465"/>
      <w:r>
        <w:rPr>
          <w:lang w:val="en-US"/>
        </w:rPr>
        <w:t>Augmented sixth chords</w:t>
      </w:r>
      <w:bookmarkEnd w:id="36"/>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4F706AFC" w:rsidR="00A82D47" w:rsidRDefault="00A82D47" w:rsidP="00A82D47">
      <w:pPr>
        <w:pStyle w:val="ListParagraph"/>
        <w:numPr>
          <w:ilvl w:val="0"/>
          <w:numId w:val="11"/>
        </w:numPr>
      </w:pPr>
      <w:r>
        <w:t>Doubly augmented fourth</w:t>
      </w:r>
      <w:r w:rsidR="006062E1">
        <w:t xml:space="preserve"> (enharmonic to German sixth)</w:t>
      </w:r>
    </w:p>
    <w:p w14:paraId="67F7D551" w14:textId="77777777" w:rsidR="007005EE" w:rsidRDefault="007005EE" w:rsidP="00756196"/>
    <w:p w14:paraId="7A9AA800" w14:textId="0EC40946" w:rsidR="00756196" w:rsidRPr="00B77783"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lastRenderedPageBreak/>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271"/>
        <w:gridCol w:w="1559"/>
        <w:gridCol w:w="5577"/>
      </w:tblGrid>
      <w:tr w:rsidR="00D14631" w:rsidRPr="00F57696" w14:paraId="6D4862B7" w14:textId="77777777" w:rsidTr="00D63587">
        <w:trPr>
          <w:jc w:val="center"/>
        </w:trPr>
        <w:tc>
          <w:tcPr>
            <w:tcW w:w="1271" w:type="dxa"/>
            <w:shd w:val="clear" w:color="auto" w:fill="D9D9D9" w:themeFill="background1" w:themeFillShade="D9"/>
          </w:tcPr>
          <w:p w14:paraId="73B59588" w14:textId="525CB7A5" w:rsidR="00D14631" w:rsidRPr="00F57696" w:rsidRDefault="00D14631" w:rsidP="00F57696">
            <w:pPr>
              <w:jc w:val="center"/>
              <w:rPr>
                <w:b/>
              </w:rPr>
            </w:pPr>
            <w:r w:rsidRPr="00F57696">
              <w:rPr>
                <w:b/>
              </w:rPr>
              <w:t>Chord tone</w:t>
            </w:r>
          </w:p>
        </w:tc>
        <w:tc>
          <w:tcPr>
            <w:tcW w:w="1271" w:type="dxa"/>
            <w:shd w:val="clear" w:color="auto" w:fill="D9D9D9" w:themeFill="background1" w:themeFillShade="D9"/>
          </w:tcPr>
          <w:p w14:paraId="13D20BCE" w14:textId="1365DC49" w:rsidR="00D14631" w:rsidRPr="00F57696" w:rsidRDefault="00D14631" w:rsidP="00F57696">
            <w:pPr>
              <w:jc w:val="center"/>
              <w:rPr>
                <w:b/>
              </w:rPr>
            </w:pPr>
            <w:r>
              <w:rPr>
                <w:b/>
              </w:rPr>
              <w:t>Function of tone</w:t>
            </w:r>
          </w:p>
        </w:tc>
        <w:tc>
          <w:tcPr>
            <w:tcW w:w="1559" w:type="dxa"/>
            <w:shd w:val="clear" w:color="auto" w:fill="D9D9D9" w:themeFill="background1" w:themeFillShade="D9"/>
          </w:tcPr>
          <w:p w14:paraId="4D9DDFB4" w14:textId="5B5C550D" w:rsidR="00D14631" w:rsidRPr="00F57696" w:rsidRDefault="00D14631" w:rsidP="00F57696">
            <w:pPr>
              <w:jc w:val="center"/>
              <w:rPr>
                <w:b/>
              </w:rPr>
            </w:pPr>
            <w:r>
              <w:rPr>
                <w:b/>
              </w:rPr>
              <w:t>Example in C major</w:t>
            </w:r>
          </w:p>
        </w:tc>
        <w:tc>
          <w:tcPr>
            <w:tcW w:w="5577" w:type="dxa"/>
            <w:shd w:val="clear" w:color="auto" w:fill="D9D9D9" w:themeFill="background1" w:themeFillShade="D9"/>
          </w:tcPr>
          <w:p w14:paraId="7C1BA936" w14:textId="781F9A15" w:rsidR="00D14631" w:rsidRPr="00F57696" w:rsidRDefault="00D14631" w:rsidP="00F57696">
            <w:pPr>
              <w:rPr>
                <w:b/>
              </w:rPr>
            </w:pPr>
            <w:r>
              <w:rPr>
                <w:b/>
              </w:rPr>
              <w:t>Resolution</w:t>
            </w:r>
          </w:p>
        </w:tc>
      </w:tr>
      <w:tr w:rsidR="00D14631" w14:paraId="0E197D78" w14:textId="77777777" w:rsidTr="00D63587">
        <w:trPr>
          <w:jc w:val="center"/>
        </w:trPr>
        <w:tc>
          <w:tcPr>
            <w:tcW w:w="1271" w:type="dxa"/>
          </w:tcPr>
          <w:p w14:paraId="451BE8B4" w14:textId="1B62BD78" w:rsidR="00D14631" w:rsidRDefault="00D14631" w:rsidP="00756196">
            <w:r>
              <w:t>7th (#6)</w:t>
            </w:r>
          </w:p>
        </w:tc>
        <w:tc>
          <w:tcPr>
            <w:tcW w:w="1271" w:type="dxa"/>
          </w:tcPr>
          <w:p w14:paraId="30E018B0" w14:textId="6ECCE28B" w:rsidR="00D14631" w:rsidRDefault="00D14631" w:rsidP="00756196">
            <w:r>
              <w:t>maj 3rd</w:t>
            </w:r>
          </w:p>
        </w:tc>
        <w:tc>
          <w:tcPr>
            <w:tcW w:w="1559" w:type="dxa"/>
          </w:tcPr>
          <w:p w14:paraId="60A54FAC" w14:textId="4380CA70" w:rsidR="00D14631" w:rsidRDefault="00D14631" w:rsidP="00F57696">
            <w:pPr>
              <w:jc w:val="center"/>
            </w:pPr>
            <w:r>
              <w:t>F#</w:t>
            </w:r>
          </w:p>
        </w:tc>
        <w:tc>
          <w:tcPr>
            <w:tcW w:w="5577" w:type="dxa"/>
          </w:tcPr>
          <w:p w14:paraId="201FE651" w14:textId="1DDD33EC" w:rsidR="00D14631" w:rsidRPr="00965D0B" w:rsidRDefault="00D14631" w:rsidP="00756196">
            <w:r>
              <w:t>up stepwise, because it is leading tone to dominant root</w:t>
            </w:r>
          </w:p>
        </w:tc>
      </w:tr>
      <w:tr w:rsidR="00D14631" w14:paraId="27F19EC0" w14:textId="77777777" w:rsidTr="00D63587">
        <w:trPr>
          <w:jc w:val="center"/>
        </w:trPr>
        <w:tc>
          <w:tcPr>
            <w:tcW w:w="1271" w:type="dxa"/>
          </w:tcPr>
          <w:p w14:paraId="10573282" w14:textId="77777777" w:rsidR="00D14631" w:rsidRDefault="00D14631" w:rsidP="00D63587">
            <w:r>
              <w:t>5th</w:t>
            </w:r>
          </w:p>
        </w:tc>
        <w:tc>
          <w:tcPr>
            <w:tcW w:w="1271" w:type="dxa"/>
          </w:tcPr>
          <w:p w14:paraId="7C396D4E" w14:textId="77777777" w:rsidR="00D14631" w:rsidRDefault="00D14631" w:rsidP="00D63587">
            <w:r>
              <w:t>9th</w:t>
            </w:r>
          </w:p>
        </w:tc>
        <w:tc>
          <w:tcPr>
            <w:tcW w:w="1559" w:type="dxa"/>
          </w:tcPr>
          <w:p w14:paraId="42233F80" w14:textId="67888B37" w:rsidR="00D14631" w:rsidRPr="00AD0DB4" w:rsidRDefault="00C0330A" w:rsidP="00D63587">
            <w:pPr>
              <w:jc w:val="center"/>
              <w:rPr>
                <w:lang w:val="ru-RU"/>
              </w:rPr>
            </w:pPr>
            <w:r>
              <w:t xml:space="preserve">D, </w:t>
            </w:r>
            <w:r w:rsidR="00D14631">
              <w:t>Eb (D#)</w:t>
            </w:r>
            <w:r>
              <w:t>, E</w:t>
            </w:r>
          </w:p>
        </w:tc>
        <w:tc>
          <w:tcPr>
            <w:tcW w:w="5577" w:type="dxa"/>
          </w:tcPr>
          <w:p w14:paraId="5D47D635" w14:textId="77777777" w:rsidR="00D14631" w:rsidRDefault="00D14631" w:rsidP="00D63587">
            <w:r>
              <w:t>down stepwise, as a usual 9th</w:t>
            </w:r>
          </w:p>
        </w:tc>
      </w:tr>
      <w:tr w:rsidR="00D14631" w14:paraId="0333F87E" w14:textId="77777777" w:rsidTr="00D63587">
        <w:trPr>
          <w:jc w:val="center"/>
        </w:trPr>
        <w:tc>
          <w:tcPr>
            <w:tcW w:w="1271" w:type="dxa"/>
          </w:tcPr>
          <w:p w14:paraId="77FDB5F4" w14:textId="77777777" w:rsidR="00D14631" w:rsidRDefault="00D14631" w:rsidP="00D63587">
            <w:r>
              <w:t>3rd</w:t>
            </w:r>
          </w:p>
        </w:tc>
        <w:tc>
          <w:tcPr>
            <w:tcW w:w="1271" w:type="dxa"/>
          </w:tcPr>
          <w:p w14:paraId="5B3A591C" w14:textId="77777777" w:rsidR="00D14631" w:rsidRDefault="00D14631" w:rsidP="00D63587">
            <w:r>
              <w:t>7th</w:t>
            </w:r>
          </w:p>
        </w:tc>
        <w:tc>
          <w:tcPr>
            <w:tcW w:w="1559" w:type="dxa"/>
          </w:tcPr>
          <w:p w14:paraId="68797098" w14:textId="77777777" w:rsidR="00D14631" w:rsidRDefault="00D14631" w:rsidP="00D63587">
            <w:pPr>
              <w:jc w:val="center"/>
            </w:pPr>
            <w:r>
              <w:t>C</w:t>
            </w:r>
          </w:p>
        </w:tc>
        <w:tc>
          <w:tcPr>
            <w:tcW w:w="5577" w:type="dxa"/>
          </w:tcPr>
          <w:p w14:paraId="15E166DD" w14:textId="77777777" w:rsidR="00D14631" w:rsidRPr="00AD0DB4" w:rsidRDefault="00D14631" w:rsidP="00D63587">
            <w:r>
              <w:t>down stepwise, as a usual 7th</w:t>
            </w:r>
          </w:p>
        </w:tc>
      </w:tr>
      <w:tr w:rsidR="00D14631" w14:paraId="24C621DE" w14:textId="77777777" w:rsidTr="00D14631">
        <w:tblPrEx>
          <w:jc w:val="left"/>
        </w:tblPrEx>
        <w:tc>
          <w:tcPr>
            <w:tcW w:w="1271" w:type="dxa"/>
          </w:tcPr>
          <w:p w14:paraId="1FB4DAD2" w14:textId="77777777" w:rsidR="00D14631" w:rsidRDefault="00D14631" w:rsidP="00D63587">
            <w:r>
              <w:t>Root</w:t>
            </w:r>
          </w:p>
        </w:tc>
        <w:tc>
          <w:tcPr>
            <w:tcW w:w="1271" w:type="dxa"/>
          </w:tcPr>
          <w:p w14:paraId="783B6435" w14:textId="77777777" w:rsidR="00D14631" w:rsidRDefault="00D14631" w:rsidP="00D63587">
            <w:r>
              <w:t>dim 5th</w:t>
            </w:r>
          </w:p>
        </w:tc>
        <w:tc>
          <w:tcPr>
            <w:tcW w:w="1559" w:type="dxa"/>
          </w:tcPr>
          <w:p w14:paraId="19802EC1" w14:textId="77777777" w:rsidR="00D14631" w:rsidRDefault="00D14631" w:rsidP="00D63587">
            <w:pPr>
              <w:jc w:val="center"/>
            </w:pPr>
            <w:r>
              <w:t>Ab</w:t>
            </w:r>
          </w:p>
        </w:tc>
        <w:tc>
          <w:tcPr>
            <w:tcW w:w="5577" w:type="dxa"/>
          </w:tcPr>
          <w:p w14:paraId="658E725C" w14:textId="77777777" w:rsidR="00D14631" w:rsidRDefault="00D14631" w:rsidP="00D63587">
            <w:r>
              <w:t>down stepwise</w:t>
            </w:r>
          </w:p>
        </w:tc>
      </w:tr>
    </w:tbl>
    <w:p w14:paraId="0023A6B4" w14:textId="2EB827D6" w:rsidR="004F1C52"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69DD062B" w14:textId="03F8E8E3" w:rsidR="0087535F" w:rsidRDefault="0087535F" w:rsidP="00756196">
      <w:r>
        <w:tab/>
        <w:t>If chord is not resolved to dominant chord, chord tones should resolve another way:</w:t>
      </w:r>
    </w:p>
    <w:tbl>
      <w:tblPr>
        <w:tblStyle w:val="TableGrid"/>
        <w:tblW w:w="0" w:type="auto"/>
        <w:jc w:val="center"/>
        <w:tblLook w:val="04A0" w:firstRow="1" w:lastRow="0" w:firstColumn="1" w:lastColumn="0" w:noHBand="0" w:noVBand="1"/>
      </w:tblPr>
      <w:tblGrid>
        <w:gridCol w:w="1271"/>
        <w:gridCol w:w="1559"/>
        <w:gridCol w:w="5577"/>
      </w:tblGrid>
      <w:tr w:rsidR="0087535F" w:rsidRPr="00F57696" w14:paraId="31935CED" w14:textId="77777777" w:rsidTr="00D63587">
        <w:trPr>
          <w:jc w:val="center"/>
        </w:trPr>
        <w:tc>
          <w:tcPr>
            <w:tcW w:w="1271" w:type="dxa"/>
            <w:shd w:val="clear" w:color="auto" w:fill="D9D9D9" w:themeFill="background1" w:themeFillShade="D9"/>
          </w:tcPr>
          <w:p w14:paraId="50A3FEE8" w14:textId="77777777" w:rsidR="0087535F" w:rsidRPr="00F57696" w:rsidRDefault="0087535F" w:rsidP="00D63587">
            <w:pPr>
              <w:jc w:val="center"/>
              <w:rPr>
                <w:b/>
              </w:rPr>
            </w:pPr>
            <w:r w:rsidRPr="00F57696">
              <w:rPr>
                <w:b/>
              </w:rPr>
              <w:t>Chord tone</w:t>
            </w:r>
          </w:p>
        </w:tc>
        <w:tc>
          <w:tcPr>
            <w:tcW w:w="1559" w:type="dxa"/>
            <w:shd w:val="clear" w:color="auto" w:fill="D9D9D9" w:themeFill="background1" w:themeFillShade="D9"/>
          </w:tcPr>
          <w:p w14:paraId="7179522C" w14:textId="77777777" w:rsidR="0087535F" w:rsidRPr="00F57696" w:rsidRDefault="0087535F" w:rsidP="00D63587">
            <w:pPr>
              <w:jc w:val="center"/>
              <w:rPr>
                <w:b/>
              </w:rPr>
            </w:pPr>
            <w:r>
              <w:rPr>
                <w:b/>
              </w:rPr>
              <w:t>Example in C major</w:t>
            </w:r>
          </w:p>
        </w:tc>
        <w:tc>
          <w:tcPr>
            <w:tcW w:w="5577" w:type="dxa"/>
            <w:shd w:val="clear" w:color="auto" w:fill="D9D9D9" w:themeFill="background1" w:themeFillShade="D9"/>
          </w:tcPr>
          <w:p w14:paraId="56526256" w14:textId="77777777" w:rsidR="0087535F" w:rsidRPr="00F57696" w:rsidRDefault="0087535F" w:rsidP="00D63587">
            <w:pPr>
              <w:rPr>
                <w:b/>
              </w:rPr>
            </w:pPr>
            <w:r>
              <w:rPr>
                <w:b/>
              </w:rPr>
              <w:t>Resolution</w:t>
            </w:r>
          </w:p>
        </w:tc>
      </w:tr>
      <w:tr w:rsidR="0087535F" w14:paraId="796BCC09" w14:textId="77777777" w:rsidTr="00D63587">
        <w:trPr>
          <w:jc w:val="center"/>
        </w:trPr>
        <w:tc>
          <w:tcPr>
            <w:tcW w:w="1271" w:type="dxa"/>
          </w:tcPr>
          <w:p w14:paraId="7D60C836" w14:textId="77777777" w:rsidR="0087535F" w:rsidRDefault="0087535F" w:rsidP="00D63587">
            <w:r>
              <w:t>7th (#6)</w:t>
            </w:r>
          </w:p>
        </w:tc>
        <w:tc>
          <w:tcPr>
            <w:tcW w:w="1559" w:type="dxa"/>
          </w:tcPr>
          <w:p w14:paraId="2DA5C6E7" w14:textId="77777777" w:rsidR="0087535F" w:rsidRDefault="0087535F" w:rsidP="00D63587">
            <w:pPr>
              <w:jc w:val="center"/>
            </w:pPr>
            <w:r>
              <w:t>F#</w:t>
            </w:r>
          </w:p>
        </w:tc>
        <w:tc>
          <w:tcPr>
            <w:tcW w:w="5577" w:type="dxa"/>
          </w:tcPr>
          <w:p w14:paraId="4BCC587F" w14:textId="3FD3724E" w:rsidR="0087535F" w:rsidRPr="00965D0B" w:rsidRDefault="0087535F" w:rsidP="00D63587">
            <w:r>
              <w:t>down stepwise, as a usual 7th</w:t>
            </w:r>
          </w:p>
        </w:tc>
      </w:tr>
      <w:tr w:rsidR="0087535F" w14:paraId="01E7BCEE" w14:textId="77777777" w:rsidTr="00D63587">
        <w:trPr>
          <w:jc w:val="center"/>
        </w:trPr>
        <w:tc>
          <w:tcPr>
            <w:tcW w:w="1271" w:type="dxa"/>
          </w:tcPr>
          <w:p w14:paraId="377F758C" w14:textId="77777777" w:rsidR="0087535F" w:rsidRDefault="0087535F" w:rsidP="00D63587">
            <w:r>
              <w:t>5th</w:t>
            </w:r>
          </w:p>
        </w:tc>
        <w:tc>
          <w:tcPr>
            <w:tcW w:w="1559" w:type="dxa"/>
          </w:tcPr>
          <w:p w14:paraId="732F87C4" w14:textId="77777777" w:rsidR="0087535F" w:rsidRPr="00AD0DB4" w:rsidRDefault="0087535F" w:rsidP="00D63587">
            <w:pPr>
              <w:jc w:val="center"/>
              <w:rPr>
                <w:lang w:val="ru-RU"/>
              </w:rPr>
            </w:pPr>
            <w:r>
              <w:t>D, Eb (D#), E</w:t>
            </w:r>
          </w:p>
        </w:tc>
        <w:tc>
          <w:tcPr>
            <w:tcW w:w="5577" w:type="dxa"/>
          </w:tcPr>
          <w:p w14:paraId="01785F2C" w14:textId="59158341" w:rsidR="0087535F" w:rsidRDefault="0087535F" w:rsidP="00D63587">
            <w:r>
              <w:t>not needed</w:t>
            </w:r>
          </w:p>
        </w:tc>
      </w:tr>
      <w:tr w:rsidR="0087535F" w14:paraId="7520B2D4" w14:textId="77777777" w:rsidTr="00D63587">
        <w:trPr>
          <w:jc w:val="center"/>
        </w:trPr>
        <w:tc>
          <w:tcPr>
            <w:tcW w:w="1271" w:type="dxa"/>
          </w:tcPr>
          <w:p w14:paraId="3247B4CE" w14:textId="77777777" w:rsidR="0087535F" w:rsidRDefault="0087535F" w:rsidP="00D63587">
            <w:r>
              <w:t>3rd</w:t>
            </w:r>
          </w:p>
        </w:tc>
        <w:tc>
          <w:tcPr>
            <w:tcW w:w="1559" w:type="dxa"/>
          </w:tcPr>
          <w:p w14:paraId="2A3A499B" w14:textId="77777777" w:rsidR="0087535F" w:rsidRDefault="0087535F" w:rsidP="00D63587">
            <w:pPr>
              <w:jc w:val="center"/>
            </w:pPr>
            <w:r>
              <w:t>C</w:t>
            </w:r>
          </w:p>
        </w:tc>
        <w:tc>
          <w:tcPr>
            <w:tcW w:w="5577" w:type="dxa"/>
          </w:tcPr>
          <w:p w14:paraId="1926809C" w14:textId="45A03211" w:rsidR="0087535F" w:rsidRPr="00AD0DB4" w:rsidRDefault="0087535F" w:rsidP="00D63587">
            <w:r>
              <w:t>not needed</w:t>
            </w:r>
          </w:p>
        </w:tc>
      </w:tr>
      <w:tr w:rsidR="0087535F" w14:paraId="25D14EE9" w14:textId="77777777" w:rsidTr="00D63587">
        <w:tblPrEx>
          <w:jc w:val="left"/>
        </w:tblPrEx>
        <w:tc>
          <w:tcPr>
            <w:tcW w:w="1271" w:type="dxa"/>
          </w:tcPr>
          <w:p w14:paraId="02796286" w14:textId="77777777" w:rsidR="0087535F" w:rsidRDefault="0087535F" w:rsidP="00D63587">
            <w:r>
              <w:t>Root</w:t>
            </w:r>
          </w:p>
        </w:tc>
        <w:tc>
          <w:tcPr>
            <w:tcW w:w="1559" w:type="dxa"/>
          </w:tcPr>
          <w:p w14:paraId="7D738B4F" w14:textId="77777777" w:rsidR="0087535F" w:rsidRDefault="0087535F" w:rsidP="00D63587">
            <w:pPr>
              <w:jc w:val="center"/>
            </w:pPr>
            <w:r>
              <w:t>Ab</w:t>
            </w:r>
          </w:p>
        </w:tc>
        <w:tc>
          <w:tcPr>
            <w:tcW w:w="5577" w:type="dxa"/>
          </w:tcPr>
          <w:p w14:paraId="54B45943" w14:textId="65034597" w:rsidR="0087535F" w:rsidRDefault="0087535F" w:rsidP="00D63587">
            <w:r>
              <w:t>down stepwise, why?</w:t>
            </w:r>
          </w:p>
        </w:tc>
      </w:tr>
    </w:tbl>
    <w:p w14:paraId="7F0B01A9" w14:textId="77777777" w:rsidR="0087535F" w:rsidRPr="0087535F" w:rsidRDefault="0087535F" w:rsidP="00756196"/>
    <w:p w14:paraId="73F95CF3" w14:textId="167A4405" w:rsidR="00AE13F9" w:rsidRPr="007B2061" w:rsidRDefault="00AE13F9" w:rsidP="00AE13F9">
      <w:pPr>
        <w:pStyle w:val="Heading2"/>
        <w:rPr>
          <w:lang w:val="en-US"/>
        </w:rPr>
      </w:pPr>
      <w:bookmarkStart w:id="37" w:name="_Toc37025466"/>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38"/>
      <w:r w:rsidRPr="007B2061">
        <w:rPr>
          <w:lang w:val="en-US"/>
        </w:rPr>
        <w:t>chord tones</w:t>
      </w:r>
      <w:commentRangeEnd w:id="38"/>
      <w:r w:rsidR="0048703E">
        <w:rPr>
          <w:rStyle w:val="CommentReference"/>
          <w:rFonts w:asciiTheme="minorHAnsi" w:eastAsiaTheme="minorHAnsi" w:hAnsiTheme="minorHAnsi" w:cstheme="minorBidi"/>
          <w:color w:val="auto"/>
          <w:lang w:val="en-US"/>
        </w:rPr>
        <w:commentReference w:id="38"/>
      </w:r>
      <w:bookmarkEnd w:id="37"/>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1696"/>
        <w:gridCol w:w="4372"/>
        <w:gridCol w:w="1451"/>
      </w:tblGrid>
      <w:tr w:rsidR="00CA3A2B" w:rsidRPr="00C20B8A" w14:paraId="3A24637C" w14:textId="77777777" w:rsidTr="005D5E8F">
        <w:trPr>
          <w:jc w:val="center"/>
        </w:trPr>
        <w:tc>
          <w:tcPr>
            <w:tcW w:w="1696"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4372"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5D5E8F">
        <w:trPr>
          <w:jc w:val="center"/>
        </w:trPr>
        <w:tc>
          <w:tcPr>
            <w:tcW w:w="1696" w:type="dxa"/>
          </w:tcPr>
          <w:p w14:paraId="21096AD5" w14:textId="35EFB39C" w:rsidR="00CA3A2B" w:rsidRDefault="00CA3A2B" w:rsidP="00252E2E">
            <w:pPr>
              <w:jc w:val="center"/>
            </w:pPr>
            <w:r>
              <w:t>Leading tone</w:t>
            </w:r>
            <w:r w:rsidR="00576559">
              <w:rPr>
                <w:rStyle w:val="FootnoteReference"/>
              </w:rPr>
              <w:footnoteReference w:id="7"/>
            </w:r>
          </w:p>
        </w:tc>
        <w:tc>
          <w:tcPr>
            <w:tcW w:w="4372" w:type="dxa"/>
          </w:tcPr>
          <w:p w14:paraId="01543E9B" w14:textId="0F411017" w:rsidR="00CA3A2B" w:rsidRPr="00D145F3" w:rsidRDefault="00CA3A2B" w:rsidP="00252E2E">
            <w:pPr>
              <w:jc w:val="center"/>
              <w:rPr>
                <w:u w:val="thick" w:color="FF0000"/>
              </w:rPr>
            </w:pPr>
            <w:r w:rsidRPr="00D145F3">
              <w:rPr>
                <w:u w:val="thick" w:color="FF0000"/>
              </w:rPr>
              <w:t>stepwise</w:t>
            </w:r>
            <w:r w:rsidR="003367CE">
              <w:rPr>
                <w:u w:val="thick" w:color="FF0000"/>
              </w:rPr>
              <w:t xml:space="preserve"> to tonic or 7th</w:t>
            </w:r>
            <w:r w:rsidR="00F46CC7">
              <w:rPr>
                <w:u w:val="thick" w:color="FF0000"/>
              </w:rPr>
              <w:t xml:space="preserve"> of the next chord</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2906F8D4" w14:textId="77777777" w:rsidTr="005D5E8F">
        <w:trPr>
          <w:jc w:val="center"/>
        </w:trPr>
        <w:tc>
          <w:tcPr>
            <w:tcW w:w="1696" w:type="dxa"/>
          </w:tcPr>
          <w:p w14:paraId="255DD983" w14:textId="77777777" w:rsidR="00CA3A2B" w:rsidRDefault="00CA3A2B" w:rsidP="00252E2E">
            <w:pPr>
              <w:jc w:val="center"/>
            </w:pPr>
            <w:r>
              <w:t>9th</w:t>
            </w:r>
          </w:p>
        </w:tc>
        <w:tc>
          <w:tcPr>
            <w:tcW w:w="4372" w:type="dxa"/>
          </w:tcPr>
          <w:p w14:paraId="1C6E3CE0" w14:textId="72748E76" w:rsidR="00CA3A2B" w:rsidRPr="00D145F3" w:rsidRDefault="00CA3A2B" w:rsidP="00252E2E">
            <w:pPr>
              <w:jc w:val="center"/>
              <w:rPr>
                <w:u w:val="thick" w:color="FF0000"/>
              </w:rPr>
            </w:pPr>
            <w:r w:rsidRPr="00D145F3">
              <w:rPr>
                <w:u w:val="thick" w:color="FF0000"/>
              </w:rPr>
              <w:t>stepwise</w:t>
            </w:r>
            <w:bookmarkStart w:id="39" w:name="_GoBack"/>
            <w:bookmarkEnd w:id="39"/>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903E7D" w14:paraId="2F22DE24" w14:textId="77777777" w:rsidTr="005D5E8F">
        <w:trPr>
          <w:jc w:val="center"/>
        </w:trPr>
        <w:tc>
          <w:tcPr>
            <w:tcW w:w="1696" w:type="dxa"/>
          </w:tcPr>
          <w:p w14:paraId="0CB09FF7" w14:textId="77777777" w:rsidR="00903E7D" w:rsidRDefault="00903E7D" w:rsidP="005D5E8F">
            <w:pPr>
              <w:jc w:val="center"/>
            </w:pPr>
            <w:r>
              <w:t>7th</w:t>
            </w:r>
          </w:p>
        </w:tc>
        <w:tc>
          <w:tcPr>
            <w:tcW w:w="4372" w:type="dxa"/>
          </w:tcPr>
          <w:p w14:paraId="6EF57C9A" w14:textId="576B91EE" w:rsidR="00903E7D" w:rsidRPr="00D145F3" w:rsidRDefault="005D5E8F" w:rsidP="005D5E8F">
            <w:pPr>
              <w:jc w:val="center"/>
              <w:rPr>
                <w:u w:val="thick" w:color="FF0000"/>
              </w:rPr>
            </w:pPr>
            <w:r w:rsidRPr="00D145F3">
              <w:rPr>
                <w:u w:val="thick" w:color="FF0000"/>
              </w:rPr>
              <w:t>stepwise</w:t>
            </w:r>
            <w:r>
              <w:rPr>
                <w:u w:val="thick" w:color="FF0000"/>
              </w:rPr>
              <w:t xml:space="preserve"> </w:t>
            </w:r>
            <w:r w:rsidR="00903E7D">
              <w:rPr>
                <w:u w:val="thick" w:color="FF0000"/>
              </w:rPr>
              <w:t>to 3rd or 7th of the next chord</w:t>
            </w:r>
          </w:p>
        </w:tc>
        <w:tc>
          <w:tcPr>
            <w:tcW w:w="1451" w:type="dxa"/>
          </w:tcPr>
          <w:p w14:paraId="5ABA10C9" w14:textId="77777777" w:rsidR="00903E7D" w:rsidRPr="002A4324" w:rsidRDefault="00903E7D" w:rsidP="005D5E8F">
            <w:pPr>
              <w:jc w:val="center"/>
              <w:rPr>
                <w:u w:val="thick" w:color="FFC000" w:themeColor="accent4"/>
              </w:rPr>
            </w:pPr>
            <w:r w:rsidRPr="002A4324">
              <w:rPr>
                <w:u w:val="thick" w:color="FFC000" w:themeColor="accent4"/>
              </w:rPr>
              <w:t>No</w:t>
            </w:r>
          </w:p>
        </w:tc>
      </w:tr>
      <w:tr w:rsidR="004E3CF1" w14:paraId="2E3036E7" w14:textId="77777777" w:rsidTr="005D5E8F">
        <w:trPr>
          <w:jc w:val="center"/>
        </w:trPr>
        <w:tc>
          <w:tcPr>
            <w:tcW w:w="1696" w:type="dxa"/>
          </w:tcPr>
          <w:p w14:paraId="29A09503" w14:textId="76B07F1F" w:rsidR="004E3CF1" w:rsidRPr="00C9497D" w:rsidRDefault="004E3CF1" w:rsidP="00D63587">
            <w:pPr>
              <w:jc w:val="center"/>
            </w:pPr>
            <w:r>
              <w:t>#5</w:t>
            </w:r>
            <w:r w:rsidR="00DE2BA7">
              <w:t xml:space="preserve"> or #9</w:t>
            </w:r>
          </w:p>
        </w:tc>
        <w:tc>
          <w:tcPr>
            <w:tcW w:w="4372" w:type="dxa"/>
          </w:tcPr>
          <w:p w14:paraId="108153C8" w14:textId="12B437F2" w:rsidR="004E3CF1" w:rsidRPr="00D145F3" w:rsidRDefault="004E3CF1" w:rsidP="00D63587">
            <w:pPr>
              <w:jc w:val="center"/>
              <w:rPr>
                <w:u w:val="thick" w:color="FF0000"/>
              </w:rPr>
            </w:pPr>
            <w:r w:rsidRPr="00D145F3">
              <w:rPr>
                <w:u w:val="thick" w:color="FF0000"/>
              </w:rPr>
              <w:t>stepwise</w:t>
            </w:r>
            <w:r w:rsidR="00147BF6" w:rsidRPr="00147BF6">
              <w:rPr>
                <w:u w:color="FF0000"/>
              </w:rPr>
              <w:t xml:space="preserve"> (us</w:t>
            </w:r>
            <w:r w:rsidR="00147BF6">
              <w:rPr>
                <w:u w:color="FF0000"/>
              </w:rPr>
              <w:t>u</w:t>
            </w:r>
            <w:r w:rsidR="00147BF6" w:rsidRPr="00147BF6">
              <w:rPr>
                <w:u w:color="FF0000"/>
              </w:rPr>
              <w:t>ally up)</w:t>
            </w:r>
          </w:p>
        </w:tc>
        <w:tc>
          <w:tcPr>
            <w:tcW w:w="1451" w:type="dxa"/>
          </w:tcPr>
          <w:p w14:paraId="4C77E244" w14:textId="77777777" w:rsidR="004E3CF1" w:rsidRDefault="004E3CF1" w:rsidP="00D63587">
            <w:pPr>
              <w:jc w:val="center"/>
            </w:pPr>
            <w:r w:rsidRPr="00D145F3">
              <w:rPr>
                <w:u w:val="thick" w:color="FFC000" w:themeColor="accent4"/>
              </w:rPr>
              <w:t>No</w:t>
            </w:r>
          </w:p>
        </w:tc>
      </w:tr>
      <w:tr w:rsidR="00D63587" w14:paraId="4CBA986A" w14:textId="77777777" w:rsidTr="005D5E8F">
        <w:trPr>
          <w:jc w:val="center"/>
        </w:trPr>
        <w:tc>
          <w:tcPr>
            <w:tcW w:w="1696" w:type="dxa"/>
          </w:tcPr>
          <w:p w14:paraId="48698C48" w14:textId="1D58E75C" w:rsidR="00D63587" w:rsidRDefault="00D63587" w:rsidP="00D63587">
            <w:pPr>
              <w:jc w:val="center"/>
            </w:pPr>
            <w:r>
              <w:t>b5</w:t>
            </w:r>
            <w:r w:rsidR="00DE2BA7">
              <w:t xml:space="preserve"> or b9</w:t>
            </w:r>
          </w:p>
        </w:tc>
        <w:tc>
          <w:tcPr>
            <w:tcW w:w="4372" w:type="dxa"/>
          </w:tcPr>
          <w:p w14:paraId="14377AFA" w14:textId="548EB376" w:rsidR="00D63587" w:rsidRPr="00D145F3" w:rsidRDefault="00D63587" w:rsidP="00D63587">
            <w:pPr>
              <w:jc w:val="center"/>
              <w:rPr>
                <w:u w:val="thick" w:color="FF0000"/>
              </w:rPr>
            </w:pPr>
            <w:r w:rsidRPr="00F23807">
              <w:rPr>
                <w:u w:val="thick" w:color="FF0000"/>
              </w:rPr>
              <w:t>stepwise</w:t>
            </w:r>
            <w:r w:rsidR="00147BF6" w:rsidRPr="00147BF6">
              <w:rPr>
                <w:u w:color="FF0000"/>
              </w:rPr>
              <w:t xml:space="preserve"> (usually down)</w:t>
            </w:r>
          </w:p>
        </w:tc>
        <w:tc>
          <w:tcPr>
            <w:tcW w:w="1451" w:type="dxa"/>
          </w:tcPr>
          <w:p w14:paraId="2F7593FA" w14:textId="69AFA086" w:rsidR="00D63587" w:rsidRPr="00D145F3" w:rsidRDefault="00D63587" w:rsidP="00D63587">
            <w:pPr>
              <w:jc w:val="center"/>
              <w:rPr>
                <w:u w:val="thick" w:color="FFC000" w:themeColor="accent4"/>
              </w:rPr>
            </w:pPr>
            <w:r>
              <w:rPr>
                <w:u w:val="thick" w:color="FFC000" w:themeColor="accent4"/>
              </w:rPr>
              <w:t>No</w:t>
            </w: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40"/>
      <w:r>
        <w:t xml:space="preserve">becomes a </w:t>
      </w:r>
      <w:r w:rsidR="00647B1F">
        <w:t xml:space="preserve">stable </w:t>
      </w:r>
      <w:r>
        <w:t xml:space="preserve">chord tone </w:t>
      </w:r>
      <w:commentRangeEnd w:id="40"/>
      <w:r w:rsidR="0048703E">
        <w:rPr>
          <w:rStyle w:val="CommentReference"/>
        </w:rPr>
        <w:commentReference w:id="40"/>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1" w:name="_Toc22511350"/>
      <w:bookmarkStart w:id="42" w:name="_Toc37025467"/>
      <w:bookmarkStart w:id="43" w:name="OLE_LINK86"/>
      <w:bookmarkStart w:id="44" w:name="OLE_LINK87"/>
      <w:r w:rsidRPr="003F611A">
        <w:rPr>
          <w:lang w:val="en-US"/>
        </w:rPr>
        <w:t>Harmonic tritone</w:t>
      </w:r>
      <w:bookmarkEnd w:id="41"/>
      <w:bookmarkEnd w:id="42"/>
    </w:p>
    <w:bookmarkEnd w:id="43"/>
    <w:bookmarkEnd w:id="44"/>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lastRenderedPageBreak/>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5"/>
      <w:r w:rsidRPr="00516B91">
        <w:t xml:space="preserve">does not contain note </w:t>
      </w:r>
      <w:commentRangeEnd w:id="45"/>
      <w:r>
        <w:rPr>
          <w:rStyle w:val="CommentReference"/>
        </w:rPr>
        <w:commentReference w:id="45"/>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6" w:name="_Toc37025468"/>
      <w:r>
        <w:rPr>
          <w:lang w:val="en-US"/>
        </w:rPr>
        <w:t>Leading tone</w:t>
      </w:r>
      <w:bookmarkEnd w:id="46"/>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7" w:name="_Ref532686665"/>
            <w:r>
              <w:rPr>
                <w:rStyle w:val="FootnoteReference"/>
              </w:rPr>
              <w:footnoteReference w:id="8"/>
            </w:r>
            <w:bookmarkEnd w:id="47"/>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48"/>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8"/>
      <w:r w:rsidR="00747C53">
        <w:rPr>
          <w:rStyle w:val="CommentReference"/>
        </w:rPr>
        <w:commentReference w:id="48"/>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49"/>
      <w:r w:rsidRPr="002A0320">
        <w:rPr>
          <w:u w:val="thick" w:color="FFC000" w:themeColor="accent4"/>
        </w:rPr>
        <w:t>VII note in major and VII# note in melodic minor cannot be non-chord tone if it is the last note in penultimate measure</w:t>
      </w:r>
      <w:commentRangeEnd w:id="49"/>
      <w:r>
        <w:rPr>
          <w:rStyle w:val="CommentReference"/>
        </w:rPr>
        <w:commentReference w:id="49"/>
      </w:r>
      <w:r>
        <w:t>.</w:t>
      </w:r>
    </w:p>
    <w:p w14:paraId="6F5E1709" w14:textId="07EFA066" w:rsidR="00DB0854" w:rsidRDefault="00235023" w:rsidP="00235023">
      <w:pPr>
        <w:ind w:firstLine="720"/>
      </w:pPr>
      <w:r w:rsidRPr="004E343B">
        <w:rPr>
          <w:b/>
          <w:noProof/>
          <w:position w:val="-6"/>
        </w:rPr>
        <w:lastRenderedPageBreak/>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50" w:name="_Toc37025469"/>
      <w:r w:rsidRPr="00233E05">
        <w:rPr>
          <w:lang w:val="en-US"/>
        </w:rPr>
        <w:t>Phrases</w:t>
      </w:r>
      <w:bookmarkEnd w:id="50"/>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1"/>
      <w:r>
        <w:t>V</w:t>
      </w:r>
      <w:commentRangeEnd w:id="51"/>
      <w:r>
        <w:rPr>
          <w:rStyle w:val="CommentReference"/>
        </w:rPr>
        <w:commentReference w:id="51"/>
      </w:r>
      <w:r>
        <w:t>)</w:t>
      </w:r>
    </w:p>
    <w:p w14:paraId="2A85070D" w14:textId="77777777" w:rsidR="00A517E2" w:rsidRDefault="00A517E2" w:rsidP="00A517E2">
      <w:pPr>
        <w:pStyle w:val="ListParagraph"/>
        <w:numPr>
          <w:ilvl w:val="1"/>
          <w:numId w:val="4"/>
        </w:numPr>
      </w:pPr>
      <w:r>
        <w:t>plagal half-cadence (</w:t>
      </w:r>
      <w:commentRangeStart w:id="52"/>
      <w:r>
        <w:t>IV</w:t>
      </w:r>
      <w:commentRangeEnd w:id="52"/>
      <w:r>
        <w:rPr>
          <w:rStyle w:val="CommentReference"/>
        </w:rPr>
        <w:commentReference w:id="52"/>
      </w:r>
      <w:r>
        <w:t>)</w:t>
      </w:r>
    </w:p>
    <w:p w14:paraId="4C6C4953" w14:textId="77777777" w:rsidR="00A517E2" w:rsidRDefault="00A517E2" w:rsidP="00A517E2">
      <w:pPr>
        <w:pStyle w:val="ListParagraph"/>
        <w:numPr>
          <w:ilvl w:val="1"/>
          <w:numId w:val="4"/>
        </w:numPr>
      </w:pPr>
      <w:r>
        <w:t>deceptive (interrupted) cadence (V-</w:t>
      </w:r>
      <w:commentRangeStart w:id="53"/>
      <w:r>
        <w:t>VI</w:t>
      </w:r>
      <w:commentRangeEnd w:id="53"/>
      <w:r>
        <w:rPr>
          <w:rStyle w:val="CommentReference"/>
        </w:rPr>
        <w:commentReference w:id="53"/>
      </w:r>
      <w:r>
        <w:t>)</w:t>
      </w:r>
    </w:p>
    <w:p w14:paraId="7145D98E" w14:textId="77777777" w:rsidR="00A517E2" w:rsidRDefault="00A517E2" w:rsidP="00A517E2">
      <w:pPr>
        <w:pStyle w:val="ListParagraph"/>
        <w:numPr>
          <w:ilvl w:val="1"/>
          <w:numId w:val="4"/>
        </w:numPr>
      </w:pPr>
      <w:r>
        <w:t>plagal cadence (IV-</w:t>
      </w:r>
      <w:commentRangeStart w:id="54"/>
      <w:r>
        <w:t>I</w:t>
      </w:r>
      <w:commentRangeEnd w:id="54"/>
      <w:r>
        <w:rPr>
          <w:rStyle w:val="CommentReference"/>
        </w:rPr>
        <w:commentReference w:id="54"/>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9"/>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5"/>
      <w:r>
        <w:t>IV</w:t>
      </w:r>
      <w:commentRangeEnd w:id="55"/>
      <w:r>
        <w:rPr>
          <w:rStyle w:val="CommentReference"/>
        </w:rPr>
        <w:commentReference w:id="55"/>
      </w:r>
      <w:r>
        <w:t>-I)</w:t>
      </w:r>
    </w:p>
    <w:p w14:paraId="037F67CE" w14:textId="5F994FD4" w:rsidR="00D17F7A" w:rsidRDefault="0071065D" w:rsidP="00E87166">
      <w:pPr>
        <w:pStyle w:val="Heading2"/>
      </w:pPr>
      <w:bookmarkStart w:id="56" w:name="_Toc37025470"/>
      <w:r>
        <w:t>C</w:t>
      </w:r>
      <w:r w:rsidR="00953833">
        <w:t>adence</w:t>
      </w:r>
      <w:bookmarkEnd w:id="56"/>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7" w:name="_Toc37025471"/>
      <w:r>
        <w:rPr>
          <w:lang w:val="en-US"/>
        </w:rPr>
        <w:t>Perfect authentic cadence</w:t>
      </w:r>
      <w:bookmarkEnd w:id="57"/>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lastRenderedPageBreak/>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8" w:name="_Toc37025472"/>
      <w:r w:rsidRPr="00D17F7A">
        <w:rPr>
          <w:lang w:val="en-US"/>
        </w:rPr>
        <w:t>I</w:t>
      </w:r>
      <w:r>
        <w:rPr>
          <w:lang w:val="en-US"/>
        </w:rPr>
        <w:t>mperfect</w:t>
      </w:r>
      <w:r w:rsidRPr="00D17F7A">
        <w:rPr>
          <w:lang w:val="en-US"/>
        </w:rPr>
        <w:t xml:space="preserve"> authentic cadence</w:t>
      </w:r>
      <w:bookmarkEnd w:id="58"/>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9" w:name="_Toc37025473"/>
      <w:r w:rsidRPr="00D17F7A">
        <w:rPr>
          <w:lang w:val="en-US"/>
        </w:rPr>
        <w:t>Half cadence</w:t>
      </w:r>
      <w:bookmarkEnd w:id="59"/>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60" w:name="_Toc37025474"/>
      <w:r w:rsidRPr="00D17F7A">
        <w:rPr>
          <w:lang w:val="en-US"/>
        </w:rPr>
        <w:t>Plagal cadence</w:t>
      </w:r>
      <w:bookmarkEnd w:id="60"/>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1" w:name="_Toc37025475"/>
      <w:r w:rsidRPr="00D17F7A">
        <w:rPr>
          <w:lang w:val="en-US"/>
        </w:rPr>
        <w:t>Deceptive cadence</w:t>
      </w:r>
      <w:bookmarkEnd w:id="61"/>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2"/>
      <w:r>
        <w:t>root position</w:t>
      </w:r>
      <w:commentRangeEnd w:id="62"/>
      <w:r w:rsidR="00A75942">
        <w:rPr>
          <w:rStyle w:val="CommentReference"/>
        </w:rPr>
        <w:commentReference w:id="62"/>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3" w:name="_Toc37025476"/>
      <w:r>
        <w:rPr>
          <w:lang w:val="en-US"/>
        </w:rPr>
        <w:t>Auxiliary</w:t>
      </w:r>
      <w:r w:rsidRPr="00D17F7A">
        <w:rPr>
          <w:lang w:val="en-US"/>
        </w:rPr>
        <w:t xml:space="preserve"> cadence</w:t>
      </w:r>
      <w:bookmarkEnd w:id="63"/>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4" w:name="_Toc37025477"/>
      <w:r w:rsidRPr="00E87166">
        <w:rPr>
          <w:lang w:val="en-US"/>
        </w:rPr>
        <w:t>Non-harmonic tones</w:t>
      </w:r>
      <w:bookmarkEnd w:id="64"/>
    </w:p>
    <w:p w14:paraId="330DBEC7" w14:textId="77777777" w:rsidR="00E87166" w:rsidRPr="00FB07CB" w:rsidRDefault="00E87166" w:rsidP="00E87166">
      <w:r>
        <w:tab/>
        <w:t>Non-harmonic tone is a melodic note, which is always shorter than current harmony.</w:t>
      </w:r>
    </w:p>
    <w:p w14:paraId="315C95F6" w14:textId="77777777" w:rsidR="00E87166" w:rsidRDefault="00E87166" w:rsidP="00E87166">
      <w:pPr>
        <w:pStyle w:val="Heading3"/>
        <w:numPr>
          <w:ilvl w:val="0"/>
          <w:numId w:val="0"/>
        </w:numPr>
        <w:rPr>
          <w:lang w:val="en-US"/>
        </w:rPr>
      </w:pPr>
      <w:bookmarkStart w:id="65" w:name="_Toc37025478"/>
      <w:r>
        <w:rPr>
          <w:lang w:val="en-US"/>
        </w:rPr>
        <w:t>Escape notes</w:t>
      </w:r>
      <w:bookmarkEnd w:id="65"/>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0"/>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6" w:name="_Toc37025479"/>
      <w:r>
        <w:rPr>
          <w:lang w:val="en-US"/>
        </w:rPr>
        <w:t>Appoggiatura</w:t>
      </w:r>
      <w:bookmarkEnd w:id="66"/>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7"/>
      <w:r>
        <w:t xml:space="preserve">resolution </w:t>
      </w:r>
      <w:commentRangeEnd w:id="67"/>
      <w:r w:rsidR="00B7232D">
        <w:rPr>
          <w:rStyle w:val="CommentReference"/>
        </w:rPr>
        <w:commentReference w:id="67"/>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8" w:name="_Toc37025480"/>
      <w:r>
        <w:rPr>
          <w:lang w:val="en-US"/>
        </w:rPr>
        <w:lastRenderedPageBreak/>
        <w:t>Anticipation</w:t>
      </w:r>
      <w:bookmarkEnd w:id="68"/>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69" w:name="_Toc37025481"/>
      <w:r w:rsidRPr="00B53445">
        <w:rPr>
          <w:lang w:val="en-US"/>
        </w:rPr>
        <w:t>Modulation</w:t>
      </w:r>
      <w:bookmarkEnd w:id="69"/>
    </w:p>
    <w:p w14:paraId="037C4601" w14:textId="4E0C891E" w:rsidR="00B736F2" w:rsidRDefault="00B736F2" w:rsidP="00E87166">
      <w:r>
        <w:tab/>
        <w:t>Modulation is</w:t>
      </w:r>
      <w:r w:rsidR="00F41215">
        <w:t xml:space="preserve"> the</w:t>
      </w:r>
      <w:r>
        <w:t xml:space="preserve"> changing of the key.</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70"/>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70"/>
      <w:r w:rsidR="007975F5">
        <w:rPr>
          <w:rStyle w:val="CommentReference"/>
        </w:rPr>
        <w:commentReference w:id="70"/>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5D5E8F" w:rsidRPr="00D9295D" w:rsidRDefault="005D5E8F"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5D5E8F" w:rsidRPr="003E3982" w:rsidRDefault="005D5E8F">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5D5E8F" w:rsidRPr="00FF0076" w:rsidRDefault="005D5E8F">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1" w:author="Rualark" w:date="2019-12-26T00:10:00Z" w:initials="R">
    <w:p w14:paraId="1FCF6F5B" w14:textId="057525F6" w:rsidR="005D5E8F" w:rsidRPr="007F0D6C" w:rsidRDefault="005D5E8F">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5D5E8F" w:rsidRPr="007F0D6C" w:rsidRDefault="005D5E8F">
      <w:pPr>
        <w:pStyle w:val="CommentText"/>
        <w:rPr>
          <w:color w:val="FF0000"/>
          <w:lang w:val="ru-RU"/>
        </w:rPr>
      </w:pPr>
    </w:p>
    <w:p w14:paraId="10CFD50C" w14:textId="5C8FB193" w:rsidR="005D5E8F" w:rsidRPr="007F0D6C" w:rsidRDefault="005D5E8F">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5D5E8F" w:rsidRPr="00C73D4D" w:rsidRDefault="005D5E8F">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5D5E8F" w:rsidRPr="00910338" w:rsidRDefault="005D5E8F">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5" w:author="Rualark Rualark" w:date="2020-04-11T00:28:00Z" w:initials="RR">
    <w:p w14:paraId="0D124351" w14:textId="263CA89A" w:rsidR="005D5E8F" w:rsidRPr="002F0CED" w:rsidRDefault="005D5E8F">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29" w:author="Rualark" w:date="2019-12-23T22:55:00Z" w:initials="R">
    <w:p w14:paraId="7B4BF327" w14:textId="1FA3E702" w:rsidR="005D5E8F" w:rsidRPr="003A54D0" w:rsidRDefault="005D5E8F">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0" w:author="Rualark" w:date="2019-12-23T23:01:00Z" w:initials="R">
    <w:p w14:paraId="37CE863D" w14:textId="2F1DBFEF" w:rsidR="005D5E8F" w:rsidRPr="004812DB" w:rsidRDefault="005D5E8F">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3" w:author="Rualark" w:date="2019-12-23T22:21:00Z" w:initials="R">
    <w:p w14:paraId="76606A1A" w14:textId="1281B9B7" w:rsidR="005D5E8F" w:rsidRPr="00274049" w:rsidRDefault="005D5E8F">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4" w:author="Rualark" w:date="2019-12-23T22:31:00Z" w:initials="R">
    <w:p w14:paraId="5015BB09" w14:textId="5667C9B1" w:rsidR="005D5E8F" w:rsidRPr="00E66739" w:rsidRDefault="005D5E8F">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8" w:author="Rualark Rualark" w:date="2020-03-31T02:13:00Z" w:initials="RR">
    <w:p w14:paraId="226DFCB0" w14:textId="43A4AF8D" w:rsidR="005D5E8F" w:rsidRPr="0048703E" w:rsidRDefault="005D5E8F">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40" w:author="Rualark Rualark" w:date="2020-03-31T02:13:00Z" w:initials="RR">
    <w:p w14:paraId="0F6ADBE4" w14:textId="77777777" w:rsidR="005D5E8F" w:rsidRDefault="005D5E8F">
      <w:pPr>
        <w:pStyle w:val="CommentText"/>
        <w:rPr>
          <w:lang w:val="ru-RU"/>
        </w:rPr>
      </w:pPr>
      <w:r>
        <w:rPr>
          <w:rStyle w:val="CommentReference"/>
        </w:rPr>
        <w:annotationRef/>
      </w:r>
      <w:r>
        <w:rPr>
          <w:lang w:val="ru-RU"/>
        </w:rPr>
        <w:t>А что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Pr>
          <w:lang w:val="ru-RU"/>
        </w:rPr>
        <w:t>?</w:t>
      </w:r>
    </w:p>
    <w:p w14:paraId="56401D22" w14:textId="77777777" w:rsidR="005D5E8F" w:rsidRDefault="005D5E8F">
      <w:pPr>
        <w:pStyle w:val="CommentText"/>
        <w:rPr>
          <w:lang w:val="ru-RU"/>
        </w:rPr>
      </w:pPr>
    </w:p>
    <w:p w14:paraId="20E375B1" w14:textId="3490F9D5" w:rsidR="005D5E8F" w:rsidRPr="008D7113" w:rsidRDefault="005D5E8F">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Pr="008D7113">
        <w:rPr>
          <w:lang w:val="ru-RU"/>
        </w:rPr>
        <w:t xml:space="preserve"> </w:t>
      </w:r>
      <w:r w:rsidRPr="008D7113">
        <w:rPr>
          <w:b/>
          <w:bCs/>
          <w:color w:val="5B9BD5" w:themeColor="accent1"/>
          <w:lang w:val="ru-RU"/>
        </w:rPr>
        <w:t>Да.</w:t>
      </w:r>
    </w:p>
  </w:comment>
  <w:comment w:id="45" w:author="Rualark Rualark" w:date="2020-03-31T22:18:00Z" w:initials="RR">
    <w:p w14:paraId="165B7AA3" w14:textId="77777777" w:rsidR="005D5E8F" w:rsidRPr="00097B11" w:rsidRDefault="005D5E8F"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8" w:author="Rualark Rualark" w:date="2020-03-31T22:25:00Z" w:initials="RR">
    <w:p w14:paraId="5932D31B" w14:textId="4ACCE1CB" w:rsidR="005D5E8F" w:rsidRPr="00747C53" w:rsidRDefault="005D5E8F">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49" w:author="Rualark" w:date="2020-02-18T23:35:00Z" w:initials="R">
    <w:p w14:paraId="16B6CC2A" w14:textId="77777777" w:rsidR="005D5E8F" w:rsidRPr="00030F9C" w:rsidRDefault="005D5E8F"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1" w:author="Rualark" w:date="2019-12-24T23:06:00Z" w:initials="R">
    <w:p w14:paraId="74378722" w14:textId="77777777" w:rsidR="005D5E8F" w:rsidRPr="00A517E2" w:rsidRDefault="005D5E8F"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2" w:author="Rualark" w:date="2019-12-23T00:58:00Z" w:initials="R">
    <w:p w14:paraId="114807E9" w14:textId="77777777" w:rsidR="005D5E8F" w:rsidRPr="002D3E7C" w:rsidRDefault="005D5E8F"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3" w:author="Rualark" w:date="2019-12-23T00:59:00Z" w:initials="R">
    <w:p w14:paraId="13642022" w14:textId="77777777" w:rsidR="005D5E8F" w:rsidRPr="007D5DFD" w:rsidRDefault="005D5E8F"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4" w:author="Rualark" w:date="2019-12-23T01:00:00Z" w:initials="R">
    <w:p w14:paraId="03316B75" w14:textId="77777777" w:rsidR="005D5E8F" w:rsidRPr="007D5DFD" w:rsidRDefault="005D5E8F"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5" w:author="Rualark" w:date="2019-12-23T01:07:00Z" w:initials="R">
    <w:p w14:paraId="19F41656" w14:textId="77777777" w:rsidR="005D5E8F" w:rsidRPr="00947F74" w:rsidRDefault="005D5E8F"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2" w:author="Rualark" w:date="2020-02-18T20:54:00Z" w:initials="R">
    <w:p w14:paraId="28CEF3E2" w14:textId="23BC09B1" w:rsidR="005D5E8F" w:rsidRPr="00A75942" w:rsidRDefault="005D5E8F">
      <w:pPr>
        <w:pStyle w:val="CommentText"/>
        <w:rPr>
          <w:lang w:val="ru-RU"/>
        </w:rPr>
      </w:pPr>
      <w:r w:rsidRPr="00A75942">
        <w:rPr>
          <w:rStyle w:val="CommentReference"/>
          <w:color w:val="FF0000"/>
        </w:rPr>
        <w:annotationRef/>
      </w:r>
      <w:r w:rsidRPr="00A75942">
        <w:rPr>
          <w:color w:val="FF0000"/>
          <w:lang w:val="ru-RU"/>
        </w:rPr>
        <w:t>Почему?</w:t>
      </w:r>
    </w:p>
  </w:comment>
  <w:comment w:id="67" w:author="Rualark Rualark" w:date="2020-04-05T15:27:00Z" w:initials="RR">
    <w:p w14:paraId="3CF7E588" w14:textId="5D801422" w:rsidR="005D5E8F" w:rsidRPr="00B7232D" w:rsidRDefault="005D5E8F">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r>
        <w:rPr>
          <w:lang w:val="ru-RU"/>
        </w:rPr>
        <w:t>он конечно разрешен. А какие другие варианты подготовки/разрешения апподжиатуры допустим?</w:t>
      </w:r>
    </w:p>
  </w:comment>
  <w:comment w:id="70" w:author="Rualark Rualark" w:date="2020-04-05T14:29:00Z" w:initials="RR">
    <w:p w14:paraId="0E9E053E" w14:textId="137DF4DF" w:rsidR="005D5E8F" w:rsidRPr="007975F5" w:rsidRDefault="005D5E8F">
      <w:pPr>
        <w:pStyle w:val="CommentText"/>
        <w:rPr>
          <w:lang w:val="ru-RU"/>
        </w:rPr>
      </w:pPr>
      <w:r>
        <w:rPr>
          <w:rStyle w:val="CommentReference"/>
        </w:rPr>
        <w:annotationRef/>
      </w:r>
      <w:r>
        <w:rPr>
          <w:lang w:val="ru-RU"/>
        </w:rPr>
        <w:t>Почему?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5D5E8F" w:rsidRDefault="005D5E8F" w:rsidP="00F7102B">
      <w:pPr>
        <w:spacing w:after="0" w:line="240" w:lineRule="auto"/>
      </w:pPr>
      <w:r>
        <w:separator/>
      </w:r>
    </w:p>
  </w:endnote>
  <w:endnote w:type="continuationSeparator" w:id="0">
    <w:p w14:paraId="0EEAC551" w14:textId="77777777" w:rsidR="005D5E8F" w:rsidRDefault="005D5E8F" w:rsidP="00F7102B">
      <w:pPr>
        <w:spacing w:after="0" w:line="240" w:lineRule="auto"/>
      </w:pPr>
      <w:r>
        <w:continuationSeparator/>
      </w:r>
    </w:p>
  </w:endnote>
  <w:endnote w:type="continuationNotice" w:id="1">
    <w:p w14:paraId="262C6CB3" w14:textId="77777777" w:rsidR="005D5E8F" w:rsidRDefault="005D5E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5D5E8F" w:rsidRDefault="005D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5D5E8F" w:rsidRDefault="005D5E8F" w:rsidP="00F7102B">
      <w:pPr>
        <w:spacing w:after="0" w:line="240" w:lineRule="auto"/>
      </w:pPr>
      <w:r>
        <w:separator/>
      </w:r>
    </w:p>
  </w:footnote>
  <w:footnote w:type="continuationSeparator" w:id="0">
    <w:p w14:paraId="55E61DE7" w14:textId="77777777" w:rsidR="005D5E8F" w:rsidRDefault="005D5E8F" w:rsidP="00F7102B">
      <w:pPr>
        <w:spacing w:after="0" w:line="240" w:lineRule="auto"/>
      </w:pPr>
      <w:r>
        <w:continuationSeparator/>
      </w:r>
    </w:p>
  </w:footnote>
  <w:footnote w:type="continuationNotice" w:id="1">
    <w:p w14:paraId="025B364C" w14:textId="77777777" w:rsidR="005D5E8F" w:rsidRDefault="005D5E8F">
      <w:pPr>
        <w:spacing w:after="0" w:line="240" w:lineRule="auto"/>
      </w:pPr>
    </w:p>
  </w:footnote>
  <w:footnote w:id="2">
    <w:p w14:paraId="43B88301" w14:textId="77777777" w:rsidR="005D5E8F" w:rsidRPr="001224B6" w:rsidRDefault="005D5E8F"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5D5E8F" w:rsidRDefault="005D5E8F">
      <w:pPr>
        <w:pStyle w:val="FootnoteText"/>
      </w:pPr>
      <w:r>
        <w:rPr>
          <w:rStyle w:val="FootnoteReference"/>
        </w:rPr>
        <w:footnoteRef/>
      </w:r>
      <w:r>
        <w:t xml:space="preserve"> Octave leap in bass does not break syncope.</w:t>
      </w:r>
    </w:p>
  </w:footnote>
  <w:footnote w:id="4">
    <w:p w14:paraId="5737B319" w14:textId="1294E097" w:rsidR="005D5E8F" w:rsidRPr="003506A0" w:rsidRDefault="005D5E8F">
      <w:pPr>
        <w:pStyle w:val="FootnoteText"/>
      </w:pPr>
      <w:r>
        <w:rPr>
          <w:rStyle w:val="FootnoteReference"/>
        </w:rPr>
        <w:footnoteRef/>
      </w:r>
      <w:r>
        <w:t xml:space="preserve"> Second inversion of a 7th chord is allowed outside cadence.</w:t>
      </w:r>
    </w:p>
  </w:footnote>
  <w:footnote w:id="5">
    <w:p w14:paraId="36FAB104" w14:textId="1D42A207" w:rsidR="005D5E8F" w:rsidRDefault="005D5E8F"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5D5E8F" w:rsidRDefault="005D5E8F"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5ACBA0D0" w14:textId="24F5FD31" w:rsidR="005D5E8F" w:rsidRPr="005D5E8F" w:rsidRDefault="005D5E8F">
      <w:pPr>
        <w:pStyle w:val="FootnoteText"/>
        <w:rPr>
          <w:lang w:val="ru-RU"/>
        </w:rPr>
      </w:pPr>
      <w:r>
        <w:rPr>
          <w:rStyle w:val="FootnoteReference"/>
        </w:rPr>
        <w:footnoteRef/>
      </w:r>
      <w:r>
        <w:t xml:space="preserve"> Leading tone of a secondary dominant should resolve to secondary tonic degree. In a diminished chord one of chord tones is a leading tone, depending on the tonic of the next chord.</w:t>
      </w:r>
    </w:p>
  </w:footnote>
  <w:footnote w:id="8">
    <w:p w14:paraId="440A4BC2" w14:textId="77777777" w:rsidR="005D5E8F" w:rsidRDefault="005D5E8F" w:rsidP="00CF318A">
      <w:pPr>
        <w:pStyle w:val="FootnoteText"/>
      </w:pPr>
      <w:r>
        <w:rPr>
          <w:rStyle w:val="FootnoteReference"/>
        </w:rPr>
        <w:footnoteRef/>
      </w:r>
      <w:r>
        <w:t xml:space="preserve"> Each of the first and the second chords in the table can be in root position or first inversion.</w:t>
      </w:r>
    </w:p>
  </w:footnote>
  <w:footnote w:id="9">
    <w:p w14:paraId="4409A8E0" w14:textId="77777777" w:rsidR="005D5E8F" w:rsidRDefault="005D5E8F"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0">
    <w:p w14:paraId="76C3DBFD" w14:textId="7A346627" w:rsidR="005D5E8F" w:rsidRDefault="005D5E8F">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5D5E8F" w:rsidRDefault="005D5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47BF6"/>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2C26"/>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67CE"/>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3CF1"/>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6559"/>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5E8F"/>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062E1"/>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35F"/>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5038"/>
    <w:rsid w:val="008E64A5"/>
    <w:rsid w:val="008E6782"/>
    <w:rsid w:val="008E69A0"/>
    <w:rsid w:val="008E7402"/>
    <w:rsid w:val="008E74C3"/>
    <w:rsid w:val="008E7D9C"/>
    <w:rsid w:val="008F041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3E7D"/>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AF1"/>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482"/>
    <w:rsid w:val="00B77783"/>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30A"/>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441C"/>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631"/>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358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BA7"/>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026"/>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3807"/>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46CC7"/>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2FC0"/>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7C97-DED5-48FD-890F-5D5B2624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37863</TotalTime>
  <Pages>12</Pages>
  <Words>3455</Words>
  <Characters>19699</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488</cp:revision>
  <cp:lastPrinted>2019-10-20T21:48:00Z</cp:lastPrinted>
  <dcterms:created xsi:type="dcterms:W3CDTF">2019-12-22T17:26:00Z</dcterms:created>
  <dcterms:modified xsi:type="dcterms:W3CDTF">2020-05-10T18:51:00Z</dcterms:modified>
</cp:coreProperties>
</file>