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endnotes.xml" ContentType="application/vnd.openxmlformats-officedocument.wordprocessingml.endnotes+xml"/>
  <Override PartName="/word/charts/chart7.xml" ContentType="application/vnd.openxmlformats-officedocument.drawingml.chart+xml"/>
  <Override PartName="/word/theme/theme1.xml" ContentType="application/vnd.openxmlformats-officedocument.theme+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1.xml" ContentType="application/vnd.openxmlformats-officedocument.drawingml.chart+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23A7" w:rsidRPr="00B73B5C" w:rsidRDefault="00FF23A7" w:rsidP="00FF23A7">
      <w:pPr>
        <w:spacing w:after="0"/>
        <w:jc w:val="center"/>
        <w:rPr>
          <w:b/>
          <w:sz w:val="32"/>
        </w:rPr>
      </w:pPr>
    </w:p>
    <w:p w:rsidR="00083B86" w:rsidRDefault="00083B86" w:rsidP="00FF23A7">
      <w:pPr>
        <w:spacing w:after="0"/>
        <w:jc w:val="center"/>
        <w:rPr>
          <w:rFonts w:asciiTheme="majorHAnsi" w:hAnsiTheme="majorHAnsi"/>
          <w:b/>
          <w:sz w:val="48"/>
          <w:lang w:val="en-GB"/>
        </w:rPr>
        <w:sectPr w:rsidR="00083B86">
          <w:footerReference w:type="even" r:id="rId9"/>
          <w:footerReference w:type="default" r:id="rId10"/>
          <w:pgSz w:w="11900" w:h="16840"/>
          <w:pgMar w:top="1418" w:right="1418" w:bottom="1418" w:left="1418" w:header="709" w:footer="709" w:gutter="0"/>
          <w:cols w:num="2" w:space="708"/>
        </w:sectPr>
      </w:pPr>
    </w:p>
    <w:p w:rsidR="00FF23A7" w:rsidRPr="00FF23A7" w:rsidRDefault="00FF23A7" w:rsidP="00FF23A7">
      <w:pPr>
        <w:spacing w:after="0"/>
        <w:jc w:val="center"/>
        <w:rPr>
          <w:rFonts w:asciiTheme="majorHAnsi" w:hAnsiTheme="majorHAnsi"/>
          <w:b/>
          <w:sz w:val="48"/>
          <w:lang w:val="en-GB"/>
        </w:rPr>
      </w:pPr>
      <w:r w:rsidRPr="00FF23A7">
        <w:rPr>
          <w:rFonts w:asciiTheme="majorHAnsi" w:hAnsiTheme="majorHAnsi"/>
          <w:b/>
          <w:sz w:val="48"/>
          <w:lang w:val="en-GB"/>
        </w:rPr>
        <w:lastRenderedPageBreak/>
        <w:t xml:space="preserve">Codex Trust Fund </w:t>
      </w:r>
    </w:p>
    <w:p w:rsidR="00FF23A7" w:rsidRPr="00FF23A7" w:rsidRDefault="00FF23A7" w:rsidP="00FF23A7">
      <w:pPr>
        <w:spacing w:after="0"/>
        <w:jc w:val="center"/>
        <w:rPr>
          <w:rFonts w:asciiTheme="majorHAnsi" w:hAnsiTheme="majorHAnsi"/>
          <w:b/>
          <w:sz w:val="48"/>
          <w:lang w:val="en-GB"/>
        </w:rPr>
      </w:pPr>
      <w:r w:rsidRPr="00FF23A7">
        <w:rPr>
          <w:rFonts w:asciiTheme="majorHAnsi" w:hAnsiTheme="majorHAnsi"/>
          <w:b/>
          <w:sz w:val="48"/>
          <w:lang w:val="en-GB"/>
        </w:rPr>
        <w:t>Mid-Term Review</w:t>
      </w:r>
    </w:p>
    <w:p w:rsidR="00083B86" w:rsidRDefault="00083B86" w:rsidP="00FF23A7">
      <w:pPr>
        <w:spacing w:after="0"/>
        <w:rPr>
          <w:lang w:val="en-GB"/>
        </w:rPr>
        <w:sectPr w:rsidR="00083B86">
          <w:type w:val="continuous"/>
          <w:pgSz w:w="11900" w:h="16840"/>
          <w:pgMar w:top="1418" w:right="1418" w:bottom="1418" w:left="1418" w:header="709" w:footer="709" w:gutter="0"/>
          <w:cols w:space="708"/>
        </w:sectPr>
      </w:pPr>
    </w:p>
    <w:p w:rsidR="00FF23A7" w:rsidRDefault="00FF23A7" w:rsidP="00FF23A7">
      <w:pPr>
        <w:spacing w:after="0"/>
        <w:rPr>
          <w:lang w:val="en-GB"/>
        </w:rPr>
      </w:pPr>
    </w:p>
    <w:p w:rsidR="00FF23A7" w:rsidRDefault="00FF23A7" w:rsidP="00FF23A7">
      <w:pPr>
        <w:spacing w:after="0"/>
        <w:rPr>
          <w:lang w:val="en-GB"/>
        </w:rPr>
      </w:pPr>
    </w:p>
    <w:p w:rsidR="00FF23A7" w:rsidRDefault="00FF23A7" w:rsidP="00FF23A7">
      <w:pPr>
        <w:spacing w:after="0"/>
        <w:rPr>
          <w:lang w:val="en-GB"/>
        </w:rPr>
      </w:pPr>
    </w:p>
    <w:p w:rsidR="00FF23A7" w:rsidRDefault="00FF23A7" w:rsidP="00FF23A7">
      <w:pPr>
        <w:spacing w:after="0"/>
        <w:rPr>
          <w:lang w:val="en-GB"/>
        </w:rPr>
      </w:pPr>
    </w:p>
    <w:p w:rsidR="00FF23A7" w:rsidRDefault="00FF23A7" w:rsidP="00FF23A7">
      <w:pPr>
        <w:spacing w:after="0"/>
        <w:rPr>
          <w:lang w:val="en-GB"/>
        </w:rPr>
      </w:pPr>
    </w:p>
    <w:p w:rsidR="00083B86" w:rsidRDefault="00083B86" w:rsidP="00FF23A7">
      <w:pPr>
        <w:spacing w:after="0"/>
        <w:jc w:val="center"/>
        <w:rPr>
          <w:lang w:val="en-GB"/>
        </w:rPr>
        <w:sectPr w:rsidR="00083B86">
          <w:type w:val="continuous"/>
          <w:pgSz w:w="11900" w:h="16840"/>
          <w:pgMar w:top="1418" w:right="1418" w:bottom="1418" w:left="1418" w:header="709" w:footer="709" w:gutter="0"/>
          <w:cols w:num="2" w:space="708"/>
        </w:sectPr>
      </w:pPr>
    </w:p>
    <w:p w:rsidR="00FF23A7" w:rsidRDefault="00FF23A7" w:rsidP="00FF23A7">
      <w:pPr>
        <w:spacing w:after="0"/>
        <w:jc w:val="center"/>
        <w:rPr>
          <w:lang w:val="en-GB"/>
        </w:rPr>
      </w:pPr>
      <w:r>
        <w:rPr>
          <w:noProof/>
          <w:lang w:val="en-GB" w:eastAsia="en-GB"/>
        </w:rPr>
        <w:lastRenderedPageBreak/>
        <w:drawing>
          <wp:inline distT="0" distB="0" distL="0" distR="0">
            <wp:extent cx="3546475" cy="2594664"/>
            <wp:effectExtent l="25400" t="0" r="9525"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3547193" cy="2595190"/>
                    </a:xfrm>
                    <a:prstGeom prst="rect">
                      <a:avLst/>
                    </a:prstGeom>
                    <a:noFill/>
                    <a:ln w="9525">
                      <a:noFill/>
                      <a:miter lim="800000"/>
                      <a:headEnd/>
                      <a:tailEnd/>
                    </a:ln>
                  </pic:spPr>
                </pic:pic>
              </a:graphicData>
            </a:graphic>
          </wp:inline>
        </w:drawing>
      </w:r>
    </w:p>
    <w:p w:rsidR="00FF23A7" w:rsidRDefault="00FF23A7" w:rsidP="00FF23A7">
      <w:pPr>
        <w:spacing w:after="0"/>
        <w:rPr>
          <w:lang w:val="en-GB"/>
        </w:rPr>
      </w:pPr>
    </w:p>
    <w:p w:rsidR="00FF23A7" w:rsidRDefault="00FF23A7" w:rsidP="00FF23A7">
      <w:pPr>
        <w:spacing w:after="0"/>
        <w:rPr>
          <w:lang w:val="en-GB"/>
        </w:rPr>
      </w:pPr>
    </w:p>
    <w:p w:rsidR="00FF23A7" w:rsidRDefault="00FF23A7" w:rsidP="00FF23A7">
      <w:pPr>
        <w:spacing w:after="0"/>
        <w:rPr>
          <w:lang w:val="en-GB"/>
        </w:rPr>
      </w:pPr>
    </w:p>
    <w:p w:rsidR="00FF23A7" w:rsidRDefault="00FF23A7" w:rsidP="00FF23A7">
      <w:pPr>
        <w:spacing w:after="0"/>
        <w:rPr>
          <w:lang w:val="en-GB"/>
        </w:rPr>
      </w:pPr>
    </w:p>
    <w:p w:rsidR="00FF23A7" w:rsidRDefault="00FF23A7" w:rsidP="00FF23A7">
      <w:pPr>
        <w:spacing w:after="0"/>
        <w:rPr>
          <w:lang w:val="en-GB"/>
        </w:rPr>
      </w:pPr>
    </w:p>
    <w:p w:rsidR="00FF23A7" w:rsidRDefault="00FF23A7" w:rsidP="00FF23A7">
      <w:pPr>
        <w:spacing w:after="0"/>
        <w:rPr>
          <w:lang w:val="en-GB"/>
        </w:rPr>
      </w:pPr>
    </w:p>
    <w:p w:rsidR="00FF23A7" w:rsidRDefault="00FF23A7" w:rsidP="00FF23A7">
      <w:pPr>
        <w:spacing w:after="0"/>
        <w:jc w:val="center"/>
        <w:rPr>
          <w:rFonts w:asciiTheme="majorHAnsi" w:hAnsiTheme="majorHAnsi"/>
          <w:sz w:val="28"/>
          <w:lang w:val="en-GB"/>
        </w:rPr>
      </w:pPr>
      <w:bookmarkStart w:id="0" w:name="_GoBack"/>
      <w:r w:rsidRPr="00FF23A7">
        <w:rPr>
          <w:rFonts w:asciiTheme="majorHAnsi" w:hAnsiTheme="majorHAnsi"/>
          <w:sz w:val="28"/>
          <w:lang w:val="en-GB"/>
        </w:rPr>
        <w:t>Final Report</w:t>
      </w:r>
    </w:p>
    <w:p w:rsidR="00FF23A7" w:rsidRPr="00FF23A7" w:rsidRDefault="00420AC7" w:rsidP="00FF23A7">
      <w:pPr>
        <w:spacing w:after="0"/>
        <w:jc w:val="center"/>
        <w:rPr>
          <w:rFonts w:asciiTheme="majorHAnsi" w:hAnsiTheme="majorHAnsi"/>
          <w:sz w:val="28"/>
          <w:szCs w:val="28"/>
          <w:lang w:val="en-GB"/>
        </w:rPr>
      </w:pPr>
      <w:r w:rsidRPr="0081556B">
        <w:rPr>
          <w:rFonts w:asciiTheme="majorHAnsi" w:hAnsiTheme="majorHAnsi"/>
          <w:sz w:val="28"/>
          <w:szCs w:val="28"/>
          <w:lang w:val="en-GB"/>
        </w:rPr>
        <w:t>30</w:t>
      </w:r>
      <w:r w:rsidR="000207AC" w:rsidRPr="0081556B">
        <w:rPr>
          <w:rFonts w:asciiTheme="majorHAnsi" w:hAnsiTheme="majorHAnsi"/>
          <w:sz w:val="28"/>
          <w:szCs w:val="28"/>
          <w:vertAlign w:val="superscript"/>
          <w:lang w:val="en-GB"/>
        </w:rPr>
        <w:t>th</w:t>
      </w:r>
      <w:r w:rsidR="0012497C">
        <w:rPr>
          <w:rFonts w:asciiTheme="majorHAnsi" w:hAnsiTheme="majorHAnsi"/>
          <w:sz w:val="28"/>
          <w:szCs w:val="28"/>
          <w:lang w:val="en-GB"/>
        </w:rPr>
        <w:t xml:space="preserve"> of</w:t>
      </w:r>
      <w:r w:rsidR="004B6C19" w:rsidRPr="00FF23A7">
        <w:rPr>
          <w:rFonts w:asciiTheme="majorHAnsi" w:hAnsiTheme="majorHAnsi"/>
          <w:sz w:val="28"/>
          <w:szCs w:val="28"/>
          <w:lang w:val="en-GB"/>
        </w:rPr>
        <w:t xml:space="preserve"> </w:t>
      </w:r>
      <w:r w:rsidR="004B6C19">
        <w:rPr>
          <w:rFonts w:asciiTheme="majorHAnsi" w:hAnsiTheme="majorHAnsi"/>
          <w:sz w:val="28"/>
          <w:szCs w:val="28"/>
          <w:lang w:val="en-GB"/>
        </w:rPr>
        <w:t>April</w:t>
      </w:r>
      <w:r>
        <w:rPr>
          <w:rFonts w:asciiTheme="majorHAnsi" w:hAnsiTheme="majorHAnsi"/>
          <w:sz w:val="28"/>
          <w:szCs w:val="28"/>
          <w:lang w:val="en-GB"/>
        </w:rPr>
        <w:t>,</w:t>
      </w:r>
      <w:r w:rsidR="004B6C19" w:rsidRPr="00FF23A7">
        <w:rPr>
          <w:rFonts w:asciiTheme="majorHAnsi" w:hAnsiTheme="majorHAnsi"/>
          <w:sz w:val="28"/>
          <w:szCs w:val="28"/>
          <w:lang w:val="en-GB"/>
        </w:rPr>
        <w:t xml:space="preserve"> </w:t>
      </w:r>
      <w:r w:rsidR="00FF23A7" w:rsidRPr="00FF23A7">
        <w:rPr>
          <w:rFonts w:asciiTheme="majorHAnsi" w:hAnsiTheme="majorHAnsi"/>
          <w:sz w:val="28"/>
          <w:szCs w:val="28"/>
          <w:lang w:val="en-GB"/>
        </w:rPr>
        <w:t>2010</w:t>
      </w:r>
    </w:p>
    <w:bookmarkEnd w:id="0"/>
    <w:p w:rsidR="00FF23A7" w:rsidRPr="00FF23A7" w:rsidRDefault="00FF23A7" w:rsidP="00FF23A7">
      <w:pPr>
        <w:spacing w:after="0"/>
        <w:jc w:val="center"/>
        <w:rPr>
          <w:rFonts w:asciiTheme="majorHAnsi" w:hAnsiTheme="majorHAnsi"/>
          <w:sz w:val="28"/>
          <w:szCs w:val="28"/>
          <w:lang w:val="en-GB"/>
        </w:rPr>
      </w:pPr>
    </w:p>
    <w:p w:rsidR="00FF23A7" w:rsidRPr="00FF23A7" w:rsidRDefault="00FF23A7" w:rsidP="00FF23A7">
      <w:pPr>
        <w:spacing w:after="0"/>
        <w:jc w:val="center"/>
        <w:rPr>
          <w:rFonts w:asciiTheme="majorHAnsi" w:hAnsiTheme="majorHAnsi"/>
          <w:sz w:val="28"/>
          <w:szCs w:val="28"/>
          <w:lang w:val="en-GB"/>
        </w:rPr>
      </w:pPr>
    </w:p>
    <w:p w:rsidR="00FF23A7" w:rsidRPr="00FF23A7" w:rsidRDefault="00FF23A7" w:rsidP="00FF23A7">
      <w:pPr>
        <w:spacing w:after="0"/>
        <w:jc w:val="center"/>
        <w:rPr>
          <w:rFonts w:asciiTheme="majorHAnsi" w:hAnsiTheme="majorHAnsi"/>
          <w:b/>
          <w:szCs w:val="28"/>
          <w:lang w:val="en-GB"/>
        </w:rPr>
      </w:pPr>
      <w:r w:rsidRPr="00FF23A7">
        <w:rPr>
          <w:rFonts w:asciiTheme="majorHAnsi" w:hAnsiTheme="majorHAnsi"/>
          <w:b/>
          <w:szCs w:val="28"/>
          <w:lang w:val="en-GB"/>
        </w:rPr>
        <w:t>Andante - tools for thinking AB</w:t>
      </w:r>
    </w:p>
    <w:p w:rsidR="00FF23A7" w:rsidRPr="00FF23A7" w:rsidRDefault="00FF23A7" w:rsidP="00FF23A7">
      <w:pPr>
        <w:spacing w:after="0"/>
        <w:jc w:val="center"/>
        <w:rPr>
          <w:rFonts w:asciiTheme="majorHAnsi" w:hAnsiTheme="majorHAnsi"/>
          <w:szCs w:val="28"/>
          <w:lang w:val="en-GB"/>
        </w:rPr>
      </w:pPr>
      <w:r w:rsidRPr="00FF23A7">
        <w:rPr>
          <w:rFonts w:asciiTheme="majorHAnsi" w:hAnsiTheme="majorHAnsi"/>
          <w:szCs w:val="28"/>
          <w:lang w:val="en-GB"/>
        </w:rPr>
        <w:t>Kim Forss, team leader</w:t>
      </w:r>
    </w:p>
    <w:p w:rsidR="00FF23A7" w:rsidRPr="00FF23A7" w:rsidRDefault="00FF23A7" w:rsidP="00FF23A7">
      <w:pPr>
        <w:spacing w:after="0"/>
        <w:jc w:val="center"/>
        <w:rPr>
          <w:rFonts w:asciiTheme="majorHAnsi" w:hAnsiTheme="majorHAnsi"/>
          <w:szCs w:val="28"/>
          <w:lang w:val="en-GB"/>
        </w:rPr>
      </w:pPr>
      <w:r w:rsidRPr="00FF23A7">
        <w:rPr>
          <w:rFonts w:asciiTheme="majorHAnsi" w:hAnsiTheme="majorHAnsi"/>
          <w:szCs w:val="28"/>
          <w:lang w:val="en-GB"/>
        </w:rPr>
        <w:t>Jens Andersson</w:t>
      </w:r>
    </w:p>
    <w:p w:rsidR="00FF23A7" w:rsidRPr="00FF23A7" w:rsidRDefault="00FF23A7" w:rsidP="00FF23A7">
      <w:pPr>
        <w:spacing w:after="0"/>
        <w:jc w:val="center"/>
        <w:rPr>
          <w:rFonts w:asciiTheme="majorHAnsi" w:hAnsiTheme="majorHAnsi"/>
          <w:sz w:val="28"/>
          <w:szCs w:val="28"/>
          <w:lang w:val="en-GB"/>
        </w:rPr>
      </w:pPr>
      <w:r w:rsidRPr="00FF23A7">
        <w:rPr>
          <w:rFonts w:asciiTheme="majorHAnsi" w:hAnsiTheme="majorHAnsi"/>
          <w:szCs w:val="28"/>
          <w:lang w:val="en-GB"/>
        </w:rPr>
        <w:t>Eve Kasirye-Alemu</w:t>
      </w:r>
    </w:p>
    <w:p w:rsidR="00083B86" w:rsidRDefault="00083B86" w:rsidP="00083B86">
      <w:pPr>
        <w:pStyle w:val="Heading2"/>
        <w:rPr>
          <w:lang w:val="en-GB"/>
        </w:rPr>
        <w:sectPr w:rsidR="00083B86">
          <w:type w:val="continuous"/>
          <w:pgSz w:w="11900" w:h="16840"/>
          <w:pgMar w:top="1418" w:right="1418" w:bottom="1418" w:left="1418" w:header="709" w:footer="709" w:gutter="0"/>
          <w:cols w:space="708"/>
        </w:sectPr>
      </w:pPr>
    </w:p>
    <w:p w:rsidR="00FF4C73" w:rsidRDefault="00FF23A7" w:rsidP="0050637B">
      <w:pPr>
        <w:pStyle w:val="Heading1"/>
        <w:rPr>
          <w:lang w:val="en-US"/>
        </w:rPr>
      </w:pPr>
      <w:r>
        <w:rPr>
          <w:lang w:val="en-GB"/>
        </w:rPr>
        <w:lastRenderedPageBreak/>
        <w:br w:type="page"/>
      </w:r>
      <w:bookmarkStart w:id="1" w:name="_Toc260389712"/>
      <w:r w:rsidR="000207AC" w:rsidRPr="000207AC">
        <w:rPr>
          <w:lang w:val="en-US"/>
        </w:rPr>
        <w:lastRenderedPageBreak/>
        <w:t>Executive Summary</w:t>
      </w:r>
      <w:bookmarkEnd w:id="1"/>
    </w:p>
    <w:p w:rsidR="00FF4C73" w:rsidRDefault="00FF4C73" w:rsidP="007D25C7">
      <w:pPr>
        <w:rPr>
          <w:lang w:val="en-US"/>
        </w:rPr>
      </w:pPr>
    </w:p>
    <w:p w:rsidR="007D25C7" w:rsidRPr="007D25C7" w:rsidRDefault="007D25C7" w:rsidP="007D25C7">
      <w:pPr>
        <w:rPr>
          <w:lang w:val="en-US"/>
        </w:rPr>
        <w:sectPr w:rsidR="007D25C7" w:rsidRPr="007D25C7">
          <w:type w:val="continuous"/>
          <w:pgSz w:w="11900" w:h="16840"/>
          <w:pgMar w:top="1418" w:right="1418" w:bottom="1418" w:left="1418" w:header="709" w:footer="709" w:gutter="0"/>
          <w:cols w:space="708"/>
        </w:sectPr>
      </w:pPr>
    </w:p>
    <w:p w:rsidR="007D25C7" w:rsidRPr="00FF4C73" w:rsidDel="00FF4C73" w:rsidRDefault="007D25C7" w:rsidP="007D25C7">
      <w:pPr>
        <w:spacing w:after="0"/>
        <w:rPr>
          <w:i/>
          <w:sz w:val="20"/>
          <w:lang w:val="en-US"/>
        </w:rPr>
      </w:pPr>
      <w:r w:rsidRPr="000207AC">
        <w:rPr>
          <w:i/>
          <w:sz w:val="20"/>
          <w:lang w:val="en-US"/>
        </w:rPr>
        <w:lastRenderedPageBreak/>
        <w:t>Background</w:t>
      </w:r>
    </w:p>
    <w:p w:rsidR="007D25C7" w:rsidRPr="00083B86" w:rsidRDefault="007D25C7" w:rsidP="007D25C7">
      <w:pPr>
        <w:rPr>
          <w:sz w:val="20"/>
          <w:lang w:val="en-US"/>
        </w:rPr>
      </w:pPr>
      <w:r w:rsidRPr="00083B86">
        <w:rPr>
          <w:sz w:val="20"/>
          <w:lang w:val="en-US"/>
        </w:rPr>
        <w:t xml:space="preserve">The Codex Trust Fund (CTF) was launched in 2003 to help developing countries and those with economies in transition to enhance their participation in the Codex Alimentarius Commission. It </w:t>
      </w:r>
      <w:r>
        <w:rPr>
          <w:sz w:val="20"/>
          <w:lang w:val="en-US"/>
        </w:rPr>
        <w:t>was</w:t>
      </w:r>
      <w:r w:rsidRPr="00083B86">
        <w:rPr>
          <w:sz w:val="20"/>
          <w:lang w:val="en-US"/>
        </w:rPr>
        <w:t xml:space="preserve"> planned to operate for a period of 12 years</w:t>
      </w:r>
      <w:r>
        <w:rPr>
          <w:sz w:val="20"/>
          <w:lang w:val="en-US"/>
        </w:rPr>
        <w:t xml:space="preserve">. Its </w:t>
      </w:r>
      <w:r w:rsidRPr="00083B86">
        <w:rPr>
          <w:sz w:val="20"/>
          <w:lang w:val="en-US"/>
        </w:rPr>
        <w:t xml:space="preserve">three objectives </w:t>
      </w:r>
      <w:r>
        <w:rPr>
          <w:sz w:val="20"/>
          <w:lang w:val="en-US"/>
        </w:rPr>
        <w:t>can be</w:t>
      </w:r>
      <w:r w:rsidRPr="00083B86">
        <w:rPr>
          <w:sz w:val="20"/>
          <w:lang w:val="en-US"/>
        </w:rPr>
        <w:t xml:space="preserve"> summarised </w:t>
      </w:r>
      <w:r>
        <w:rPr>
          <w:sz w:val="20"/>
          <w:lang w:val="en-US"/>
        </w:rPr>
        <w:t>to</w:t>
      </w:r>
      <w:r w:rsidRPr="00083B86">
        <w:rPr>
          <w:sz w:val="20"/>
          <w:lang w:val="en-US"/>
        </w:rPr>
        <w:t>; (1) increas</w:t>
      </w:r>
      <w:r>
        <w:rPr>
          <w:sz w:val="20"/>
          <w:lang w:val="en-US"/>
        </w:rPr>
        <w:t>e</w:t>
      </w:r>
      <w:r w:rsidRPr="00083B86">
        <w:rPr>
          <w:sz w:val="20"/>
          <w:lang w:val="en-US"/>
        </w:rPr>
        <w:t xml:space="preserve"> participation, (2) strengthen participation, and (3) enhanc</w:t>
      </w:r>
      <w:r>
        <w:rPr>
          <w:sz w:val="20"/>
          <w:lang w:val="en-US"/>
        </w:rPr>
        <w:t>e</w:t>
      </w:r>
      <w:r w:rsidRPr="00083B86">
        <w:rPr>
          <w:sz w:val="20"/>
          <w:lang w:val="en-US"/>
        </w:rPr>
        <w:t xml:space="preserve"> scientific/technical participation in Codex. </w:t>
      </w:r>
    </w:p>
    <w:p w:rsidR="007D25C7" w:rsidRPr="00083B86" w:rsidRDefault="007D25C7" w:rsidP="007D25C7">
      <w:pPr>
        <w:spacing w:after="0"/>
        <w:rPr>
          <w:i/>
          <w:sz w:val="20"/>
          <w:lang w:val="en-US"/>
        </w:rPr>
      </w:pPr>
      <w:r w:rsidRPr="00083B86">
        <w:rPr>
          <w:i/>
          <w:sz w:val="20"/>
          <w:lang w:val="en-US"/>
        </w:rPr>
        <w:t>Purpose of Review</w:t>
      </w:r>
    </w:p>
    <w:p w:rsidR="007D25C7" w:rsidRPr="00083B86" w:rsidRDefault="007D25C7" w:rsidP="007D25C7">
      <w:pPr>
        <w:rPr>
          <w:sz w:val="20"/>
          <w:lang w:val="en-US"/>
        </w:rPr>
      </w:pPr>
      <w:r w:rsidRPr="00083B86">
        <w:rPr>
          <w:sz w:val="20"/>
          <w:lang w:val="en-US"/>
        </w:rPr>
        <w:t xml:space="preserve">This mid-term review was commissioned in 2009 in order to identify and learn lessons from </w:t>
      </w:r>
      <w:r>
        <w:rPr>
          <w:sz w:val="20"/>
          <w:lang w:val="en-US"/>
        </w:rPr>
        <w:t>the first six years of</w:t>
      </w:r>
      <w:r w:rsidRPr="00083B86">
        <w:rPr>
          <w:sz w:val="20"/>
          <w:lang w:val="en-US"/>
        </w:rPr>
        <w:t xml:space="preserve"> CTF </w:t>
      </w:r>
      <w:r>
        <w:rPr>
          <w:sz w:val="20"/>
          <w:lang w:val="en-US"/>
        </w:rPr>
        <w:t>in</w:t>
      </w:r>
      <w:r w:rsidRPr="00083B86">
        <w:rPr>
          <w:sz w:val="20"/>
          <w:lang w:val="en-US"/>
        </w:rPr>
        <w:t xml:space="preserve"> operation, with special emphasis on impact at national and regional levels</w:t>
      </w:r>
      <w:r>
        <w:rPr>
          <w:sz w:val="20"/>
          <w:lang w:val="en-US"/>
        </w:rPr>
        <w:t>. The review should</w:t>
      </w:r>
      <w:r w:rsidRPr="00083B86">
        <w:rPr>
          <w:sz w:val="20"/>
          <w:lang w:val="en-US"/>
        </w:rPr>
        <w:t xml:space="preserve"> provide recommendations for the remaining project duration, and with regards to continuing or discontinuing the project beyond its 12 year lifespan. </w:t>
      </w:r>
    </w:p>
    <w:p w:rsidR="007D25C7" w:rsidRPr="00083B86" w:rsidRDefault="007D25C7" w:rsidP="007D25C7">
      <w:pPr>
        <w:spacing w:after="0"/>
        <w:rPr>
          <w:i/>
          <w:sz w:val="20"/>
          <w:lang w:val="en-US"/>
        </w:rPr>
      </w:pPr>
      <w:r w:rsidRPr="00083B86">
        <w:rPr>
          <w:i/>
          <w:sz w:val="20"/>
          <w:lang w:val="en-US"/>
        </w:rPr>
        <w:t>Review Process</w:t>
      </w:r>
    </w:p>
    <w:p w:rsidR="007D25C7" w:rsidRPr="00083B86" w:rsidRDefault="007D25C7" w:rsidP="007D25C7">
      <w:pPr>
        <w:rPr>
          <w:sz w:val="20"/>
          <w:lang w:val="en-US"/>
        </w:rPr>
      </w:pPr>
      <w:r w:rsidRPr="00083B86">
        <w:rPr>
          <w:sz w:val="20"/>
          <w:lang w:val="en-US"/>
        </w:rPr>
        <w:t xml:space="preserve">The review has been undertaken by a team of three evaluators. </w:t>
      </w:r>
      <w:r>
        <w:rPr>
          <w:sz w:val="20"/>
          <w:lang w:val="en-US"/>
        </w:rPr>
        <w:t>The analysis and conclusions</w:t>
      </w:r>
      <w:r w:rsidRPr="00083B86">
        <w:rPr>
          <w:sz w:val="20"/>
          <w:lang w:val="en-US"/>
        </w:rPr>
        <w:t xml:space="preserve"> </w:t>
      </w:r>
      <w:r>
        <w:rPr>
          <w:sz w:val="20"/>
          <w:lang w:val="en-US"/>
        </w:rPr>
        <w:t>are</w:t>
      </w:r>
      <w:r w:rsidRPr="00083B86">
        <w:rPr>
          <w:sz w:val="20"/>
          <w:lang w:val="en-US"/>
        </w:rPr>
        <w:t xml:space="preserve"> based on visits to 12 countries selected to be a representative sample</w:t>
      </w:r>
      <w:r>
        <w:rPr>
          <w:sz w:val="20"/>
          <w:lang w:val="en-US"/>
        </w:rPr>
        <w:t xml:space="preserve"> of CTF beneficiary countries</w:t>
      </w:r>
      <w:r w:rsidRPr="00083B86">
        <w:rPr>
          <w:sz w:val="20"/>
          <w:lang w:val="en-US"/>
        </w:rPr>
        <w:t>, interviews with stakeholders at WHO, FAO and in donor countries, and global surveys to Codex Contact Point</w:t>
      </w:r>
      <w:r>
        <w:rPr>
          <w:sz w:val="20"/>
          <w:lang w:val="en-US"/>
        </w:rPr>
        <w:t>s</w:t>
      </w:r>
      <w:r w:rsidRPr="00083B86">
        <w:rPr>
          <w:sz w:val="20"/>
          <w:lang w:val="en-US"/>
        </w:rPr>
        <w:t xml:space="preserve"> and beneficiaries of the project. The review started in December 2009 and </w:t>
      </w:r>
      <w:r>
        <w:rPr>
          <w:sz w:val="20"/>
          <w:lang w:val="en-US"/>
        </w:rPr>
        <w:t>wa</w:t>
      </w:r>
      <w:r w:rsidRPr="00083B86">
        <w:rPr>
          <w:sz w:val="20"/>
          <w:lang w:val="en-US"/>
        </w:rPr>
        <w:t xml:space="preserve">s completed in March 2010. </w:t>
      </w:r>
    </w:p>
    <w:p w:rsidR="007D25C7" w:rsidRPr="00083B86" w:rsidRDefault="007D25C7" w:rsidP="007D25C7">
      <w:pPr>
        <w:spacing w:after="0"/>
        <w:rPr>
          <w:i/>
          <w:sz w:val="20"/>
          <w:lang w:val="en-US"/>
        </w:rPr>
      </w:pPr>
      <w:r w:rsidRPr="00083B86">
        <w:rPr>
          <w:i/>
          <w:sz w:val="20"/>
          <w:lang w:val="en-US"/>
        </w:rPr>
        <w:t>Impact</w:t>
      </w:r>
    </w:p>
    <w:p w:rsidR="007D25C7" w:rsidRDefault="007D25C7" w:rsidP="007D25C7">
      <w:pPr>
        <w:rPr>
          <w:sz w:val="20"/>
          <w:lang w:val="en-US"/>
        </w:rPr>
      </w:pPr>
      <w:r w:rsidRPr="00083B86">
        <w:rPr>
          <w:sz w:val="20"/>
          <w:lang w:val="en-US"/>
        </w:rPr>
        <w:t xml:space="preserve">There have been significant changes in Codex work at country and regional levels. </w:t>
      </w:r>
      <w:r>
        <w:rPr>
          <w:sz w:val="20"/>
          <w:lang w:val="en-US"/>
        </w:rPr>
        <w:t xml:space="preserve">The food safety and health arena is dynamic. </w:t>
      </w:r>
      <w:r w:rsidRPr="00083B86">
        <w:rPr>
          <w:sz w:val="20"/>
          <w:lang w:val="en-US"/>
        </w:rPr>
        <w:t xml:space="preserve">The national institutions are developing and there are now National Codex Committees </w:t>
      </w:r>
      <w:r>
        <w:rPr>
          <w:sz w:val="20"/>
          <w:lang w:val="en-US"/>
        </w:rPr>
        <w:t xml:space="preserve">(NCCs) in </w:t>
      </w:r>
      <w:r w:rsidR="0012497C">
        <w:rPr>
          <w:sz w:val="20"/>
          <w:lang w:val="en-US"/>
        </w:rPr>
        <w:t xml:space="preserve">most of </w:t>
      </w:r>
      <w:r>
        <w:rPr>
          <w:sz w:val="20"/>
          <w:lang w:val="en-US"/>
        </w:rPr>
        <w:t>the</w:t>
      </w:r>
      <w:r w:rsidRPr="00083B86">
        <w:rPr>
          <w:sz w:val="20"/>
          <w:lang w:val="en-US"/>
        </w:rPr>
        <w:t xml:space="preserve"> countries visited. The policy frameworks have been developed and most countries have clear policies for Codex work and for food safety. </w:t>
      </w:r>
      <w:r>
        <w:rPr>
          <w:sz w:val="20"/>
          <w:lang w:val="en-US"/>
        </w:rPr>
        <w:t xml:space="preserve">In all countries visited during the review, the </w:t>
      </w:r>
      <w:r w:rsidRPr="00083B86">
        <w:rPr>
          <w:sz w:val="20"/>
          <w:lang w:val="en-US"/>
        </w:rPr>
        <w:t xml:space="preserve">Codex standards are either used in their existing form or developed and adapted to become national standards. The Codex Contact Points </w:t>
      </w:r>
      <w:r>
        <w:rPr>
          <w:sz w:val="20"/>
          <w:lang w:val="en-US"/>
        </w:rPr>
        <w:t xml:space="preserve">(CCPs) </w:t>
      </w:r>
      <w:r w:rsidRPr="00083B86">
        <w:rPr>
          <w:sz w:val="20"/>
          <w:lang w:val="en-US"/>
        </w:rPr>
        <w:t>are increasingly visible and have a significant role to play. However, the</w:t>
      </w:r>
      <w:r w:rsidR="0012497C">
        <w:rPr>
          <w:sz w:val="20"/>
          <w:lang w:val="en-US"/>
        </w:rPr>
        <w:t>se</w:t>
      </w:r>
      <w:r w:rsidRPr="00083B86">
        <w:rPr>
          <w:sz w:val="20"/>
          <w:lang w:val="en-US"/>
        </w:rPr>
        <w:t xml:space="preserve"> changes are caused by many factors, not least the political and commercial interests of the countries concerned. Foreign assistance, be it bilateral or multilateral, plays a small role compared to the national efforts</w:t>
      </w:r>
      <w:r>
        <w:rPr>
          <w:sz w:val="20"/>
          <w:lang w:val="en-US"/>
        </w:rPr>
        <w:t>. P</w:t>
      </w:r>
      <w:r w:rsidRPr="00083B86">
        <w:rPr>
          <w:sz w:val="20"/>
          <w:lang w:val="en-US"/>
        </w:rPr>
        <w:t>articipation in meetings has been a useful supplement to other activities.</w:t>
      </w:r>
      <w:r>
        <w:rPr>
          <w:sz w:val="20"/>
          <w:lang w:val="en-US"/>
        </w:rPr>
        <w:t xml:space="preserve"> The changes observed by the review team have not been caused by the CTF, but it contributed to these changes in a meaningful and worthwhile way.</w:t>
      </w:r>
    </w:p>
    <w:p w:rsidR="007D25C7" w:rsidRDefault="007D25C7" w:rsidP="007D25C7">
      <w:pPr>
        <w:spacing w:after="0"/>
        <w:rPr>
          <w:i/>
          <w:sz w:val="20"/>
          <w:lang w:val="en-US"/>
        </w:rPr>
      </w:pPr>
      <w:r w:rsidRPr="000207AC">
        <w:rPr>
          <w:i/>
          <w:sz w:val="20"/>
          <w:lang w:val="en-US"/>
        </w:rPr>
        <w:t>Regional coordination</w:t>
      </w:r>
    </w:p>
    <w:p w:rsidR="007D25C7" w:rsidRDefault="007D25C7" w:rsidP="007D25C7">
      <w:pPr>
        <w:rPr>
          <w:sz w:val="20"/>
          <w:lang w:val="en-US"/>
        </w:rPr>
      </w:pPr>
      <w:r>
        <w:rPr>
          <w:sz w:val="20"/>
          <w:lang w:val="en-US"/>
        </w:rPr>
        <w:t xml:space="preserve">One of the important changes concerns the level of regional coordination. There has been an increase in </w:t>
      </w:r>
      <w:r>
        <w:rPr>
          <w:sz w:val="20"/>
          <w:lang w:val="en-US"/>
        </w:rPr>
        <w:lastRenderedPageBreak/>
        <w:t xml:space="preserve">the number of networks in regions and there are more activities in joint training activities, developing joint positions on technical as well political issues, and also joint research to propose standards. The participation that the CTF has enabled appears to have been a strong contributing factor to these developments. </w:t>
      </w:r>
    </w:p>
    <w:p w:rsidR="007D25C7" w:rsidRDefault="007D25C7" w:rsidP="007D25C7">
      <w:pPr>
        <w:spacing w:after="0"/>
        <w:rPr>
          <w:i/>
          <w:sz w:val="20"/>
          <w:lang w:val="en-US"/>
        </w:rPr>
      </w:pPr>
      <w:r w:rsidRPr="000207AC">
        <w:rPr>
          <w:i/>
          <w:sz w:val="20"/>
          <w:lang w:val="en-US"/>
        </w:rPr>
        <w:t>Sustainability</w:t>
      </w:r>
    </w:p>
    <w:p w:rsidR="007D25C7" w:rsidRPr="00083B86" w:rsidRDefault="007D25C7" w:rsidP="007D25C7">
      <w:pPr>
        <w:rPr>
          <w:sz w:val="20"/>
          <w:lang w:val="en-US"/>
        </w:rPr>
      </w:pPr>
      <w:r>
        <w:rPr>
          <w:sz w:val="20"/>
          <w:lang w:val="en-US"/>
        </w:rPr>
        <w:t>The changes in the institutional framework around food safety and health were in most parts found to be sustainable. The development of policies is, f</w:t>
      </w:r>
      <w:r w:rsidR="0012497C">
        <w:rPr>
          <w:sz w:val="20"/>
          <w:lang w:val="en-US"/>
        </w:rPr>
        <w:t>or example an ongoing process. T</w:t>
      </w:r>
      <w:r>
        <w:rPr>
          <w:sz w:val="20"/>
          <w:lang w:val="en-US"/>
        </w:rPr>
        <w:t>here is no need to suspect that a policy will be revoked, unless it does not serve its purpose any longer. The institutional framework of NCC commissions and CCPs can be sustained if there is a political and administra</w:t>
      </w:r>
      <w:r w:rsidR="0012497C">
        <w:rPr>
          <w:sz w:val="20"/>
          <w:lang w:val="en-US"/>
        </w:rPr>
        <w:t xml:space="preserve">tive will to sustain them. </w:t>
      </w:r>
      <w:r>
        <w:rPr>
          <w:sz w:val="20"/>
          <w:lang w:val="en-US"/>
        </w:rPr>
        <w:t xml:space="preserve">These institutions are to date financed via government budgets or they rely on people doing the work as part of their salaried posts elsewhere (in government, in research, or in industry). The CTF has not been part of developing structures or processes that cannot be sustained when the project comes to an end. </w:t>
      </w:r>
    </w:p>
    <w:p w:rsidR="007D25C7" w:rsidRPr="00083B86" w:rsidRDefault="007D25C7" w:rsidP="007D25C7">
      <w:pPr>
        <w:spacing w:after="0"/>
        <w:rPr>
          <w:i/>
          <w:sz w:val="20"/>
          <w:lang w:val="en-US"/>
        </w:rPr>
      </w:pPr>
      <w:r w:rsidRPr="00083B86">
        <w:rPr>
          <w:i/>
          <w:sz w:val="20"/>
          <w:lang w:val="en-US"/>
        </w:rPr>
        <w:t>Reaching Objectives</w:t>
      </w:r>
    </w:p>
    <w:p w:rsidR="007D25C7" w:rsidRPr="00C83B97" w:rsidRDefault="007D25C7" w:rsidP="007D25C7">
      <w:pPr>
        <w:rPr>
          <w:sz w:val="20"/>
          <w:lang w:val="en-US"/>
        </w:rPr>
      </w:pPr>
      <w:r w:rsidRPr="00083B86">
        <w:rPr>
          <w:sz w:val="20"/>
          <w:lang w:val="en-US"/>
        </w:rPr>
        <w:t xml:space="preserve">The CTF </w:t>
      </w:r>
      <w:r>
        <w:rPr>
          <w:sz w:val="20"/>
          <w:lang w:val="en-US"/>
        </w:rPr>
        <w:t>has reached its first objective.</w:t>
      </w:r>
      <w:r w:rsidRPr="00083B86">
        <w:rPr>
          <w:sz w:val="20"/>
          <w:lang w:val="en-US"/>
        </w:rPr>
        <w:t xml:space="preserve"> </w:t>
      </w:r>
      <w:r>
        <w:rPr>
          <w:sz w:val="20"/>
          <w:lang w:val="en-US"/>
        </w:rPr>
        <w:t>It</w:t>
      </w:r>
      <w:r w:rsidRPr="00C83B97">
        <w:rPr>
          <w:sz w:val="20"/>
          <w:lang w:val="en-US"/>
        </w:rPr>
        <w:t xml:space="preserve"> funded 1</w:t>
      </w:r>
      <w:r>
        <w:rPr>
          <w:sz w:val="20"/>
          <w:lang w:val="en-US"/>
        </w:rPr>
        <w:t>.</w:t>
      </w:r>
      <w:r w:rsidRPr="00C83B97">
        <w:rPr>
          <w:sz w:val="20"/>
          <w:lang w:val="en-US"/>
        </w:rPr>
        <w:t>129 participants from 126 countries between 2004 and 2009. The total number of eligible countries was originally 146, so 20 countries had not applied for funding by 2009. 246 people from 80 countries were sponsored in 2009. It is thus a considerable achievement and a very clear co</w:t>
      </w:r>
      <w:r>
        <w:rPr>
          <w:sz w:val="20"/>
          <w:lang w:val="en-US"/>
        </w:rPr>
        <w:t>ntribution to the objective of “</w:t>
      </w:r>
      <w:r w:rsidRPr="00C83B97">
        <w:rPr>
          <w:sz w:val="20"/>
          <w:lang w:val="en-US"/>
        </w:rPr>
        <w:t>increasing participation</w:t>
      </w:r>
      <w:r>
        <w:rPr>
          <w:sz w:val="20"/>
          <w:lang w:val="en-US"/>
        </w:rPr>
        <w:t>”</w:t>
      </w:r>
      <w:r w:rsidRPr="00C83B97">
        <w:rPr>
          <w:sz w:val="20"/>
          <w:lang w:val="en-US"/>
        </w:rPr>
        <w:t xml:space="preserve">. </w:t>
      </w:r>
      <w:r>
        <w:rPr>
          <w:sz w:val="20"/>
          <w:lang w:val="en-US"/>
        </w:rPr>
        <w:t xml:space="preserve">This is partly explained by the focus on this objective; 90% of the funds and about as much of the administrative resources have been used to make this happen and that is also how the majority of donors and other stakeholders have wished that the funds be spent. An obvious consequence is that the second and third outputs have not really been produced and the related objectives are thus not reached. Some 10% of the CTF funds have been spent on producing training materials and delivering training programmes to improve the quality of participation in Codex Committees. While it is relatively clear what to do in respect of the second objective, the activities that could produce the third category of outputs (enhance technical/scientific participation in Codex) remain to be defined. Effectiveness is commonly defined as whether a project reaches its objectives. At present CTF does not reach its objectives and hence it cannot be called effective. It reaches one out of three objectives. The decision not to work on the other objectives rests with donors and other stakeholders. </w:t>
      </w:r>
    </w:p>
    <w:p w:rsidR="007D25C7" w:rsidRPr="00C83B97" w:rsidRDefault="007D25C7" w:rsidP="007D25C7">
      <w:pPr>
        <w:spacing w:after="0"/>
        <w:rPr>
          <w:i/>
          <w:sz w:val="20"/>
          <w:lang w:val="en-US"/>
        </w:rPr>
      </w:pPr>
      <w:r w:rsidRPr="00C83B97">
        <w:rPr>
          <w:i/>
          <w:sz w:val="20"/>
          <w:lang w:val="en-US"/>
        </w:rPr>
        <w:lastRenderedPageBreak/>
        <w:t xml:space="preserve">Efficiency </w:t>
      </w:r>
    </w:p>
    <w:p w:rsidR="007D25C7" w:rsidRPr="00C83B97" w:rsidRDefault="007D25C7" w:rsidP="007D25C7">
      <w:pPr>
        <w:rPr>
          <w:sz w:val="20"/>
          <w:lang w:val="en-US"/>
        </w:rPr>
      </w:pPr>
      <w:r w:rsidRPr="00C83B97">
        <w:rPr>
          <w:sz w:val="20"/>
          <w:lang w:val="en-US"/>
        </w:rPr>
        <w:t xml:space="preserve">The efficiency of the operations has been high and the results </w:t>
      </w:r>
      <w:r>
        <w:rPr>
          <w:sz w:val="20"/>
          <w:lang w:val="en-US"/>
        </w:rPr>
        <w:t xml:space="preserve">in terms of reaching the first objective </w:t>
      </w:r>
      <w:r w:rsidRPr="00C83B97">
        <w:rPr>
          <w:sz w:val="20"/>
          <w:lang w:val="en-US"/>
        </w:rPr>
        <w:t>were accomplished with very few staff resources. Instead, the CTF built on systems of global indicators for country selection and graduation from the system. These are transparent and have strong support from donors</w:t>
      </w:r>
      <w:r>
        <w:rPr>
          <w:sz w:val="20"/>
          <w:lang w:val="en-US"/>
        </w:rPr>
        <w:t>,</w:t>
      </w:r>
      <w:r w:rsidRPr="00C83B97">
        <w:rPr>
          <w:sz w:val="20"/>
          <w:lang w:val="en-US"/>
        </w:rPr>
        <w:t xml:space="preserve"> but are also contested, particularly from countries that have graduated from the system. </w:t>
      </w:r>
      <w:r>
        <w:rPr>
          <w:sz w:val="20"/>
          <w:lang w:val="en-US"/>
        </w:rPr>
        <w:t xml:space="preserve">The indicators that lead to grouping of countries and the system of graduation are not perceived as fair and valid by the countries that have graduated from the CTF assistance, but it is widely supported by donor countries and those countries that continue to benefit from the system. </w:t>
      </w:r>
    </w:p>
    <w:p w:rsidR="007D25C7" w:rsidRDefault="007D25C7" w:rsidP="007D25C7">
      <w:pPr>
        <w:spacing w:after="0"/>
        <w:rPr>
          <w:i/>
          <w:sz w:val="20"/>
          <w:lang w:val="en-US"/>
        </w:rPr>
      </w:pPr>
      <w:r w:rsidRPr="00C83B97">
        <w:rPr>
          <w:i/>
          <w:sz w:val="20"/>
          <w:lang w:val="en-US"/>
        </w:rPr>
        <w:t>Recommendations</w:t>
      </w:r>
    </w:p>
    <w:p w:rsidR="007D25C7" w:rsidRPr="00F23C84" w:rsidRDefault="007D25C7" w:rsidP="007D25C7">
      <w:pPr>
        <w:rPr>
          <w:sz w:val="20"/>
          <w:lang w:val="en-US"/>
        </w:rPr>
      </w:pPr>
      <w:r>
        <w:rPr>
          <w:sz w:val="20"/>
          <w:lang w:val="en-US"/>
        </w:rPr>
        <w:t xml:space="preserve">The key recommendations are: </w:t>
      </w:r>
    </w:p>
    <w:p w:rsidR="007D25C7" w:rsidRDefault="007D25C7" w:rsidP="007D25C7">
      <w:pPr>
        <w:pStyle w:val="ListParagraph"/>
        <w:numPr>
          <w:ilvl w:val="0"/>
          <w:numId w:val="11"/>
        </w:numPr>
        <w:spacing w:before="0" w:after="0"/>
        <w:contextualSpacing/>
        <w:rPr>
          <w:sz w:val="20"/>
          <w:lang w:val="en-US"/>
        </w:rPr>
      </w:pPr>
      <w:r w:rsidRPr="004C7AB2">
        <w:rPr>
          <w:sz w:val="20"/>
          <w:u w:val="single"/>
          <w:lang w:val="en-US"/>
        </w:rPr>
        <w:t>Focus on the second and third objectives</w:t>
      </w:r>
      <w:r w:rsidRPr="00083B86">
        <w:rPr>
          <w:sz w:val="20"/>
          <w:lang w:val="en-US"/>
        </w:rPr>
        <w:t>.</w:t>
      </w:r>
      <w:r>
        <w:rPr>
          <w:sz w:val="20"/>
          <w:lang w:val="en-US"/>
        </w:rPr>
        <w:t xml:space="preserve"> If these objectives are to be reached during the remaining six years there is a need to quickly expand activities that will produce the outputs and lead to the desired impact.</w:t>
      </w:r>
      <w:r w:rsidRPr="00083B86">
        <w:rPr>
          <w:sz w:val="20"/>
          <w:lang w:val="en-US"/>
        </w:rPr>
        <w:t xml:space="preserve"> </w:t>
      </w:r>
      <w:r>
        <w:rPr>
          <w:sz w:val="20"/>
          <w:lang w:val="en-US"/>
        </w:rPr>
        <w:t xml:space="preserve">None of the 189 interviews indicated that the objectives were not relevant or suggested that they be cut back. Hence there is a need to quickly make up for the relative neglect of these two objectives during the past 6 years. </w:t>
      </w:r>
    </w:p>
    <w:p w:rsidR="007D25C7" w:rsidRDefault="007D25C7" w:rsidP="007D25C7">
      <w:pPr>
        <w:pStyle w:val="ListParagraph"/>
        <w:numPr>
          <w:ilvl w:val="0"/>
          <w:numId w:val="11"/>
        </w:numPr>
        <w:spacing w:before="0" w:after="0"/>
        <w:contextualSpacing/>
        <w:rPr>
          <w:sz w:val="20"/>
          <w:lang w:val="en-US"/>
        </w:rPr>
      </w:pPr>
      <w:r w:rsidRPr="004C7AB2">
        <w:rPr>
          <w:sz w:val="20"/>
          <w:u w:val="single"/>
          <w:lang w:val="en-US"/>
        </w:rPr>
        <w:t>Focus on countries most in need</w:t>
      </w:r>
      <w:r>
        <w:rPr>
          <w:sz w:val="20"/>
          <w:lang w:val="en-US"/>
        </w:rPr>
        <w:t xml:space="preserve">, follow-up the participation of countries that graduate in 2010 and 2011 and be prepared to respond if participation declines sharply. Focus on countries most in need is priority of donor organisations. </w:t>
      </w:r>
      <w:r w:rsidRPr="0081556B">
        <w:rPr>
          <w:sz w:val="20"/>
          <w:lang w:val="en-US"/>
        </w:rPr>
        <w:t xml:space="preserve"> </w:t>
      </w:r>
    </w:p>
    <w:p w:rsidR="007D25C7" w:rsidRPr="005E5CE3" w:rsidRDefault="007D25C7" w:rsidP="007D25C7">
      <w:pPr>
        <w:pStyle w:val="ListParagraph"/>
        <w:numPr>
          <w:ilvl w:val="0"/>
          <w:numId w:val="11"/>
        </w:numPr>
        <w:spacing w:before="0" w:after="0"/>
        <w:contextualSpacing/>
        <w:rPr>
          <w:sz w:val="20"/>
          <w:lang w:val="en-US"/>
        </w:rPr>
      </w:pPr>
      <w:r w:rsidRPr="004C7AB2">
        <w:rPr>
          <w:sz w:val="20"/>
          <w:u w:val="single"/>
          <w:lang w:val="en-US"/>
        </w:rPr>
        <w:t>Find ways of engaging other countries</w:t>
      </w:r>
      <w:r w:rsidRPr="005E5CE3">
        <w:rPr>
          <w:sz w:val="20"/>
          <w:lang w:val="en-US"/>
        </w:rPr>
        <w:t>. Countries that have graduated from the direct support to participation in Codex meetings can have other important roles to fill in the programme, for example in contributing to capacity development through regional coordination, mentorship and twinning activities.</w:t>
      </w:r>
    </w:p>
    <w:p w:rsidR="007D25C7" w:rsidRPr="005E5CE3" w:rsidRDefault="007D25C7" w:rsidP="007D25C7">
      <w:pPr>
        <w:pStyle w:val="ListParagraph"/>
        <w:numPr>
          <w:ilvl w:val="0"/>
          <w:numId w:val="11"/>
        </w:numPr>
        <w:spacing w:before="0" w:after="0"/>
        <w:contextualSpacing/>
        <w:rPr>
          <w:sz w:val="20"/>
          <w:lang w:val="en-US"/>
        </w:rPr>
      </w:pPr>
      <w:r w:rsidRPr="005E5CE3">
        <w:rPr>
          <w:sz w:val="20"/>
          <w:lang w:val="en-US"/>
        </w:rPr>
        <w:t xml:space="preserve">Continue to </w:t>
      </w:r>
      <w:r w:rsidRPr="004C7AB2">
        <w:rPr>
          <w:sz w:val="20"/>
          <w:u w:val="single"/>
          <w:lang w:val="en-US"/>
        </w:rPr>
        <w:t>apply and develop further stringent application procedures</w:t>
      </w:r>
      <w:r w:rsidRPr="005E5CE3">
        <w:rPr>
          <w:sz w:val="20"/>
          <w:lang w:val="en-US"/>
        </w:rPr>
        <w:t xml:space="preserve">. There is a need to assess real country needs further and the selection process needs to make </w:t>
      </w:r>
      <w:r w:rsidRPr="005E5CE3">
        <w:rPr>
          <w:sz w:val="20"/>
          <w:lang w:val="en-US"/>
        </w:rPr>
        <w:lastRenderedPageBreak/>
        <w:t xml:space="preserve">increasingly strict qualitative assessment of the applications to participate. Such procedures also force the applicants to develop their institutional capacities and the process is thus an end in itself. </w:t>
      </w:r>
    </w:p>
    <w:p w:rsidR="007D25C7" w:rsidRDefault="007D25C7" w:rsidP="007D25C7">
      <w:pPr>
        <w:pStyle w:val="ListParagraph"/>
        <w:numPr>
          <w:ilvl w:val="0"/>
          <w:numId w:val="11"/>
        </w:numPr>
        <w:spacing w:before="0" w:after="0"/>
        <w:rPr>
          <w:sz w:val="20"/>
          <w:lang w:val="en-US"/>
        </w:rPr>
      </w:pPr>
      <w:r w:rsidRPr="004C7AB2">
        <w:rPr>
          <w:sz w:val="20"/>
          <w:u w:val="single"/>
          <w:lang w:val="en-US"/>
        </w:rPr>
        <w:t>Stay focused on participation in Codex</w:t>
      </w:r>
      <w:r>
        <w:rPr>
          <w:sz w:val="20"/>
          <w:lang w:val="en-US"/>
        </w:rPr>
        <w:t xml:space="preserve">. There are many and diverse needs of capacity development but the particular niche and role of </w:t>
      </w:r>
      <w:r w:rsidR="0012497C">
        <w:rPr>
          <w:sz w:val="20"/>
          <w:lang w:val="en-US"/>
        </w:rPr>
        <w:t xml:space="preserve">the </w:t>
      </w:r>
      <w:r>
        <w:rPr>
          <w:sz w:val="20"/>
          <w:lang w:val="en-US"/>
        </w:rPr>
        <w:t xml:space="preserve">CTF lies in participation in Codex. Hence whatever is done in relation outputs 2 and 3, it should be centered on participation; that is, capacities to participate effectively and development of means to support technical and research inputs in relation to participation in Codex. </w:t>
      </w:r>
    </w:p>
    <w:p w:rsidR="007D25C7" w:rsidRPr="005E5CE3" w:rsidRDefault="007D25C7" w:rsidP="007D25C7">
      <w:pPr>
        <w:pStyle w:val="ListParagraph"/>
        <w:numPr>
          <w:ilvl w:val="0"/>
          <w:numId w:val="11"/>
        </w:numPr>
        <w:spacing w:before="0" w:after="0"/>
        <w:rPr>
          <w:sz w:val="20"/>
          <w:lang w:val="en-US"/>
        </w:rPr>
      </w:pPr>
      <w:r w:rsidRPr="004C7AB2">
        <w:rPr>
          <w:sz w:val="20"/>
          <w:u w:val="single"/>
          <w:lang w:val="en-US"/>
        </w:rPr>
        <w:t xml:space="preserve">Increase </w:t>
      </w:r>
      <w:r w:rsidR="00A053C1">
        <w:rPr>
          <w:sz w:val="20"/>
          <w:u w:val="single"/>
          <w:lang w:val="en-US"/>
        </w:rPr>
        <w:t>collaboration</w:t>
      </w:r>
      <w:r w:rsidRPr="004C7AB2">
        <w:rPr>
          <w:sz w:val="20"/>
          <w:u w:val="single"/>
          <w:lang w:val="en-US"/>
        </w:rPr>
        <w:t xml:space="preserve"> with other actors</w:t>
      </w:r>
      <w:r w:rsidRPr="005E5CE3">
        <w:rPr>
          <w:sz w:val="20"/>
          <w:lang w:val="en-US"/>
        </w:rPr>
        <w:t xml:space="preserve">. The development of activities outlined above will mean that there are more capacity building and more opportunities to obtain synergy on operations, and also higher risks of duplicating efforts.   </w:t>
      </w:r>
    </w:p>
    <w:p w:rsidR="007D25C7" w:rsidRDefault="007D25C7" w:rsidP="007D25C7">
      <w:pPr>
        <w:pStyle w:val="ListParagraph"/>
        <w:numPr>
          <w:ilvl w:val="0"/>
          <w:numId w:val="11"/>
        </w:numPr>
        <w:spacing w:before="0" w:after="0"/>
        <w:rPr>
          <w:sz w:val="20"/>
          <w:lang w:val="en-US"/>
        </w:rPr>
      </w:pPr>
      <w:r w:rsidRPr="004C7AB2">
        <w:rPr>
          <w:sz w:val="20"/>
          <w:u w:val="single"/>
          <w:lang w:val="en-US"/>
        </w:rPr>
        <w:t>Monitoring and evaluation systems</w:t>
      </w:r>
      <w:r w:rsidRPr="00083B86">
        <w:rPr>
          <w:sz w:val="20"/>
          <w:lang w:val="en-US"/>
        </w:rPr>
        <w:t xml:space="preserve"> can be </w:t>
      </w:r>
      <w:r>
        <w:rPr>
          <w:sz w:val="20"/>
          <w:lang w:val="en-US"/>
        </w:rPr>
        <w:t xml:space="preserve">further </w:t>
      </w:r>
      <w:r w:rsidRPr="00083B86">
        <w:rPr>
          <w:sz w:val="20"/>
          <w:lang w:val="en-US"/>
        </w:rPr>
        <w:t>developed. Monitoring and evaluation systems need to discern the right opportunities, and should plan for the external evaluation activities well in time.</w:t>
      </w:r>
      <w:r>
        <w:rPr>
          <w:sz w:val="20"/>
          <w:lang w:val="en-US"/>
        </w:rPr>
        <w:t xml:space="preserve"> The Mid-term review suggests an overall approach which focuses on three critical areas of needs, qualitative information and selective use of indicators. </w:t>
      </w:r>
    </w:p>
    <w:p w:rsidR="007D25C7" w:rsidRPr="00083B86" w:rsidRDefault="007D25C7" w:rsidP="007D25C7">
      <w:pPr>
        <w:pStyle w:val="ListParagraph"/>
        <w:spacing w:before="0" w:after="0"/>
        <w:ind w:left="784"/>
        <w:rPr>
          <w:sz w:val="20"/>
          <w:lang w:val="en-US"/>
        </w:rPr>
      </w:pPr>
    </w:p>
    <w:p w:rsidR="007D25C7" w:rsidRPr="00083B86" w:rsidRDefault="007D25C7" w:rsidP="007D25C7">
      <w:pPr>
        <w:rPr>
          <w:sz w:val="20"/>
          <w:lang w:val="en-US"/>
        </w:rPr>
      </w:pPr>
      <w:r w:rsidRPr="00083B86">
        <w:rPr>
          <w:sz w:val="20"/>
          <w:lang w:val="en-US"/>
        </w:rPr>
        <w:t xml:space="preserve">The review concludes by weighing the pros and cons of a continued life </w:t>
      </w:r>
      <w:r>
        <w:rPr>
          <w:sz w:val="20"/>
          <w:lang w:val="en-US"/>
        </w:rPr>
        <w:t xml:space="preserve">for the project </w:t>
      </w:r>
      <w:r w:rsidRPr="00083B86">
        <w:rPr>
          <w:sz w:val="20"/>
          <w:lang w:val="en-US"/>
        </w:rPr>
        <w:t>after the first 1</w:t>
      </w:r>
      <w:r>
        <w:rPr>
          <w:sz w:val="20"/>
          <w:lang w:val="en-US"/>
        </w:rPr>
        <w:t>2 years of operation. A</w:t>
      </w:r>
      <w:r w:rsidRPr="00083B86">
        <w:rPr>
          <w:sz w:val="20"/>
          <w:lang w:val="en-US"/>
        </w:rPr>
        <w:t xml:space="preserve"> project </w:t>
      </w:r>
      <w:r>
        <w:rPr>
          <w:sz w:val="20"/>
          <w:lang w:val="en-US"/>
        </w:rPr>
        <w:t>is a time bound activity with clear objectives that should come to an end. Still, there is likely to</w:t>
      </w:r>
      <w:r w:rsidRPr="00083B86">
        <w:rPr>
          <w:sz w:val="20"/>
          <w:lang w:val="en-US"/>
        </w:rPr>
        <w:t xml:space="preserve"> be a need for further assistance. </w:t>
      </w:r>
      <w:r>
        <w:rPr>
          <w:sz w:val="20"/>
          <w:lang w:val="en-US"/>
        </w:rPr>
        <w:t>I</w:t>
      </w:r>
      <w:r w:rsidRPr="00083B86">
        <w:rPr>
          <w:sz w:val="20"/>
          <w:lang w:val="en-US"/>
        </w:rPr>
        <w:t xml:space="preserve">nternational cooperation </w:t>
      </w:r>
      <w:r>
        <w:rPr>
          <w:sz w:val="20"/>
          <w:lang w:val="en-US"/>
        </w:rPr>
        <w:t>to meet needs for technical assistance in the field of food safety and quality should build on a comprehensive and comparative evaluation of all activities in this field. I</w:t>
      </w:r>
      <w:r w:rsidR="00A053C1">
        <w:rPr>
          <w:sz w:val="20"/>
          <w:lang w:val="en-US"/>
        </w:rPr>
        <w:t xml:space="preserve">t is recommended that such </w:t>
      </w:r>
      <w:r>
        <w:rPr>
          <w:sz w:val="20"/>
          <w:lang w:val="en-US"/>
        </w:rPr>
        <w:t>an evaluation be organized</w:t>
      </w:r>
      <w:r w:rsidR="00A053C1">
        <w:rPr>
          <w:sz w:val="20"/>
          <w:lang w:val="en-US"/>
        </w:rPr>
        <w:t xml:space="preserve"> at the end of the CTF programme</w:t>
      </w:r>
      <w:r>
        <w:rPr>
          <w:sz w:val="20"/>
          <w:lang w:val="en-US"/>
        </w:rPr>
        <w:t xml:space="preserve"> to provide a basis for decisions on the</w:t>
      </w:r>
      <w:r w:rsidR="00A053C1">
        <w:rPr>
          <w:sz w:val="20"/>
          <w:lang w:val="en-US"/>
        </w:rPr>
        <w:t xml:space="preserve"> future</w:t>
      </w:r>
      <w:r>
        <w:rPr>
          <w:sz w:val="20"/>
          <w:lang w:val="en-US"/>
        </w:rPr>
        <w:t xml:space="preserve"> activities of WHO, FAO, WTO and other stakeholders.</w:t>
      </w:r>
    </w:p>
    <w:p w:rsidR="00083B86" w:rsidRPr="00083B86" w:rsidRDefault="00083B86" w:rsidP="00083B86">
      <w:pPr>
        <w:rPr>
          <w:sz w:val="20"/>
          <w:lang w:val="en-US"/>
        </w:rPr>
      </w:pPr>
    </w:p>
    <w:p w:rsidR="00083B86" w:rsidRDefault="00083B86" w:rsidP="00083B86">
      <w:pPr>
        <w:pStyle w:val="Heading1"/>
        <w:rPr>
          <w:lang w:val="en-US"/>
        </w:rPr>
        <w:sectPr w:rsidR="00083B86">
          <w:type w:val="continuous"/>
          <w:pgSz w:w="11900" w:h="16840"/>
          <w:pgMar w:top="1418" w:right="1418" w:bottom="1418" w:left="1418" w:header="709" w:footer="709" w:gutter="0"/>
          <w:cols w:num="2" w:space="708"/>
        </w:sectPr>
      </w:pPr>
    </w:p>
    <w:p w:rsidR="00FF23A7" w:rsidRPr="00083B86" w:rsidRDefault="00FF23A7" w:rsidP="0012497C">
      <w:pPr>
        <w:rPr>
          <w:lang w:val="en-US"/>
        </w:rPr>
      </w:pPr>
    </w:p>
    <w:p w:rsidR="00FF23A7" w:rsidRDefault="00FF23A7" w:rsidP="00C03588">
      <w:pPr>
        <w:rPr>
          <w:lang w:val="en-GB"/>
        </w:rPr>
      </w:pPr>
    </w:p>
    <w:p w:rsidR="00847F16" w:rsidRPr="00956E50" w:rsidRDefault="00FF23A7" w:rsidP="00C03588">
      <w:pPr>
        <w:rPr>
          <w:rFonts w:asciiTheme="majorHAnsi" w:hAnsiTheme="majorHAnsi" w:cstheme="majorHAnsi"/>
          <w:b/>
          <w:color w:val="365F91" w:themeColor="accent1" w:themeShade="BF"/>
          <w:sz w:val="36"/>
          <w:szCs w:val="36"/>
          <w:lang w:val="en-GB"/>
        </w:rPr>
      </w:pPr>
      <w:r w:rsidRPr="00927CF7">
        <w:rPr>
          <w:lang w:val="en-US"/>
        </w:rPr>
        <w:br w:type="page"/>
      </w:r>
      <w:r w:rsidR="000207AC" w:rsidRPr="0081556B">
        <w:rPr>
          <w:rFonts w:asciiTheme="majorHAnsi" w:hAnsiTheme="majorHAnsi" w:cstheme="majorHAnsi"/>
          <w:b/>
          <w:color w:val="365F91" w:themeColor="accent1" w:themeShade="BF"/>
          <w:sz w:val="36"/>
          <w:szCs w:val="36"/>
          <w:lang w:val="en-GB"/>
        </w:rPr>
        <w:lastRenderedPageBreak/>
        <w:t>Table of Content</w:t>
      </w:r>
    </w:p>
    <w:p w:rsidR="00FF23A7" w:rsidRPr="0055654E" w:rsidRDefault="00FF23A7" w:rsidP="00223ABE">
      <w:pPr>
        <w:rPr>
          <w:lang w:val="en-US"/>
        </w:rPr>
      </w:pPr>
    </w:p>
    <w:p w:rsidR="0012497C" w:rsidRPr="0012497C" w:rsidRDefault="00AE227F">
      <w:pPr>
        <w:pStyle w:val="TOC1"/>
        <w:tabs>
          <w:tab w:val="right" w:leader="dot" w:pos="9054"/>
        </w:tabs>
        <w:rPr>
          <w:rFonts w:eastAsiaTheme="minorEastAsia" w:cstheme="minorBidi"/>
          <w:b w:val="0"/>
          <w:caps w:val="0"/>
          <w:noProof/>
          <w:lang w:val="en-US"/>
        </w:rPr>
      </w:pPr>
      <w:r>
        <w:rPr>
          <w:bCs/>
          <w:caps w:val="0"/>
          <w:lang w:val="en-GB"/>
        </w:rPr>
        <w:fldChar w:fldCharType="begin"/>
      </w:r>
      <w:r w:rsidR="0045040C">
        <w:rPr>
          <w:bCs/>
          <w:caps w:val="0"/>
          <w:lang w:val="en-GB"/>
        </w:rPr>
        <w:instrText xml:space="preserve"> TOC \o "1-2" </w:instrText>
      </w:r>
      <w:r>
        <w:rPr>
          <w:bCs/>
          <w:caps w:val="0"/>
          <w:lang w:val="en-GB"/>
        </w:rPr>
        <w:fldChar w:fldCharType="separate"/>
      </w:r>
      <w:r w:rsidR="0012497C" w:rsidRPr="00E31AAC">
        <w:rPr>
          <w:noProof/>
          <w:lang w:val="en-US"/>
        </w:rPr>
        <w:t>Executive Summary</w:t>
      </w:r>
      <w:r w:rsidR="0012497C" w:rsidRPr="0012497C">
        <w:rPr>
          <w:noProof/>
          <w:lang w:val="en-US"/>
        </w:rPr>
        <w:tab/>
      </w:r>
      <w:r>
        <w:rPr>
          <w:noProof/>
        </w:rPr>
        <w:fldChar w:fldCharType="begin"/>
      </w:r>
      <w:r w:rsidR="0012497C" w:rsidRPr="0012497C">
        <w:rPr>
          <w:noProof/>
          <w:lang w:val="en-US"/>
        </w:rPr>
        <w:instrText xml:space="preserve"> PAGEREF _Toc260389712 \h </w:instrText>
      </w:r>
      <w:r>
        <w:rPr>
          <w:noProof/>
        </w:rPr>
      </w:r>
      <w:r>
        <w:rPr>
          <w:noProof/>
        </w:rPr>
        <w:fldChar w:fldCharType="separate"/>
      </w:r>
      <w:r w:rsidR="00A053C1">
        <w:rPr>
          <w:noProof/>
          <w:lang w:val="en-US"/>
        </w:rPr>
        <w:t>2</w:t>
      </w:r>
      <w:r>
        <w:rPr>
          <w:noProof/>
        </w:rPr>
        <w:fldChar w:fldCharType="end"/>
      </w:r>
    </w:p>
    <w:p w:rsidR="0012497C" w:rsidRPr="0012497C" w:rsidRDefault="0012497C">
      <w:pPr>
        <w:pStyle w:val="TOC1"/>
        <w:tabs>
          <w:tab w:val="right" w:leader="dot" w:pos="9054"/>
        </w:tabs>
        <w:rPr>
          <w:rFonts w:eastAsiaTheme="minorEastAsia" w:cstheme="minorBidi"/>
          <w:b w:val="0"/>
          <w:caps w:val="0"/>
          <w:noProof/>
          <w:lang w:val="en-US"/>
        </w:rPr>
      </w:pPr>
      <w:r w:rsidRPr="00E31AAC">
        <w:rPr>
          <w:noProof/>
          <w:lang w:val="en-GB"/>
        </w:rPr>
        <w:t>List of Abbreviations</w:t>
      </w:r>
      <w:r w:rsidRPr="0012497C">
        <w:rPr>
          <w:noProof/>
          <w:lang w:val="en-US"/>
        </w:rPr>
        <w:tab/>
      </w:r>
      <w:r w:rsidR="00AE227F">
        <w:rPr>
          <w:noProof/>
        </w:rPr>
        <w:fldChar w:fldCharType="begin"/>
      </w:r>
      <w:r w:rsidRPr="0012497C">
        <w:rPr>
          <w:noProof/>
          <w:lang w:val="en-US"/>
        </w:rPr>
        <w:instrText xml:space="preserve"> PAGEREF _Toc260389713 \h </w:instrText>
      </w:r>
      <w:r w:rsidR="00AE227F">
        <w:rPr>
          <w:noProof/>
        </w:rPr>
      </w:r>
      <w:r w:rsidR="00AE227F">
        <w:rPr>
          <w:noProof/>
        </w:rPr>
        <w:fldChar w:fldCharType="separate"/>
      </w:r>
      <w:r w:rsidR="00A053C1">
        <w:rPr>
          <w:noProof/>
          <w:lang w:val="en-US"/>
        </w:rPr>
        <w:t>6</w:t>
      </w:r>
      <w:r w:rsidR="00AE227F">
        <w:rPr>
          <w:noProof/>
        </w:rPr>
        <w:fldChar w:fldCharType="end"/>
      </w:r>
    </w:p>
    <w:p w:rsidR="0012497C" w:rsidRPr="0012497C" w:rsidRDefault="0012497C">
      <w:pPr>
        <w:pStyle w:val="TOC1"/>
        <w:tabs>
          <w:tab w:val="right" w:leader="dot" w:pos="9054"/>
        </w:tabs>
        <w:rPr>
          <w:rFonts w:eastAsiaTheme="minorEastAsia" w:cstheme="minorBidi"/>
          <w:b w:val="0"/>
          <w:caps w:val="0"/>
          <w:noProof/>
          <w:lang w:val="en-US"/>
        </w:rPr>
      </w:pPr>
      <w:r w:rsidRPr="00E31AAC">
        <w:rPr>
          <w:noProof/>
          <w:lang w:val="en-GB"/>
        </w:rPr>
        <w:t>Chapter 1. Introduction</w:t>
      </w:r>
      <w:r w:rsidRPr="0012497C">
        <w:rPr>
          <w:noProof/>
          <w:lang w:val="en-US"/>
        </w:rPr>
        <w:tab/>
      </w:r>
      <w:r w:rsidR="00AE227F">
        <w:rPr>
          <w:noProof/>
        </w:rPr>
        <w:fldChar w:fldCharType="begin"/>
      </w:r>
      <w:r w:rsidRPr="0012497C">
        <w:rPr>
          <w:noProof/>
          <w:lang w:val="en-US"/>
        </w:rPr>
        <w:instrText xml:space="preserve"> PAGEREF _Toc260389714 \h </w:instrText>
      </w:r>
      <w:r w:rsidR="00AE227F">
        <w:rPr>
          <w:noProof/>
        </w:rPr>
      </w:r>
      <w:r w:rsidR="00AE227F">
        <w:rPr>
          <w:noProof/>
        </w:rPr>
        <w:fldChar w:fldCharType="separate"/>
      </w:r>
      <w:r w:rsidR="00A053C1">
        <w:rPr>
          <w:noProof/>
          <w:lang w:val="en-US"/>
        </w:rPr>
        <w:t>8</w:t>
      </w:r>
      <w:r w:rsidR="00AE227F">
        <w:rPr>
          <w:noProof/>
        </w:rPr>
        <w:fldChar w:fldCharType="end"/>
      </w:r>
    </w:p>
    <w:p w:rsidR="0012497C" w:rsidRPr="0012497C" w:rsidRDefault="0012497C">
      <w:pPr>
        <w:pStyle w:val="TOC2"/>
        <w:tabs>
          <w:tab w:val="right" w:leader="dot" w:pos="9054"/>
        </w:tabs>
        <w:rPr>
          <w:rFonts w:eastAsiaTheme="minorEastAsia" w:cstheme="minorBidi"/>
          <w:noProof/>
          <w:lang w:val="en-US"/>
        </w:rPr>
      </w:pPr>
      <w:r w:rsidRPr="00E31AAC">
        <w:rPr>
          <w:noProof/>
          <w:lang w:val="en-GB"/>
        </w:rPr>
        <w:t>General Background</w:t>
      </w:r>
      <w:r w:rsidRPr="0012497C">
        <w:rPr>
          <w:noProof/>
          <w:lang w:val="en-US"/>
        </w:rPr>
        <w:tab/>
      </w:r>
      <w:r w:rsidR="00AE227F">
        <w:rPr>
          <w:noProof/>
        </w:rPr>
        <w:fldChar w:fldCharType="begin"/>
      </w:r>
      <w:r w:rsidRPr="0012497C">
        <w:rPr>
          <w:noProof/>
          <w:lang w:val="en-US"/>
        </w:rPr>
        <w:instrText xml:space="preserve"> PAGEREF _Toc260389715 \h </w:instrText>
      </w:r>
      <w:r w:rsidR="00AE227F">
        <w:rPr>
          <w:noProof/>
        </w:rPr>
      </w:r>
      <w:r w:rsidR="00AE227F">
        <w:rPr>
          <w:noProof/>
        </w:rPr>
        <w:fldChar w:fldCharType="separate"/>
      </w:r>
      <w:r w:rsidR="00A053C1">
        <w:rPr>
          <w:noProof/>
          <w:lang w:val="en-US"/>
        </w:rPr>
        <w:t>8</w:t>
      </w:r>
      <w:r w:rsidR="00AE227F">
        <w:rPr>
          <w:noProof/>
        </w:rPr>
        <w:fldChar w:fldCharType="end"/>
      </w:r>
    </w:p>
    <w:p w:rsidR="0012497C" w:rsidRPr="0012497C" w:rsidRDefault="0012497C">
      <w:pPr>
        <w:pStyle w:val="TOC2"/>
        <w:tabs>
          <w:tab w:val="right" w:leader="dot" w:pos="9054"/>
        </w:tabs>
        <w:rPr>
          <w:rFonts w:eastAsiaTheme="minorEastAsia" w:cstheme="minorBidi"/>
          <w:noProof/>
          <w:lang w:val="en-US"/>
        </w:rPr>
      </w:pPr>
      <w:r w:rsidRPr="00E31AAC">
        <w:rPr>
          <w:noProof/>
          <w:lang w:val="en-GB"/>
        </w:rPr>
        <w:t>Creating the Codex Trust Fund</w:t>
      </w:r>
      <w:r w:rsidRPr="0012497C">
        <w:rPr>
          <w:noProof/>
          <w:lang w:val="en-US"/>
        </w:rPr>
        <w:tab/>
      </w:r>
      <w:r w:rsidR="00AE227F">
        <w:rPr>
          <w:noProof/>
        </w:rPr>
        <w:fldChar w:fldCharType="begin"/>
      </w:r>
      <w:r w:rsidRPr="0012497C">
        <w:rPr>
          <w:noProof/>
          <w:lang w:val="en-US"/>
        </w:rPr>
        <w:instrText xml:space="preserve"> PAGEREF _Toc260389716 \h </w:instrText>
      </w:r>
      <w:r w:rsidR="00AE227F">
        <w:rPr>
          <w:noProof/>
        </w:rPr>
      </w:r>
      <w:r w:rsidR="00AE227F">
        <w:rPr>
          <w:noProof/>
        </w:rPr>
        <w:fldChar w:fldCharType="separate"/>
      </w:r>
      <w:r w:rsidR="00A053C1">
        <w:rPr>
          <w:noProof/>
          <w:lang w:val="en-US"/>
        </w:rPr>
        <w:t>9</w:t>
      </w:r>
      <w:r w:rsidR="00AE227F">
        <w:rPr>
          <w:noProof/>
        </w:rPr>
        <w:fldChar w:fldCharType="end"/>
      </w:r>
    </w:p>
    <w:p w:rsidR="0012497C" w:rsidRPr="0012497C" w:rsidRDefault="0012497C">
      <w:pPr>
        <w:pStyle w:val="TOC2"/>
        <w:tabs>
          <w:tab w:val="right" w:leader="dot" w:pos="9054"/>
        </w:tabs>
        <w:rPr>
          <w:rFonts w:eastAsiaTheme="minorEastAsia" w:cstheme="minorBidi"/>
          <w:noProof/>
          <w:lang w:val="en-US"/>
        </w:rPr>
      </w:pPr>
      <w:r w:rsidRPr="00E31AAC">
        <w:rPr>
          <w:noProof/>
          <w:lang w:val="en-GB"/>
        </w:rPr>
        <w:t>Purpose</w:t>
      </w:r>
      <w:r w:rsidRPr="0012497C">
        <w:rPr>
          <w:noProof/>
          <w:lang w:val="en-US"/>
        </w:rPr>
        <w:tab/>
      </w:r>
      <w:r w:rsidR="00AE227F">
        <w:rPr>
          <w:noProof/>
        </w:rPr>
        <w:fldChar w:fldCharType="begin"/>
      </w:r>
      <w:r w:rsidRPr="0012497C">
        <w:rPr>
          <w:noProof/>
          <w:lang w:val="en-US"/>
        </w:rPr>
        <w:instrText xml:space="preserve"> PAGEREF _Toc260389717 \h </w:instrText>
      </w:r>
      <w:r w:rsidR="00AE227F">
        <w:rPr>
          <w:noProof/>
        </w:rPr>
      </w:r>
      <w:r w:rsidR="00AE227F">
        <w:rPr>
          <w:noProof/>
        </w:rPr>
        <w:fldChar w:fldCharType="separate"/>
      </w:r>
      <w:r w:rsidR="00A053C1">
        <w:rPr>
          <w:noProof/>
          <w:lang w:val="en-US"/>
        </w:rPr>
        <w:t>9</w:t>
      </w:r>
      <w:r w:rsidR="00AE227F">
        <w:rPr>
          <w:noProof/>
        </w:rPr>
        <w:fldChar w:fldCharType="end"/>
      </w:r>
    </w:p>
    <w:p w:rsidR="0012497C" w:rsidRPr="0012497C" w:rsidRDefault="0012497C">
      <w:pPr>
        <w:pStyle w:val="TOC2"/>
        <w:tabs>
          <w:tab w:val="right" w:leader="dot" w:pos="9054"/>
        </w:tabs>
        <w:rPr>
          <w:rFonts w:eastAsiaTheme="minorEastAsia" w:cstheme="minorBidi"/>
          <w:noProof/>
          <w:lang w:val="en-US"/>
        </w:rPr>
      </w:pPr>
      <w:r w:rsidRPr="00E31AAC">
        <w:rPr>
          <w:noProof/>
          <w:lang w:val="en-GB"/>
        </w:rPr>
        <w:t>Methods</w:t>
      </w:r>
      <w:r w:rsidRPr="0012497C">
        <w:rPr>
          <w:noProof/>
          <w:lang w:val="en-US"/>
        </w:rPr>
        <w:tab/>
      </w:r>
      <w:r w:rsidR="00AE227F">
        <w:rPr>
          <w:noProof/>
        </w:rPr>
        <w:fldChar w:fldCharType="begin"/>
      </w:r>
      <w:r w:rsidRPr="0012497C">
        <w:rPr>
          <w:noProof/>
          <w:lang w:val="en-US"/>
        </w:rPr>
        <w:instrText xml:space="preserve"> PAGEREF _Toc260389718 \h </w:instrText>
      </w:r>
      <w:r w:rsidR="00AE227F">
        <w:rPr>
          <w:noProof/>
        </w:rPr>
      </w:r>
      <w:r w:rsidR="00AE227F">
        <w:rPr>
          <w:noProof/>
        </w:rPr>
        <w:fldChar w:fldCharType="separate"/>
      </w:r>
      <w:r w:rsidR="00A053C1">
        <w:rPr>
          <w:noProof/>
          <w:lang w:val="en-US"/>
        </w:rPr>
        <w:t>10</w:t>
      </w:r>
      <w:r w:rsidR="00AE227F">
        <w:rPr>
          <w:noProof/>
        </w:rPr>
        <w:fldChar w:fldCharType="end"/>
      </w:r>
    </w:p>
    <w:p w:rsidR="0012497C" w:rsidRPr="0012497C" w:rsidRDefault="0012497C">
      <w:pPr>
        <w:pStyle w:val="TOC2"/>
        <w:tabs>
          <w:tab w:val="right" w:leader="dot" w:pos="9054"/>
        </w:tabs>
        <w:rPr>
          <w:rFonts w:eastAsiaTheme="minorEastAsia" w:cstheme="minorBidi"/>
          <w:noProof/>
          <w:lang w:val="en-US"/>
        </w:rPr>
      </w:pPr>
      <w:r w:rsidRPr="00E31AAC">
        <w:rPr>
          <w:noProof/>
          <w:lang w:val="en-GB"/>
        </w:rPr>
        <w:t>Can the Evaluation Findings be Trusted?</w:t>
      </w:r>
      <w:r w:rsidRPr="0012497C">
        <w:rPr>
          <w:noProof/>
          <w:lang w:val="en-US"/>
        </w:rPr>
        <w:tab/>
      </w:r>
      <w:r w:rsidR="00AE227F">
        <w:rPr>
          <w:noProof/>
        </w:rPr>
        <w:fldChar w:fldCharType="begin"/>
      </w:r>
      <w:r w:rsidRPr="0012497C">
        <w:rPr>
          <w:noProof/>
          <w:lang w:val="en-US"/>
        </w:rPr>
        <w:instrText xml:space="preserve"> PAGEREF _Toc260389719 \h </w:instrText>
      </w:r>
      <w:r w:rsidR="00AE227F">
        <w:rPr>
          <w:noProof/>
        </w:rPr>
      </w:r>
      <w:r w:rsidR="00AE227F">
        <w:rPr>
          <w:noProof/>
        </w:rPr>
        <w:fldChar w:fldCharType="separate"/>
      </w:r>
      <w:r w:rsidR="00A053C1">
        <w:rPr>
          <w:noProof/>
          <w:lang w:val="en-US"/>
        </w:rPr>
        <w:t>11</w:t>
      </w:r>
      <w:r w:rsidR="00AE227F">
        <w:rPr>
          <w:noProof/>
        </w:rPr>
        <w:fldChar w:fldCharType="end"/>
      </w:r>
    </w:p>
    <w:p w:rsidR="0012497C" w:rsidRPr="0012497C" w:rsidRDefault="0012497C">
      <w:pPr>
        <w:pStyle w:val="TOC2"/>
        <w:tabs>
          <w:tab w:val="right" w:leader="dot" w:pos="9054"/>
        </w:tabs>
        <w:rPr>
          <w:rFonts w:eastAsiaTheme="minorEastAsia" w:cstheme="minorBidi"/>
          <w:noProof/>
          <w:lang w:val="en-US"/>
        </w:rPr>
      </w:pPr>
      <w:r w:rsidRPr="00E31AAC">
        <w:rPr>
          <w:noProof/>
          <w:lang w:val="en-GB"/>
        </w:rPr>
        <w:t>Guide to the reader</w:t>
      </w:r>
      <w:r w:rsidRPr="0012497C">
        <w:rPr>
          <w:noProof/>
          <w:lang w:val="en-US"/>
        </w:rPr>
        <w:tab/>
      </w:r>
      <w:r w:rsidR="00AE227F">
        <w:rPr>
          <w:noProof/>
        </w:rPr>
        <w:fldChar w:fldCharType="begin"/>
      </w:r>
      <w:r w:rsidRPr="0012497C">
        <w:rPr>
          <w:noProof/>
          <w:lang w:val="en-US"/>
        </w:rPr>
        <w:instrText xml:space="preserve"> PAGEREF _Toc260389720 \h </w:instrText>
      </w:r>
      <w:r w:rsidR="00AE227F">
        <w:rPr>
          <w:noProof/>
        </w:rPr>
      </w:r>
      <w:r w:rsidR="00AE227F">
        <w:rPr>
          <w:noProof/>
        </w:rPr>
        <w:fldChar w:fldCharType="separate"/>
      </w:r>
      <w:r w:rsidR="00A053C1">
        <w:rPr>
          <w:noProof/>
          <w:lang w:val="en-US"/>
        </w:rPr>
        <w:t>12</w:t>
      </w:r>
      <w:r w:rsidR="00AE227F">
        <w:rPr>
          <w:noProof/>
        </w:rPr>
        <w:fldChar w:fldCharType="end"/>
      </w:r>
    </w:p>
    <w:p w:rsidR="0012497C" w:rsidRPr="0012497C" w:rsidRDefault="0012497C">
      <w:pPr>
        <w:pStyle w:val="TOC1"/>
        <w:tabs>
          <w:tab w:val="right" w:leader="dot" w:pos="9054"/>
        </w:tabs>
        <w:rPr>
          <w:rFonts w:eastAsiaTheme="minorEastAsia" w:cstheme="minorBidi"/>
          <w:b w:val="0"/>
          <w:caps w:val="0"/>
          <w:noProof/>
          <w:lang w:val="en-US"/>
        </w:rPr>
      </w:pPr>
      <w:r w:rsidRPr="00E31AAC">
        <w:rPr>
          <w:noProof/>
          <w:lang w:val="en-GB"/>
        </w:rPr>
        <w:t>Chapter 2. Impact at Country level</w:t>
      </w:r>
      <w:r w:rsidRPr="0012497C">
        <w:rPr>
          <w:noProof/>
          <w:lang w:val="en-US"/>
        </w:rPr>
        <w:tab/>
      </w:r>
      <w:r w:rsidR="00AE227F">
        <w:rPr>
          <w:noProof/>
        </w:rPr>
        <w:fldChar w:fldCharType="begin"/>
      </w:r>
      <w:r w:rsidRPr="0012497C">
        <w:rPr>
          <w:noProof/>
          <w:lang w:val="en-US"/>
        </w:rPr>
        <w:instrText xml:space="preserve"> PAGEREF _Toc260389721 \h </w:instrText>
      </w:r>
      <w:r w:rsidR="00AE227F">
        <w:rPr>
          <w:noProof/>
        </w:rPr>
      </w:r>
      <w:r w:rsidR="00AE227F">
        <w:rPr>
          <w:noProof/>
        </w:rPr>
        <w:fldChar w:fldCharType="separate"/>
      </w:r>
      <w:r w:rsidR="00A053C1">
        <w:rPr>
          <w:noProof/>
          <w:lang w:val="en-US"/>
        </w:rPr>
        <w:t>13</w:t>
      </w:r>
      <w:r w:rsidR="00AE227F">
        <w:rPr>
          <w:noProof/>
        </w:rPr>
        <w:fldChar w:fldCharType="end"/>
      </w:r>
    </w:p>
    <w:p w:rsidR="0012497C" w:rsidRPr="0012497C" w:rsidRDefault="0012497C">
      <w:pPr>
        <w:pStyle w:val="TOC2"/>
        <w:tabs>
          <w:tab w:val="right" w:leader="dot" w:pos="9054"/>
        </w:tabs>
        <w:rPr>
          <w:rFonts w:eastAsiaTheme="minorEastAsia" w:cstheme="minorBidi"/>
          <w:noProof/>
          <w:lang w:val="en-US"/>
        </w:rPr>
      </w:pPr>
      <w:r w:rsidRPr="00E31AAC">
        <w:rPr>
          <w:noProof/>
          <w:lang w:val="en-GB"/>
        </w:rPr>
        <w:t>Impact of the Trust Fund Activities</w:t>
      </w:r>
      <w:r w:rsidRPr="0012497C">
        <w:rPr>
          <w:noProof/>
          <w:lang w:val="en-US"/>
        </w:rPr>
        <w:tab/>
      </w:r>
      <w:r w:rsidR="00AE227F">
        <w:rPr>
          <w:noProof/>
        </w:rPr>
        <w:fldChar w:fldCharType="begin"/>
      </w:r>
      <w:r w:rsidRPr="0012497C">
        <w:rPr>
          <w:noProof/>
          <w:lang w:val="en-US"/>
        </w:rPr>
        <w:instrText xml:space="preserve"> PAGEREF _Toc260389722 \h </w:instrText>
      </w:r>
      <w:r w:rsidR="00AE227F">
        <w:rPr>
          <w:noProof/>
        </w:rPr>
      </w:r>
      <w:r w:rsidR="00AE227F">
        <w:rPr>
          <w:noProof/>
        </w:rPr>
        <w:fldChar w:fldCharType="separate"/>
      </w:r>
      <w:r w:rsidR="00A053C1">
        <w:rPr>
          <w:noProof/>
          <w:lang w:val="en-US"/>
        </w:rPr>
        <w:t>13</w:t>
      </w:r>
      <w:r w:rsidR="00AE227F">
        <w:rPr>
          <w:noProof/>
        </w:rPr>
        <w:fldChar w:fldCharType="end"/>
      </w:r>
    </w:p>
    <w:p w:rsidR="0012497C" w:rsidRPr="0012497C" w:rsidRDefault="0012497C">
      <w:pPr>
        <w:pStyle w:val="TOC2"/>
        <w:tabs>
          <w:tab w:val="right" w:leader="dot" w:pos="9054"/>
        </w:tabs>
        <w:rPr>
          <w:rFonts w:eastAsiaTheme="minorEastAsia" w:cstheme="minorBidi"/>
          <w:noProof/>
          <w:lang w:val="en-US"/>
        </w:rPr>
      </w:pPr>
      <w:r w:rsidRPr="00E31AAC">
        <w:rPr>
          <w:noProof/>
          <w:lang w:val="en-GB"/>
        </w:rPr>
        <w:t>Assessment of impact</w:t>
      </w:r>
      <w:r w:rsidRPr="0012497C">
        <w:rPr>
          <w:noProof/>
          <w:lang w:val="en-US"/>
        </w:rPr>
        <w:tab/>
      </w:r>
      <w:r w:rsidR="00AE227F">
        <w:rPr>
          <w:noProof/>
        </w:rPr>
        <w:fldChar w:fldCharType="begin"/>
      </w:r>
      <w:r w:rsidRPr="0012497C">
        <w:rPr>
          <w:noProof/>
          <w:lang w:val="en-US"/>
        </w:rPr>
        <w:instrText xml:space="preserve"> PAGEREF _Toc260389723 \h </w:instrText>
      </w:r>
      <w:r w:rsidR="00AE227F">
        <w:rPr>
          <w:noProof/>
        </w:rPr>
      </w:r>
      <w:r w:rsidR="00AE227F">
        <w:rPr>
          <w:noProof/>
        </w:rPr>
        <w:fldChar w:fldCharType="separate"/>
      </w:r>
      <w:r w:rsidR="00A053C1">
        <w:rPr>
          <w:noProof/>
          <w:lang w:val="en-US"/>
        </w:rPr>
        <w:t>14</w:t>
      </w:r>
      <w:r w:rsidR="00AE227F">
        <w:rPr>
          <w:noProof/>
        </w:rPr>
        <w:fldChar w:fldCharType="end"/>
      </w:r>
    </w:p>
    <w:p w:rsidR="0012497C" w:rsidRPr="0012497C" w:rsidRDefault="0012497C">
      <w:pPr>
        <w:pStyle w:val="TOC2"/>
        <w:tabs>
          <w:tab w:val="right" w:leader="dot" w:pos="9054"/>
        </w:tabs>
        <w:rPr>
          <w:rFonts w:eastAsiaTheme="minorEastAsia" w:cstheme="minorBidi"/>
          <w:noProof/>
          <w:lang w:val="en-US"/>
        </w:rPr>
      </w:pPr>
      <w:r w:rsidRPr="00E31AAC">
        <w:rPr>
          <w:noProof/>
          <w:lang w:val="en-GB"/>
        </w:rPr>
        <w:t>Main types of impact</w:t>
      </w:r>
      <w:r w:rsidRPr="0012497C">
        <w:rPr>
          <w:noProof/>
          <w:lang w:val="en-US"/>
        </w:rPr>
        <w:tab/>
      </w:r>
      <w:r w:rsidR="00AE227F">
        <w:rPr>
          <w:noProof/>
        </w:rPr>
        <w:fldChar w:fldCharType="begin"/>
      </w:r>
      <w:r w:rsidRPr="0012497C">
        <w:rPr>
          <w:noProof/>
          <w:lang w:val="en-US"/>
        </w:rPr>
        <w:instrText xml:space="preserve"> PAGEREF _Toc260389724 \h </w:instrText>
      </w:r>
      <w:r w:rsidR="00AE227F">
        <w:rPr>
          <w:noProof/>
        </w:rPr>
      </w:r>
      <w:r w:rsidR="00AE227F">
        <w:rPr>
          <w:noProof/>
        </w:rPr>
        <w:fldChar w:fldCharType="separate"/>
      </w:r>
      <w:r w:rsidR="00A053C1">
        <w:rPr>
          <w:noProof/>
          <w:lang w:val="en-US"/>
        </w:rPr>
        <w:t>14</w:t>
      </w:r>
      <w:r w:rsidR="00AE227F">
        <w:rPr>
          <w:noProof/>
        </w:rPr>
        <w:fldChar w:fldCharType="end"/>
      </w:r>
    </w:p>
    <w:p w:rsidR="0012497C" w:rsidRPr="0012497C" w:rsidRDefault="0012497C">
      <w:pPr>
        <w:pStyle w:val="TOC2"/>
        <w:tabs>
          <w:tab w:val="right" w:leader="dot" w:pos="9054"/>
        </w:tabs>
        <w:rPr>
          <w:rFonts w:eastAsiaTheme="minorEastAsia" w:cstheme="minorBidi"/>
          <w:noProof/>
          <w:lang w:val="en-US"/>
        </w:rPr>
      </w:pPr>
      <w:r w:rsidRPr="00E31AAC">
        <w:rPr>
          <w:noProof/>
          <w:lang w:val="en-GB"/>
        </w:rPr>
        <w:t>Regional Cooperation</w:t>
      </w:r>
      <w:r w:rsidRPr="0012497C">
        <w:rPr>
          <w:noProof/>
          <w:lang w:val="en-US"/>
        </w:rPr>
        <w:tab/>
      </w:r>
      <w:r w:rsidR="00AE227F">
        <w:rPr>
          <w:noProof/>
        </w:rPr>
        <w:fldChar w:fldCharType="begin"/>
      </w:r>
      <w:r w:rsidRPr="0012497C">
        <w:rPr>
          <w:noProof/>
          <w:lang w:val="en-US"/>
        </w:rPr>
        <w:instrText xml:space="preserve"> PAGEREF _Toc260389725 \h </w:instrText>
      </w:r>
      <w:r w:rsidR="00AE227F">
        <w:rPr>
          <w:noProof/>
        </w:rPr>
      </w:r>
      <w:r w:rsidR="00AE227F">
        <w:rPr>
          <w:noProof/>
        </w:rPr>
        <w:fldChar w:fldCharType="separate"/>
      </w:r>
      <w:r w:rsidR="00A053C1">
        <w:rPr>
          <w:noProof/>
          <w:lang w:val="en-US"/>
        </w:rPr>
        <w:t>25</w:t>
      </w:r>
      <w:r w:rsidR="00AE227F">
        <w:rPr>
          <w:noProof/>
        </w:rPr>
        <w:fldChar w:fldCharType="end"/>
      </w:r>
    </w:p>
    <w:p w:rsidR="0012497C" w:rsidRPr="0012497C" w:rsidRDefault="0012497C">
      <w:pPr>
        <w:pStyle w:val="TOC2"/>
        <w:tabs>
          <w:tab w:val="right" w:leader="dot" w:pos="9054"/>
        </w:tabs>
        <w:rPr>
          <w:rFonts w:eastAsiaTheme="minorEastAsia" w:cstheme="minorBidi"/>
          <w:noProof/>
          <w:lang w:val="en-US"/>
        </w:rPr>
      </w:pPr>
      <w:r w:rsidRPr="00E31AAC">
        <w:rPr>
          <w:noProof/>
          <w:lang w:val="en-GB"/>
        </w:rPr>
        <w:t>Sustainability</w:t>
      </w:r>
      <w:r w:rsidRPr="0012497C">
        <w:rPr>
          <w:noProof/>
          <w:lang w:val="en-US"/>
        </w:rPr>
        <w:tab/>
      </w:r>
      <w:r w:rsidR="00AE227F">
        <w:rPr>
          <w:noProof/>
        </w:rPr>
        <w:fldChar w:fldCharType="begin"/>
      </w:r>
      <w:r w:rsidRPr="0012497C">
        <w:rPr>
          <w:noProof/>
          <w:lang w:val="en-US"/>
        </w:rPr>
        <w:instrText xml:space="preserve"> PAGEREF _Toc260389726 \h </w:instrText>
      </w:r>
      <w:r w:rsidR="00AE227F">
        <w:rPr>
          <w:noProof/>
        </w:rPr>
      </w:r>
      <w:r w:rsidR="00AE227F">
        <w:rPr>
          <w:noProof/>
        </w:rPr>
        <w:fldChar w:fldCharType="separate"/>
      </w:r>
      <w:r w:rsidR="00A053C1">
        <w:rPr>
          <w:noProof/>
          <w:lang w:val="en-US"/>
        </w:rPr>
        <w:t>26</w:t>
      </w:r>
      <w:r w:rsidR="00AE227F">
        <w:rPr>
          <w:noProof/>
        </w:rPr>
        <w:fldChar w:fldCharType="end"/>
      </w:r>
    </w:p>
    <w:p w:rsidR="0012497C" w:rsidRPr="0012497C" w:rsidRDefault="0012497C">
      <w:pPr>
        <w:pStyle w:val="TOC1"/>
        <w:tabs>
          <w:tab w:val="right" w:leader="dot" w:pos="9054"/>
        </w:tabs>
        <w:rPr>
          <w:rFonts w:eastAsiaTheme="minorEastAsia" w:cstheme="minorBidi"/>
          <w:b w:val="0"/>
          <w:caps w:val="0"/>
          <w:noProof/>
          <w:lang w:val="en-US"/>
        </w:rPr>
      </w:pPr>
      <w:r w:rsidRPr="00E31AAC">
        <w:rPr>
          <w:noProof/>
          <w:lang w:val="en-GB"/>
        </w:rPr>
        <w:t>Chapter 3. Achieving participation at global level</w:t>
      </w:r>
      <w:r w:rsidRPr="0012497C">
        <w:rPr>
          <w:noProof/>
          <w:lang w:val="en-US"/>
        </w:rPr>
        <w:tab/>
      </w:r>
      <w:r w:rsidR="00AE227F">
        <w:rPr>
          <w:noProof/>
        </w:rPr>
        <w:fldChar w:fldCharType="begin"/>
      </w:r>
      <w:r w:rsidRPr="0012497C">
        <w:rPr>
          <w:noProof/>
          <w:lang w:val="en-US"/>
        </w:rPr>
        <w:instrText xml:space="preserve"> PAGEREF _Toc260389727 \h </w:instrText>
      </w:r>
      <w:r w:rsidR="00AE227F">
        <w:rPr>
          <w:noProof/>
        </w:rPr>
      </w:r>
      <w:r w:rsidR="00AE227F">
        <w:rPr>
          <w:noProof/>
        </w:rPr>
        <w:fldChar w:fldCharType="separate"/>
      </w:r>
      <w:r w:rsidR="00A053C1">
        <w:rPr>
          <w:noProof/>
          <w:lang w:val="en-US"/>
        </w:rPr>
        <w:t>27</w:t>
      </w:r>
      <w:r w:rsidR="00AE227F">
        <w:rPr>
          <w:noProof/>
        </w:rPr>
        <w:fldChar w:fldCharType="end"/>
      </w:r>
    </w:p>
    <w:p w:rsidR="0012497C" w:rsidRPr="0012497C" w:rsidRDefault="0012497C">
      <w:pPr>
        <w:pStyle w:val="TOC2"/>
        <w:tabs>
          <w:tab w:val="right" w:leader="dot" w:pos="9054"/>
        </w:tabs>
        <w:rPr>
          <w:rFonts w:eastAsiaTheme="minorEastAsia" w:cstheme="minorBidi"/>
          <w:noProof/>
          <w:lang w:val="en-US"/>
        </w:rPr>
      </w:pPr>
      <w:r w:rsidRPr="00E31AAC">
        <w:rPr>
          <w:noProof/>
          <w:lang w:val="en-US"/>
        </w:rPr>
        <w:t>Participation in Codex Meetings</w:t>
      </w:r>
      <w:r w:rsidRPr="0012497C">
        <w:rPr>
          <w:noProof/>
          <w:lang w:val="en-US"/>
        </w:rPr>
        <w:tab/>
      </w:r>
      <w:r w:rsidR="00AE227F">
        <w:rPr>
          <w:noProof/>
        </w:rPr>
        <w:fldChar w:fldCharType="begin"/>
      </w:r>
      <w:r w:rsidRPr="0012497C">
        <w:rPr>
          <w:noProof/>
          <w:lang w:val="en-US"/>
        </w:rPr>
        <w:instrText xml:space="preserve"> PAGEREF _Toc260389728 \h </w:instrText>
      </w:r>
      <w:r w:rsidR="00AE227F">
        <w:rPr>
          <w:noProof/>
        </w:rPr>
      </w:r>
      <w:r w:rsidR="00AE227F">
        <w:rPr>
          <w:noProof/>
        </w:rPr>
        <w:fldChar w:fldCharType="separate"/>
      </w:r>
      <w:r w:rsidR="00A053C1">
        <w:rPr>
          <w:noProof/>
          <w:lang w:val="en-US"/>
        </w:rPr>
        <w:t>27</w:t>
      </w:r>
      <w:r w:rsidR="00AE227F">
        <w:rPr>
          <w:noProof/>
        </w:rPr>
        <w:fldChar w:fldCharType="end"/>
      </w:r>
    </w:p>
    <w:p w:rsidR="0012497C" w:rsidRPr="0012497C" w:rsidRDefault="0012497C">
      <w:pPr>
        <w:pStyle w:val="TOC2"/>
        <w:tabs>
          <w:tab w:val="right" w:leader="dot" w:pos="9054"/>
        </w:tabs>
        <w:rPr>
          <w:rFonts w:eastAsiaTheme="minorEastAsia" w:cstheme="minorBidi"/>
          <w:noProof/>
          <w:lang w:val="en-US"/>
        </w:rPr>
      </w:pPr>
      <w:r w:rsidRPr="00E31AAC">
        <w:rPr>
          <w:noProof/>
          <w:lang w:val="en-GB"/>
        </w:rPr>
        <w:t>Continuity of participation</w:t>
      </w:r>
      <w:r w:rsidRPr="0012497C">
        <w:rPr>
          <w:noProof/>
          <w:lang w:val="en-US"/>
        </w:rPr>
        <w:tab/>
      </w:r>
      <w:r w:rsidR="00AE227F">
        <w:rPr>
          <w:noProof/>
        </w:rPr>
        <w:fldChar w:fldCharType="begin"/>
      </w:r>
      <w:r w:rsidRPr="0012497C">
        <w:rPr>
          <w:noProof/>
          <w:lang w:val="en-US"/>
        </w:rPr>
        <w:instrText xml:space="preserve"> PAGEREF _Toc260389729 \h </w:instrText>
      </w:r>
      <w:r w:rsidR="00AE227F">
        <w:rPr>
          <w:noProof/>
        </w:rPr>
      </w:r>
      <w:r w:rsidR="00AE227F">
        <w:rPr>
          <w:noProof/>
        </w:rPr>
        <w:fldChar w:fldCharType="separate"/>
      </w:r>
      <w:r w:rsidR="00A053C1">
        <w:rPr>
          <w:noProof/>
          <w:lang w:val="en-US"/>
        </w:rPr>
        <w:t>31</w:t>
      </w:r>
      <w:r w:rsidR="00AE227F">
        <w:rPr>
          <w:noProof/>
        </w:rPr>
        <w:fldChar w:fldCharType="end"/>
      </w:r>
    </w:p>
    <w:p w:rsidR="0012497C" w:rsidRPr="0012497C" w:rsidRDefault="0012497C">
      <w:pPr>
        <w:pStyle w:val="TOC2"/>
        <w:tabs>
          <w:tab w:val="right" w:leader="dot" w:pos="9054"/>
        </w:tabs>
        <w:rPr>
          <w:rFonts w:eastAsiaTheme="minorEastAsia" w:cstheme="minorBidi"/>
          <w:noProof/>
          <w:lang w:val="en-US"/>
        </w:rPr>
      </w:pPr>
      <w:r w:rsidRPr="00E31AAC">
        <w:rPr>
          <w:noProof/>
          <w:lang w:val="en-US"/>
        </w:rPr>
        <w:t>Committee dynamics</w:t>
      </w:r>
      <w:r w:rsidRPr="0012497C">
        <w:rPr>
          <w:noProof/>
          <w:lang w:val="en-US"/>
        </w:rPr>
        <w:tab/>
      </w:r>
      <w:r w:rsidR="00AE227F">
        <w:rPr>
          <w:noProof/>
        </w:rPr>
        <w:fldChar w:fldCharType="begin"/>
      </w:r>
      <w:r w:rsidRPr="0012497C">
        <w:rPr>
          <w:noProof/>
          <w:lang w:val="en-US"/>
        </w:rPr>
        <w:instrText xml:space="preserve"> PAGEREF _Toc260389730 \h </w:instrText>
      </w:r>
      <w:r w:rsidR="00AE227F">
        <w:rPr>
          <w:noProof/>
        </w:rPr>
      </w:r>
      <w:r w:rsidR="00AE227F">
        <w:rPr>
          <w:noProof/>
        </w:rPr>
        <w:fldChar w:fldCharType="separate"/>
      </w:r>
      <w:r w:rsidR="00A053C1">
        <w:rPr>
          <w:noProof/>
          <w:lang w:val="en-US"/>
        </w:rPr>
        <w:t>33</w:t>
      </w:r>
      <w:r w:rsidR="00AE227F">
        <w:rPr>
          <w:noProof/>
        </w:rPr>
        <w:fldChar w:fldCharType="end"/>
      </w:r>
    </w:p>
    <w:p w:rsidR="0012497C" w:rsidRPr="0012497C" w:rsidRDefault="0012497C">
      <w:pPr>
        <w:pStyle w:val="TOC1"/>
        <w:tabs>
          <w:tab w:val="right" w:leader="dot" w:pos="9054"/>
        </w:tabs>
        <w:rPr>
          <w:rFonts w:eastAsiaTheme="minorEastAsia" w:cstheme="minorBidi"/>
          <w:b w:val="0"/>
          <w:caps w:val="0"/>
          <w:noProof/>
          <w:lang w:val="en-US"/>
        </w:rPr>
      </w:pPr>
      <w:r w:rsidRPr="00E31AAC">
        <w:rPr>
          <w:noProof/>
          <w:lang w:val="en-GB"/>
        </w:rPr>
        <w:t>Chapter 4. Programme Logic of the Codex Trust Fund</w:t>
      </w:r>
      <w:r w:rsidRPr="0012497C">
        <w:rPr>
          <w:noProof/>
          <w:lang w:val="en-US"/>
        </w:rPr>
        <w:tab/>
      </w:r>
      <w:r w:rsidR="00AE227F">
        <w:rPr>
          <w:noProof/>
        </w:rPr>
        <w:fldChar w:fldCharType="begin"/>
      </w:r>
      <w:r w:rsidRPr="0012497C">
        <w:rPr>
          <w:noProof/>
          <w:lang w:val="en-US"/>
        </w:rPr>
        <w:instrText xml:space="preserve"> PAGEREF _Toc260389731 \h </w:instrText>
      </w:r>
      <w:r w:rsidR="00AE227F">
        <w:rPr>
          <w:noProof/>
        </w:rPr>
      </w:r>
      <w:r w:rsidR="00AE227F">
        <w:rPr>
          <w:noProof/>
        </w:rPr>
        <w:fldChar w:fldCharType="separate"/>
      </w:r>
      <w:r w:rsidR="00A053C1">
        <w:rPr>
          <w:noProof/>
          <w:lang w:val="en-US"/>
        </w:rPr>
        <w:t>36</w:t>
      </w:r>
      <w:r w:rsidR="00AE227F">
        <w:rPr>
          <w:noProof/>
        </w:rPr>
        <w:fldChar w:fldCharType="end"/>
      </w:r>
    </w:p>
    <w:p w:rsidR="0012497C" w:rsidRPr="0012497C" w:rsidRDefault="0012497C">
      <w:pPr>
        <w:pStyle w:val="TOC2"/>
        <w:tabs>
          <w:tab w:val="right" w:leader="dot" w:pos="9054"/>
        </w:tabs>
        <w:rPr>
          <w:rFonts w:eastAsiaTheme="minorEastAsia" w:cstheme="minorBidi"/>
          <w:noProof/>
          <w:lang w:val="en-US"/>
        </w:rPr>
      </w:pPr>
      <w:r w:rsidRPr="00E31AAC">
        <w:rPr>
          <w:noProof/>
          <w:lang w:val="en-US"/>
        </w:rPr>
        <w:t>Objectives and outcomes</w:t>
      </w:r>
      <w:r w:rsidRPr="0012497C">
        <w:rPr>
          <w:noProof/>
          <w:lang w:val="en-US"/>
        </w:rPr>
        <w:tab/>
      </w:r>
      <w:r w:rsidR="00AE227F">
        <w:rPr>
          <w:noProof/>
        </w:rPr>
        <w:fldChar w:fldCharType="begin"/>
      </w:r>
      <w:r w:rsidRPr="0012497C">
        <w:rPr>
          <w:noProof/>
          <w:lang w:val="en-US"/>
        </w:rPr>
        <w:instrText xml:space="preserve"> PAGEREF _Toc260389732 \h </w:instrText>
      </w:r>
      <w:r w:rsidR="00AE227F">
        <w:rPr>
          <w:noProof/>
        </w:rPr>
      </w:r>
      <w:r w:rsidR="00AE227F">
        <w:rPr>
          <w:noProof/>
        </w:rPr>
        <w:fldChar w:fldCharType="separate"/>
      </w:r>
      <w:r w:rsidR="00A053C1">
        <w:rPr>
          <w:noProof/>
          <w:lang w:val="en-US"/>
        </w:rPr>
        <w:t>36</w:t>
      </w:r>
      <w:r w:rsidR="00AE227F">
        <w:rPr>
          <w:noProof/>
        </w:rPr>
        <w:fldChar w:fldCharType="end"/>
      </w:r>
    </w:p>
    <w:p w:rsidR="0012497C" w:rsidRPr="0012497C" w:rsidRDefault="0012497C">
      <w:pPr>
        <w:pStyle w:val="TOC2"/>
        <w:tabs>
          <w:tab w:val="right" w:leader="dot" w:pos="9054"/>
        </w:tabs>
        <w:rPr>
          <w:rFonts w:eastAsiaTheme="minorEastAsia" w:cstheme="minorBidi"/>
          <w:noProof/>
          <w:lang w:val="en-US"/>
        </w:rPr>
      </w:pPr>
      <w:r w:rsidRPr="00E31AAC">
        <w:rPr>
          <w:noProof/>
          <w:lang w:val="en-GB"/>
        </w:rPr>
        <w:t>Country groupings, matched funding and graduation</w:t>
      </w:r>
      <w:r w:rsidRPr="0012497C">
        <w:rPr>
          <w:noProof/>
          <w:lang w:val="en-US"/>
        </w:rPr>
        <w:tab/>
      </w:r>
      <w:r w:rsidR="00AE227F">
        <w:rPr>
          <w:noProof/>
        </w:rPr>
        <w:fldChar w:fldCharType="begin"/>
      </w:r>
      <w:r w:rsidRPr="0012497C">
        <w:rPr>
          <w:noProof/>
          <w:lang w:val="en-US"/>
        </w:rPr>
        <w:instrText xml:space="preserve"> PAGEREF _Toc260389733 \h </w:instrText>
      </w:r>
      <w:r w:rsidR="00AE227F">
        <w:rPr>
          <w:noProof/>
        </w:rPr>
      </w:r>
      <w:r w:rsidR="00AE227F">
        <w:rPr>
          <w:noProof/>
        </w:rPr>
        <w:fldChar w:fldCharType="separate"/>
      </w:r>
      <w:r w:rsidR="00A053C1">
        <w:rPr>
          <w:noProof/>
          <w:lang w:val="en-US"/>
        </w:rPr>
        <w:t>37</w:t>
      </w:r>
      <w:r w:rsidR="00AE227F">
        <w:rPr>
          <w:noProof/>
        </w:rPr>
        <w:fldChar w:fldCharType="end"/>
      </w:r>
    </w:p>
    <w:p w:rsidR="0012497C" w:rsidRPr="0012497C" w:rsidRDefault="0012497C">
      <w:pPr>
        <w:pStyle w:val="TOC2"/>
        <w:tabs>
          <w:tab w:val="right" w:leader="dot" w:pos="9054"/>
        </w:tabs>
        <w:rPr>
          <w:rFonts w:eastAsiaTheme="minorEastAsia" w:cstheme="minorBidi"/>
          <w:noProof/>
          <w:lang w:val="en-US"/>
        </w:rPr>
      </w:pPr>
      <w:r w:rsidRPr="00E31AAC">
        <w:rPr>
          <w:noProof/>
          <w:lang w:val="en-GB"/>
        </w:rPr>
        <w:t>Training and other forms of capacity-building</w:t>
      </w:r>
      <w:r w:rsidRPr="0012497C">
        <w:rPr>
          <w:noProof/>
          <w:lang w:val="en-US"/>
        </w:rPr>
        <w:tab/>
      </w:r>
      <w:r w:rsidR="00AE227F">
        <w:rPr>
          <w:noProof/>
        </w:rPr>
        <w:fldChar w:fldCharType="begin"/>
      </w:r>
      <w:r w:rsidRPr="0012497C">
        <w:rPr>
          <w:noProof/>
          <w:lang w:val="en-US"/>
        </w:rPr>
        <w:instrText xml:space="preserve"> PAGEREF _Toc260389734 \h </w:instrText>
      </w:r>
      <w:r w:rsidR="00AE227F">
        <w:rPr>
          <w:noProof/>
        </w:rPr>
      </w:r>
      <w:r w:rsidR="00AE227F">
        <w:rPr>
          <w:noProof/>
        </w:rPr>
        <w:fldChar w:fldCharType="separate"/>
      </w:r>
      <w:r w:rsidR="00A053C1">
        <w:rPr>
          <w:noProof/>
          <w:lang w:val="en-US"/>
        </w:rPr>
        <w:t>40</w:t>
      </w:r>
      <w:r w:rsidR="00AE227F">
        <w:rPr>
          <w:noProof/>
        </w:rPr>
        <w:fldChar w:fldCharType="end"/>
      </w:r>
    </w:p>
    <w:p w:rsidR="0012497C" w:rsidRPr="0012497C" w:rsidRDefault="0012497C">
      <w:pPr>
        <w:pStyle w:val="TOC1"/>
        <w:tabs>
          <w:tab w:val="right" w:leader="dot" w:pos="9054"/>
        </w:tabs>
        <w:rPr>
          <w:rFonts w:eastAsiaTheme="minorEastAsia" w:cstheme="minorBidi"/>
          <w:b w:val="0"/>
          <w:caps w:val="0"/>
          <w:noProof/>
          <w:lang w:val="en-US"/>
        </w:rPr>
      </w:pPr>
      <w:r w:rsidRPr="00E31AAC">
        <w:rPr>
          <w:noProof/>
          <w:lang w:val="en-GB"/>
        </w:rPr>
        <w:t>Chapter 5.  Management of the Codex Trust Fund</w:t>
      </w:r>
      <w:r w:rsidRPr="0012497C">
        <w:rPr>
          <w:noProof/>
          <w:lang w:val="en-US"/>
        </w:rPr>
        <w:tab/>
      </w:r>
      <w:r w:rsidR="00AE227F">
        <w:rPr>
          <w:noProof/>
        </w:rPr>
        <w:fldChar w:fldCharType="begin"/>
      </w:r>
      <w:r w:rsidRPr="0012497C">
        <w:rPr>
          <w:noProof/>
          <w:lang w:val="en-US"/>
        </w:rPr>
        <w:instrText xml:space="preserve"> PAGEREF _Toc260389735 \h </w:instrText>
      </w:r>
      <w:r w:rsidR="00AE227F">
        <w:rPr>
          <w:noProof/>
        </w:rPr>
      </w:r>
      <w:r w:rsidR="00AE227F">
        <w:rPr>
          <w:noProof/>
        </w:rPr>
        <w:fldChar w:fldCharType="separate"/>
      </w:r>
      <w:r w:rsidR="00A053C1">
        <w:rPr>
          <w:noProof/>
          <w:lang w:val="en-US"/>
        </w:rPr>
        <w:t>46</w:t>
      </w:r>
      <w:r w:rsidR="00AE227F">
        <w:rPr>
          <w:noProof/>
        </w:rPr>
        <w:fldChar w:fldCharType="end"/>
      </w:r>
    </w:p>
    <w:p w:rsidR="0012497C" w:rsidRPr="0012497C" w:rsidRDefault="0012497C">
      <w:pPr>
        <w:pStyle w:val="TOC2"/>
        <w:tabs>
          <w:tab w:val="right" w:leader="dot" w:pos="9054"/>
        </w:tabs>
        <w:rPr>
          <w:rFonts w:eastAsiaTheme="minorEastAsia" w:cstheme="minorBidi"/>
          <w:noProof/>
          <w:lang w:val="en-US"/>
        </w:rPr>
      </w:pPr>
      <w:r w:rsidRPr="00E31AAC">
        <w:rPr>
          <w:noProof/>
          <w:lang w:val="en-GB"/>
        </w:rPr>
        <w:t>Secretariat capacity and efficiency</w:t>
      </w:r>
      <w:r w:rsidRPr="0012497C">
        <w:rPr>
          <w:noProof/>
          <w:lang w:val="en-US"/>
        </w:rPr>
        <w:tab/>
      </w:r>
      <w:r w:rsidR="00AE227F">
        <w:rPr>
          <w:noProof/>
        </w:rPr>
        <w:fldChar w:fldCharType="begin"/>
      </w:r>
      <w:r w:rsidRPr="0012497C">
        <w:rPr>
          <w:noProof/>
          <w:lang w:val="en-US"/>
        </w:rPr>
        <w:instrText xml:space="preserve"> PAGEREF _Toc260389736 \h </w:instrText>
      </w:r>
      <w:r w:rsidR="00AE227F">
        <w:rPr>
          <w:noProof/>
        </w:rPr>
      </w:r>
      <w:r w:rsidR="00AE227F">
        <w:rPr>
          <w:noProof/>
        </w:rPr>
        <w:fldChar w:fldCharType="separate"/>
      </w:r>
      <w:r w:rsidR="00A053C1">
        <w:rPr>
          <w:noProof/>
          <w:lang w:val="en-US"/>
        </w:rPr>
        <w:t>46</w:t>
      </w:r>
      <w:r w:rsidR="00AE227F">
        <w:rPr>
          <w:noProof/>
        </w:rPr>
        <w:fldChar w:fldCharType="end"/>
      </w:r>
    </w:p>
    <w:p w:rsidR="0012497C" w:rsidRPr="0012497C" w:rsidRDefault="0012497C">
      <w:pPr>
        <w:pStyle w:val="TOC2"/>
        <w:tabs>
          <w:tab w:val="right" w:leader="dot" w:pos="9054"/>
        </w:tabs>
        <w:rPr>
          <w:rFonts w:eastAsiaTheme="minorEastAsia" w:cstheme="minorBidi"/>
          <w:noProof/>
          <w:lang w:val="en-US"/>
        </w:rPr>
      </w:pPr>
      <w:r w:rsidRPr="00E31AAC">
        <w:rPr>
          <w:noProof/>
          <w:lang w:val="en-GB"/>
        </w:rPr>
        <w:t>Selection of participants and travel arrangements</w:t>
      </w:r>
      <w:r w:rsidRPr="0012497C">
        <w:rPr>
          <w:noProof/>
          <w:lang w:val="en-US"/>
        </w:rPr>
        <w:tab/>
      </w:r>
      <w:r w:rsidR="00AE227F">
        <w:rPr>
          <w:noProof/>
        </w:rPr>
        <w:fldChar w:fldCharType="begin"/>
      </w:r>
      <w:r w:rsidRPr="0012497C">
        <w:rPr>
          <w:noProof/>
          <w:lang w:val="en-US"/>
        </w:rPr>
        <w:instrText xml:space="preserve"> PAGEREF _Toc260389737 \h </w:instrText>
      </w:r>
      <w:r w:rsidR="00AE227F">
        <w:rPr>
          <w:noProof/>
        </w:rPr>
      </w:r>
      <w:r w:rsidR="00AE227F">
        <w:rPr>
          <w:noProof/>
        </w:rPr>
        <w:fldChar w:fldCharType="separate"/>
      </w:r>
      <w:r w:rsidR="00A053C1">
        <w:rPr>
          <w:noProof/>
          <w:lang w:val="en-US"/>
        </w:rPr>
        <w:t>48</w:t>
      </w:r>
      <w:r w:rsidR="00AE227F">
        <w:rPr>
          <w:noProof/>
        </w:rPr>
        <w:fldChar w:fldCharType="end"/>
      </w:r>
    </w:p>
    <w:p w:rsidR="0012497C" w:rsidRPr="0012497C" w:rsidRDefault="0012497C">
      <w:pPr>
        <w:pStyle w:val="TOC2"/>
        <w:tabs>
          <w:tab w:val="right" w:leader="dot" w:pos="9054"/>
        </w:tabs>
        <w:rPr>
          <w:rFonts w:eastAsiaTheme="minorEastAsia" w:cstheme="minorBidi"/>
          <w:noProof/>
          <w:lang w:val="en-US"/>
        </w:rPr>
      </w:pPr>
      <w:r w:rsidRPr="00E31AAC">
        <w:rPr>
          <w:noProof/>
          <w:lang w:val="en-US"/>
        </w:rPr>
        <w:t>Coordination with other stakeholders</w:t>
      </w:r>
      <w:r w:rsidRPr="0012497C">
        <w:rPr>
          <w:noProof/>
          <w:lang w:val="en-US"/>
        </w:rPr>
        <w:tab/>
      </w:r>
      <w:r w:rsidR="00AE227F">
        <w:rPr>
          <w:noProof/>
        </w:rPr>
        <w:fldChar w:fldCharType="begin"/>
      </w:r>
      <w:r w:rsidRPr="0012497C">
        <w:rPr>
          <w:noProof/>
          <w:lang w:val="en-US"/>
        </w:rPr>
        <w:instrText xml:space="preserve"> PAGEREF _Toc260389738 \h </w:instrText>
      </w:r>
      <w:r w:rsidR="00AE227F">
        <w:rPr>
          <w:noProof/>
        </w:rPr>
      </w:r>
      <w:r w:rsidR="00AE227F">
        <w:rPr>
          <w:noProof/>
        </w:rPr>
        <w:fldChar w:fldCharType="separate"/>
      </w:r>
      <w:r w:rsidR="00A053C1">
        <w:rPr>
          <w:noProof/>
          <w:lang w:val="en-US"/>
        </w:rPr>
        <w:t>51</w:t>
      </w:r>
      <w:r w:rsidR="00AE227F">
        <w:rPr>
          <w:noProof/>
        </w:rPr>
        <w:fldChar w:fldCharType="end"/>
      </w:r>
    </w:p>
    <w:p w:rsidR="0012497C" w:rsidRPr="0012497C" w:rsidRDefault="0012497C">
      <w:pPr>
        <w:pStyle w:val="TOC2"/>
        <w:tabs>
          <w:tab w:val="right" w:leader="dot" w:pos="9054"/>
        </w:tabs>
        <w:rPr>
          <w:rFonts w:eastAsiaTheme="minorEastAsia" w:cstheme="minorBidi"/>
          <w:noProof/>
          <w:lang w:val="en-US"/>
        </w:rPr>
      </w:pPr>
      <w:r w:rsidRPr="00E31AAC">
        <w:rPr>
          <w:noProof/>
          <w:lang w:val="en-GB"/>
        </w:rPr>
        <w:t>Funding and donor relations</w:t>
      </w:r>
      <w:r w:rsidRPr="0012497C">
        <w:rPr>
          <w:noProof/>
          <w:lang w:val="en-US"/>
        </w:rPr>
        <w:tab/>
      </w:r>
      <w:r w:rsidR="00AE227F">
        <w:rPr>
          <w:noProof/>
        </w:rPr>
        <w:fldChar w:fldCharType="begin"/>
      </w:r>
      <w:r w:rsidRPr="0012497C">
        <w:rPr>
          <w:noProof/>
          <w:lang w:val="en-US"/>
        </w:rPr>
        <w:instrText xml:space="preserve"> PAGEREF _Toc260389739 \h </w:instrText>
      </w:r>
      <w:r w:rsidR="00AE227F">
        <w:rPr>
          <w:noProof/>
        </w:rPr>
      </w:r>
      <w:r w:rsidR="00AE227F">
        <w:rPr>
          <w:noProof/>
        </w:rPr>
        <w:fldChar w:fldCharType="separate"/>
      </w:r>
      <w:r w:rsidR="00A053C1">
        <w:rPr>
          <w:noProof/>
          <w:lang w:val="en-US"/>
        </w:rPr>
        <w:t>53</w:t>
      </w:r>
      <w:r w:rsidR="00AE227F">
        <w:rPr>
          <w:noProof/>
        </w:rPr>
        <w:fldChar w:fldCharType="end"/>
      </w:r>
    </w:p>
    <w:p w:rsidR="0012497C" w:rsidRPr="0012497C" w:rsidRDefault="0012497C">
      <w:pPr>
        <w:pStyle w:val="TOC2"/>
        <w:tabs>
          <w:tab w:val="right" w:leader="dot" w:pos="9054"/>
        </w:tabs>
        <w:rPr>
          <w:rFonts w:eastAsiaTheme="minorEastAsia" w:cstheme="minorBidi"/>
          <w:noProof/>
          <w:lang w:val="en-US"/>
        </w:rPr>
      </w:pPr>
      <w:r w:rsidRPr="00E31AAC">
        <w:rPr>
          <w:noProof/>
          <w:lang w:val="en-GB"/>
        </w:rPr>
        <w:t>Monitoring change, evaluation and other reports</w:t>
      </w:r>
      <w:r w:rsidRPr="0012497C">
        <w:rPr>
          <w:noProof/>
          <w:lang w:val="en-US"/>
        </w:rPr>
        <w:tab/>
      </w:r>
      <w:r w:rsidR="00AE227F">
        <w:rPr>
          <w:noProof/>
        </w:rPr>
        <w:fldChar w:fldCharType="begin"/>
      </w:r>
      <w:r w:rsidRPr="0012497C">
        <w:rPr>
          <w:noProof/>
          <w:lang w:val="en-US"/>
        </w:rPr>
        <w:instrText xml:space="preserve"> PAGEREF _Toc260389740 \h </w:instrText>
      </w:r>
      <w:r w:rsidR="00AE227F">
        <w:rPr>
          <w:noProof/>
        </w:rPr>
      </w:r>
      <w:r w:rsidR="00AE227F">
        <w:rPr>
          <w:noProof/>
        </w:rPr>
        <w:fldChar w:fldCharType="separate"/>
      </w:r>
      <w:r w:rsidR="00A053C1">
        <w:rPr>
          <w:noProof/>
          <w:lang w:val="en-US"/>
        </w:rPr>
        <w:t>53</w:t>
      </w:r>
      <w:r w:rsidR="00AE227F">
        <w:rPr>
          <w:noProof/>
        </w:rPr>
        <w:fldChar w:fldCharType="end"/>
      </w:r>
    </w:p>
    <w:p w:rsidR="0012497C" w:rsidRPr="0012497C" w:rsidRDefault="0012497C">
      <w:pPr>
        <w:pStyle w:val="TOC1"/>
        <w:tabs>
          <w:tab w:val="right" w:leader="dot" w:pos="9054"/>
        </w:tabs>
        <w:rPr>
          <w:rFonts w:eastAsiaTheme="minorEastAsia" w:cstheme="minorBidi"/>
          <w:b w:val="0"/>
          <w:caps w:val="0"/>
          <w:noProof/>
          <w:lang w:val="en-US"/>
        </w:rPr>
      </w:pPr>
      <w:r w:rsidRPr="00E31AAC">
        <w:rPr>
          <w:noProof/>
          <w:lang w:val="en-GB"/>
        </w:rPr>
        <w:t>Chapter 6. Conclusions and recommendations</w:t>
      </w:r>
      <w:r w:rsidRPr="0012497C">
        <w:rPr>
          <w:noProof/>
          <w:lang w:val="en-US"/>
        </w:rPr>
        <w:tab/>
      </w:r>
      <w:r w:rsidR="00AE227F">
        <w:rPr>
          <w:noProof/>
        </w:rPr>
        <w:fldChar w:fldCharType="begin"/>
      </w:r>
      <w:r w:rsidRPr="0012497C">
        <w:rPr>
          <w:noProof/>
          <w:lang w:val="en-US"/>
        </w:rPr>
        <w:instrText xml:space="preserve"> PAGEREF _Toc260389741 \h </w:instrText>
      </w:r>
      <w:r w:rsidR="00AE227F">
        <w:rPr>
          <w:noProof/>
        </w:rPr>
      </w:r>
      <w:r w:rsidR="00AE227F">
        <w:rPr>
          <w:noProof/>
        </w:rPr>
        <w:fldChar w:fldCharType="separate"/>
      </w:r>
      <w:r w:rsidR="00A053C1">
        <w:rPr>
          <w:noProof/>
          <w:lang w:val="en-US"/>
        </w:rPr>
        <w:t>56</w:t>
      </w:r>
      <w:r w:rsidR="00AE227F">
        <w:rPr>
          <w:noProof/>
        </w:rPr>
        <w:fldChar w:fldCharType="end"/>
      </w:r>
    </w:p>
    <w:p w:rsidR="0012497C" w:rsidRPr="0012497C" w:rsidRDefault="0012497C">
      <w:pPr>
        <w:pStyle w:val="TOC2"/>
        <w:tabs>
          <w:tab w:val="right" w:leader="dot" w:pos="9054"/>
        </w:tabs>
        <w:rPr>
          <w:rFonts w:eastAsiaTheme="minorEastAsia" w:cstheme="minorBidi"/>
          <w:noProof/>
          <w:lang w:val="en-US"/>
        </w:rPr>
      </w:pPr>
      <w:r w:rsidRPr="00E31AAC">
        <w:rPr>
          <w:noProof/>
          <w:lang w:val="en-GB"/>
        </w:rPr>
        <w:t>Relevance and Strategic Fit</w:t>
      </w:r>
      <w:r w:rsidRPr="0012497C">
        <w:rPr>
          <w:noProof/>
          <w:lang w:val="en-US"/>
        </w:rPr>
        <w:tab/>
      </w:r>
      <w:r w:rsidR="00AE227F">
        <w:rPr>
          <w:noProof/>
        </w:rPr>
        <w:fldChar w:fldCharType="begin"/>
      </w:r>
      <w:r w:rsidRPr="0012497C">
        <w:rPr>
          <w:noProof/>
          <w:lang w:val="en-US"/>
        </w:rPr>
        <w:instrText xml:space="preserve"> PAGEREF _Toc260389742 \h </w:instrText>
      </w:r>
      <w:r w:rsidR="00AE227F">
        <w:rPr>
          <w:noProof/>
        </w:rPr>
      </w:r>
      <w:r w:rsidR="00AE227F">
        <w:rPr>
          <w:noProof/>
        </w:rPr>
        <w:fldChar w:fldCharType="separate"/>
      </w:r>
      <w:r w:rsidR="00A053C1">
        <w:rPr>
          <w:noProof/>
          <w:lang w:val="en-US"/>
        </w:rPr>
        <w:t>56</w:t>
      </w:r>
      <w:r w:rsidR="00AE227F">
        <w:rPr>
          <w:noProof/>
        </w:rPr>
        <w:fldChar w:fldCharType="end"/>
      </w:r>
    </w:p>
    <w:p w:rsidR="0012497C" w:rsidRPr="0012497C" w:rsidRDefault="0012497C">
      <w:pPr>
        <w:pStyle w:val="TOC2"/>
        <w:tabs>
          <w:tab w:val="right" w:leader="dot" w:pos="9054"/>
        </w:tabs>
        <w:rPr>
          <w:rFonts w:eastAsiaTheme="minorEastAsia" w:cstheme="minorBidi"/>
          <w:noProof/>
          <w:lang w:val="en-US"/>
        </w:rPr>
      </w:pPr>
      <w:r w:rsidRPr="00E31AAC">
        <w:rPr>
          <w:noProof/>
          <w:lang w:val="en-GB"/>
        </w:rPr>
        <w:t>Progress and Effectiveness</w:t>
      </w:r>
      <w:r w:rsidRPr="0012497C">
        <w:rPr>
          <w:noProof/>
          <w:lang w:val="en-US"/>
        </w:rPr>
        <w:tab/>
      </w:r>
      <w:r w:rsidR="00AE227F">
        <w:rPr>
          <w:noProof/>
        </w:rPr>
        <w:fldChar w:fldCharType="begin"/>
      </w:r>
      <w:r w:rsidRPr="0012497C">
        <w:rPr>
          <w:noProof/>
          <w:lang w:val="en-US"/>
        </w:rPr>
        <w:instrText xml:space="preserve"> PAGEREF _Toc260389743 \h </w:instrText>
      </w:r>
      <w:r w:rsidR="00AE227F">
        <w:rPr>
          <w:noProof/>
        </w:rPr>
      </w:r>
      <w:r w:rsidR="00AE227F">
        <w:rPr>
          <w:noProof/>
        </w:rPr>
        <w:fldChar w:fldCharType="separate"/>
      </w:r>
      <w:r w:rsidR="00A053C1">
        <w:rPr>
          <w:noProof/>
          <w:lang w:val="en-US"/>
        </w:rPr>
        <w:t>56</w:t>
      </w:r>
      <w:r w:rsidR="00AE227F">
        <w:rPr>
          <w:noProof/>
        </w:rPr>
        <w:fldChar w:fldCharType="end"/>
      </w:r>
    </w:p>
    <w:p w:rsidR="0012497C" w:rsidRPr="0012497C" w:rsidRDefault="0012497C">
      <w:pPr>
        <w:pStyle w:val="TOC2"/>
        <w:tabs>
          <w:tab w:val="right" w:leader="dot" w:pos="9054"/>
        </w:tabs>
        <w:rPr>
          <w:rFonts w:eastAsiaTheme="minorEastAsia" w:cstheme="minorBidi"/>
          <w:noProof/>
          <w:lang w:val="en-US"/>
        </w:rPr>
      </w:pPr>
      <w:r w:rsidRPr="00E31AAC">
        <w:rPr>
          <w:noProof/>
          <w:lang w:val="en-GB"/>
        </w:rPr>
        <w:t>Efficiency and Effectiveness</w:t>
      </w:r>
      <w:r w:rsidRPr="0012497C">
        <w:rPr>
          <w:noProof/>
          <w:lang w:val="en-US"/>
        </w:rPr>
        <w:tab/>
      </w:r>
      <w:r w:rsidR="00AE227F">
        <w:rPr>
          <w:noProof/>
        </w:rPr>
        <w:fldChar w:fldCharType="begin"/>
      </w:r>
      <w:r w:rsidRPr="0012497C">
        <w:rPr>
          <w:noProof/>
          <w:lang w:val="en-US"/>
        </w:rPr>
        <w:instrText xml:space="preserve"> PAGEREF _Toc260389744 \h </w:instrText>
      </w:r>
      <w:r w:rsidR="00AE227F">
        <w:rPr>
          <w:noProof/>
        </w:rPr>
      </w:r>
      <w:r w:rsidR="00AE227F">
        <w:rPr>
          <w:noProof/>
        </w:rPr>
        <w:fldChar w:fldCharType="separate"/>
      </w:r>
      <w:r w:rsidR="00A053C1">
        <w:rPr>
          <w:noProof/>
          <w:lang w:val="en-US"/>
        </w:rPr>
        <w:t>57</w:t>
      </w:r>
      <w:r w:rsidR="00AE227F">
        <w:rPr>
          <w:noProof/>
        </w:rPr>
        <w:fldChar w:fldCharType="end"/>
      </w:r>
    </w:p>
    <w:p w:rsidR="0012497C" w:rsidRPr="0012497C" w:rsidRDefault="0012497C">
      <w:pPr>
        <w:pStyle w:val="TOC2"/>
        <w:tabs>
          <w:tab w:val="right" w:leader="dot" w:pos="9054"/>
        </w:tabs>
        <w:rPr>
          <w:rFonts w:eastAsiaTheme="minorEastAsia" w:cstheme="minorBidi"/>
          <w:noProof/>
          <w:lang w:val="en-US"/>
        </w:rPr>
      </w:pPr>
      <w:r w:rsidRPr="00E31AAC">
        <w:rPr>
          <w:noProof/>
          <w:lang w:val="en-GB"/>
        </w:rPr>
        <w:t>Impact</w:t>
      </w:r>
      <w:r w:rsidRPr="0012497C">
        <w:rPr>
          <w:noProof/>
          <w:lang w:val="en-US"/>
        </w:rPr>
        <w:tab/>
      </w:r>
      <w:r w:rsidR="00AE227F">
        <w:rPr>
          <w:noProof/>
        </w:rPr>
        <w:fldChar w:fldCharType="begin"/>
      </w:r>
      <w:r w:rsidRPr="0012497C">
        <w:rPr>
          <w:noProof/>
          <w:lang w:val="en-US"/>
        </w:rPr>
        <w:instrText xml:space="preserve"> PAGEREF _Toc260389745 \h </w:instrText>
      </w:r>
      <w:r w:rsidR="00AE227F">
        <w:rPr>
          <w:noProof/>
        </w:rPr>
      </w:r>
      <w:r w:rsidR="00AE227F">
        <w:rPr>
          <w:noProof/>
        </w:rPr>
        <w:fldChar w:fldCharType="separate"/>
      </w:r>
      <w:r w:rsidR="00A053C1">
        <w:rPr>
          <w:noProof/>
          <w:lang w:val="en-US"/>
        </w:rPr>
        <w:t>57</w:t>
      </w:r>
      <w:r w:rsidR="00AE227F">
        <w:rPr>
          <w:noProof/>
        </w:rPr>
        <w:fldChar w:fldCharType="end"/>
      </w:r>
    </w:p>
    <w:p w:rsidR="0012497C" w:rsidRPr="0012497C" w:rsidRDefault="0012497C">
      <w:pPr>
        <w:pStyle w:val="TOC2"/>
        <w:tabs>
          <w:tab w:val="right" w:leader="dot" w:pos="9054"/>
        </w:tabs>
        <w:rPr>
          <w:rFonts w:eastAsiaTheme="minorEastAsia" w:cstheme="minorBidi"/>
          <w:noProof/>
          <w:lang w:val="en-US"/>
        </w:rPr>
      </w:pPr>
      <w:r w:rsidRPr="00E31AAC">
        <w:rPr>
          <w:noProof/>
          <w:lang w:val="en-GB"/>
        </w:rPr>
        <w:t>Sustainability</w:t>
      </w:r>
      <w:r w:rsidRPr="0012497C">
        <w:rPr>
          <w:noProof/>
          <w:lang w:val="en-US"/>
        </w:rPr>
        <w:tab/>
      </w:r>
      <w:r w:rsidR="00AE227F">
        <w:rPr>
          <w:noProof/>
        </w:rPr>
        <w:fldChar w:fldCharType="begin"/>
      </w:r>
      <w:r w:rsidRPr="0012497C">
        <w:rPr>
          <w:noProof/>
          <w:lang w:val="en-US"/>
        </w:rPr>
        <w:instrText xml:space="preserve"> PAGEREF _Toc260389746 \h </w:instrText>
      </w:r>
      <w:r w:rsidR="00AE227F">
        <w:rPr>
          <w:noProof/>
        </w:rPr>
      </w:r>
      <w:r w:rsidR="00AE227F">
        <w:rPr>
          <w:noProof/>
        </w:rPr>
        <w:fldChar w:fldCharType="separate"/>
      </w:r>
      <w:r w:rsidR="00A053C1">
        <w:rPr>
          <w:noProof/>
          <w:lang w:val="en-US"/>
        </w:rPr>
        <w:t>58</w:t>
      </w:r>
      <w:r w:rsidR="00AE227F">
        <w:rPr>
          <w:noProof/>
        </w:rPr>
        <w:fldChar w:fldCharType="end"/>
      </w:r>
    </w:p>
    <w:p w:rsidR="0012497C" w:rsidRPr="0012497C" w:rsidRDefault="0012497C">
      <w:pPr>
        <w:pStyle w:val="TOC2"/>
        <w:tabs>
          <w:tab w:val="right" w:leader="dot" w:pos="9054"/>
        </w:tabs>
        <w:rPr>
          <w:rFonts w:eastAsiaTheme="minorEastAsia" w:cstheme="minorBidi"/>
          <w:noProof/>
          <w:lang w:val="en-US"/>
        </w:rPr>
      </w:pPr>
      <w:r w:rsidRPr="00E31AAC">
        <w:rPr>
          <w:noProof/>
          <w:lang w:val="en-GB"/>
        </w:rPr>
        <w:t>Project management</w:t>
      </w:r>
      <w:r w:rsidRPr="0012497C">
        <w:rPr>
          <w:noProof/>
          <w:lang w:val="en-US"/>
        </w:rPr>
        <w:tab/>
      </w:r>
      <w:r w:rsidR="00AE227F">
        <w:rPr>
          <w:noProof/>
        </w:rPr>
        <w:fldChar w:fldCharType="begin"/>
      </w:r>
      <w:r w:rsidRPr="0012497C">
        <w:rPr>
          <w:noProof/>
          <w:lang w:val="en-US"/>
        </w:rPr>
        <w:instrText xml:space="preserve"> PAGEREF _Toc260389747 \h </w:instrText>
      </w:r>
      <w:r w:rsidR="00AE227F">
        <w:rPr>
          <w:noProof/>
        </w:rPr>
      </w:r>
      <w:r w:rsidR="00AE227F">
        <w:rPr>
          <w:noProof/>
        </w:rPr>
        <w:fldChar w:fldCharType="separate"/>
      </w:r>
      <w:r w:rsidR="00A053C1">
        <w:rPr>
          <w:noProof/>
          <w:lang w:val="en-US"/>
        </w:rPr>
        <w:t>58</w:t>
      </w:r>
      <w:r w:rsidR="00AE227F">
        <w:rPr>
          <w:noProof/>
        </w:rPr>
        <w:fldChar w:fldCharType="end"/>
      </w:r>
    </w:p>
    <w:p w:rsidR="0012497C" w:rsidRPr="0012497C" w:rsidRDefault="0012497C">
      <w:pPr>
        <w:pStyle w:val="TOC2"/>
        <w:tabs>
          <w:tab w:val="right" w:leader="dot" w:pos="9054"/>
        </w:tabs>
        <w:rPr>
          <w:rFonts w:eastAsiaTheme="minorEastAsia" w:cstheme="minorBidi"/>
          <w:noProof/>
          <w:lang w:val="en-US"/>
        </w:rPr>
      </w:pPr>
      <w:r w:rsidRPr="00E31AAC">
        <w:rPr>
          <w:noProof/>
          <w:lang w:val="en-GB"/>
        </w:rPr>
        <w:t>Recommendations</w:t>
      </w:r>
      <w:r w:rsidRPr="0012497C">
        <w:rPr>
          <w:noProof/>
          <w:lang w:val="en-US"/>
        </w:rPr>
        <w:tab/>
      </w:r>
      <w:r w:rsidR="00AE227F">
        <w:rPr>
          <w:noProof/>
        </w:rPr>
        <w:fldChar w:fldCharType="begin"/>
      </w:r>
      <w:r w:rsidRPr="0012497C">
        <w:rPr>
          <w:noProof/>
          <w:lang w:val="en-US"/>
        </w:rPr>
        <w:instrText xml:space="preserve"> PAGEREF _Toc260389748 \h </w:instrText>
      </w:r>
      <w:r w:rsidR="00AE227F">
        <w:rPr>
          <w:noProof/>
        </w:rPr>
      </w:r>
      <w:r w:rsidR="00AE227F">
        <w:rPr>
          <w:noProof/>
        </w:rPr>
        <w:fldChar w:fldCharType="separate"/>
      </w:r>
      <w:r w:rsidR="00A053C1">
        <w:rPr>
          <w:noProof/>
          <w:lang w:val="en-US"/>
        </w:rPr>
        <w:t>59</w:t>
      </w:r>
      <w:r w:rsidR="00AE227F">
        <w:rPr>
          <w:noProof/>
        </w:rPr>
        <w:fldChar w:fldCharType="end"/>
      </w:r>
    </w:p>
    <w:p w:rsidR="0012497C" w:rsidRPr="0012497C" w:rsidRDefault="0012497C">
      <w:pPr>
        <w:pStyle w:val="TOC1"/>
        <w:tabs>
          <w:tab w:val="right" w:leader="dot" w:pos="9054"/>
        </w:tabs>
        <w:rPr>
          <w:rFonts w:eastAsiaTheme="minorEastAsia" w:cstheme="minorBidi"/>
          <w:b w:val="0"/>
          <w:caps w:val="0"/>
          <w:noProof/>
          <w:lang w:val="en-US"/>
        </w:rPr>
      </w:pPr>
      <w:r w:rsidRPr="00E31AAC">
        <w:rPr>
          <w:noProof/>
          <w:lang w:val="en-GB"/>
        </w:rPr>
        <w:t>Annex 1. Terms of Reference</w:t>
      </w:r>
      <w:r w:rsidRPr="0012497C">
        <w:rPr>
          <w:noProof/>
          <w:lang w:val="en-US"/>
        </w:rPr>
        <w:tab/>
      </w:r>
      <w:r w:rsidR="00AE227F">
        <w:rPr>
          <w:noProof/>
        </w:rPr>
        <w:fldChar w:fldCharType="begin"/>
      </w:r>
      <w:r w:rsidRPr="0012497C">
        <w:rPr>
          <w:noProof/>
          <w:lang w:val="en-US"/>
        </w:rPr>
        <w:instrText xml:space="preserve"> PAGEREF _Toc260389749 \h </w:instrText>
      </w:r>
      <w:r w:rsidR="00AE227F">
        <w:rPr>
          <w:noProof/>
        </w:rPr>
      </w:r>
      <w:r w:rsidR="00AE227F">
        <w:rPr>
          <w:noProof/>
        </w:rPr>
        <w:fldChar w:fldCharType="separate"/>
      </w:r>
      <w:r w:rsidR="00A053C1">
        <w:rPr>
          <w:noProof/>
          <w:lang w:val="en-US"/>
        </w:rPr>
        <w:t>66</w:t>
      </w:r>
      <w:r w:rsidR="00AE227F">
        <w:rPr>
          <w:noProof/>
        </w:rPr>
        <w:fldChar w:fldCharType="end"/>
      </w:r>
    </w:p>
    <w:p w:rsidR="0012497C" w:rsidRPr="0012497C" w:rsidRDefault="0012497C">
      <w:pPr>
        <w:pStyle w:val="TOC1"/>
        <w:tabs>
          <w:tab w:val="right" w:leader="dot" w:pos="9054"/>
        </w:tabs>
        <w:rPr>
          <w:rFonts w:eastAsiaTheme="minorEastAsia" w:cstheme="minorBidi"/>
          <w:b w:val="0"/>
          <w:caps w:val="0"/>
          <w:noProof/>
          <w:lang w:val="en-US"/>
        </w:rPr>
      </w:pPr>
      <w:r w:rsidRPr="00E31AAC">
        <w:rPr>
          <w:noProof/>
          <w:lang w:val="en-GB"/>
        </w:rPr>
        <w:t>Annex 2. List of Persons Interviewed</w:t>
      </w:r>
      <w:r w:rsidRPr="0012497C">
        <w:rPr>
          <w:noProof/>
          <w:lang w:val="en-US"/>
        </w:rPr>
        <w:tab/>
      </w:r>
      <w:r w:rsidR="00AE227F">
        <w:rPr>
          <w:noProof/>
        </w:rPr>
        <w:fldChar w:fldCharType="begin"/>
      </w:r>
      <w:r w:rsidRPr="0012497C">
        <w:rPr>
          <w:noProof/>
          <w:lang w:val="en-US"/>
        </w:rPr>
        <w:instrText xml:space="preserve"> PAGEREF _Toc260389750 \h </w:instrText>
      </w:r>
      <w:r w:rsidR="00AE227F">
        <w:rPr>
          <w:noProof/>
        </w:rPr>
      </w:r>
      <w:r w:rsidR="00AE227F">
        <w:rPr>
          <w:noProof/>
        </w:rPr>
        <w:fldChar w:fldCharType="separate"/>
      </w:r>
      <w:r w:rsidR="00A053C1">
        <w:rPr>
          <w:noProof/>
          <w:lang w:val="en-US"/>
        </w:rPr>
        <w:t>74</w:t>
      </w:r>
      <w:r w:rsidR="00AE227F">
        <w:rPr>
          <w:noProof/>
        </w:rPr>
        <w:fldChar w:fldCharType="end"/>
      </w:r>
    </w:p>
    <w:p w:rsidR="0012497C" w:rsidRPr="0012497C" w:rsidRDefault="0012497C">
      <w:pPr>
        <w:pStyle w:val="TOC1"/>
        <w:tabs>
          <w:tab w:val="right" w:leader="dot" w:pos="9054"/>
        </w:tabs>
        <w:rPr>
          <w:rFonts w:eastAsiaTheme="minorEastAsia" w:cstheme="minorBidi"/>
          <w:b w:val="0"/>
          <w:caps w:val="0"/>
          <w:noProof/>
          <w:lang w:val="en-US"/>
        </w:rPr>
      </w:pPr>
      <w:r w:rsidRPr="00E31AAC">
        <w:rPr>
          <w:noProof/>
          <w:lang w:val="en-GB"/>
        </w:rPr>
        <w:t>Annex 3. Documents Used in the Evaluation</w:t>
      </w:r>
      <w:r w:rsidRPr="0012497C">
        <w:rPr>
          <w:noProof/>
          <w:lang w:val="en-US"/>
        </w:rPr>
        <w:tab/>
      </w:r>
      <w:r w:rsidR="00AE227F">
        <w:rPr>
          <w:noProof/>
        </w:rPr>
        <w:fldChar w:fldCharType="begin"/>
      </w:r>
      <w:r w:rsidRPr="0012497C">
        <w:rPr>
          <w:noProof/>
          <w:lang w:val="en-US"/>
        </w:rPr>
        <w:instrText xml:space="preserve"> PAGEREF _Toc260389751 \h </w:instrText>
      </w:r>
      <w:r w:rsidR="00AE227F">
        <w:rPr>
          <w:noProof/>
        </w:rPr>
      </w:r>
      <w:r w:rsidR="00AE227F">
        <w:rPr>
          <w:noProof/>
        </w:rPr>
        <w:fldChar w:fldCharType="separate"/>
      </w:r>
      <w:r w:rsidR="00A053C1">
        <w:rPr>
          <w:noProof/>
          <w:lang w:val="en-US"/>
        </w:rPr>
        <w:t>79</w:t>
      </w:r>
      <w:r w:rsidR="00AE227F">
        <w:rPr>
          <w:noProof/>
        </w:rPr>
        <w:fldChar w:fldCharType="end"/>
      </w:r>
    </w:p>
    <w:p w:rsidR="0012497C" w:rsidRDefault="0012497C">
      <w:pPr>
        <w:pStyle w:val="TOC1"/>
        <w:tabs>
          <w:tab w:val="right" w:leader="dot" w:pos="9054"/>
        </w:tabs>
        <w:rPr>
          <w:rFonts w:eastAsiaTheme="minorEastAsia" w:cstheme="minorBidi"/>
          <w:b w:val="0"/>
          <w:caps w:val="0"/>
          <w:noProof/>
        </w:rPr>
      </w:pPr>
      <w:r w:rsidRPr="00E31AAC">
        <w:rPr>
          <w:noProof/>
          <w:lang w:val="en-GB"/>
        </w:rPr>
        <w:t>Annex 4. Data Collection Instruments</w:t>
      </w:r>
      <w:r>
        <w:rPr>
          <w:noProof/>
        </w:rPr>
        <w:tab/>
      </w:r>
      <w:r w:rsidR="00AE227F">
        <w:rPr>
          <w:noProof/>
        </w:rPr>
        <w:fldChar w:fldCharType="begin"/>
      </w:r>
      <w:r>
        <w:rPr>
          <w:noProof/>
        </w:rPr>
        <w:instrText xml:space="preserve"> PAGEREF _Toc260389752 \h </w:instrText>
      </w:r>
      <w:r w:rsidR="00AE227F">
        <w:rPr>
          <w:noProof/>
        </w:rPr>
      </w:r>
      <w:r w:rsidR="00AE227F">
        <w:rPr>
          <w:noProof/>
        </w:rPr>
        <w:fldChar w:fldCharType="separate"/>
      </w:r>
      <w:r w:rsidR="00A053C1">
        <w:rPr>
          <w:noProof/>
        </w:rPr>
        <w:t>81</w:t>
      </w:r>
      <w:r w:rsidR="00AE227F">
        <w:rPr>
          <w:noProof/>
        </w:rPr>
        <w:fldChar w:fldCharType="end"/>
      </w:r>
    </w:p>
    <w:p w:rsidR="008C3C08" w:rsidRDefault="00AE227F" w:rsidP="00FF23A7">
      <w:pPr>
        <w:pStyle w:val="Heading1"/>
        <w:rPr>
          <w:rFonts w:asciiTheme="minorHAnsi" w:eastAsia="Times New Roman" w:hAnsiTheme="minorHAnsi" w:cs="Times New Roman"/>
          <w:color w:val="auto"/>
          <w:sz w:val="22"/>
          <w:szCs w:val="22"/>
          <w:lang w:val="en-GB"/>
        </w:rPr>
      </w:pPr>
      <w:r>
        <w:rPr>
          <w:rFonts w:asciiTheme="minorHAnsi" w:eastAsia="Times New Roman" w:hAnsiTheme="minorHAnsi" w:cs="Times New Roman"/>
          <w:bCs w:val="0"/>
          <w:caps/>
          <w:color w:val="auto"/>
          <w:sz w:val="22"/>
          <w:szCs w:val="22"/>
          <w:lang w:val="en-GB"/>
        </w:rPr>
        <w:lastRenderedPageBreak/>
        <w:fldChar w:fldCharType="end"/>
      </w:r>
    </w:p>
    <w:p w:rsidR="008C3C08" w:rsidRPr="009B72A3" w:rsidRDefault="008C3C08" w:rsidP="009B72A3">
      <w:pPr>
        <w:rPr>
          <w:rFonts w:asciiTheme="majorHAnsi" w:hAnsiTheme="majorHAnsi" w:cstheme="majorHAnsi"/>
          <w:b/>
          <w:color w:val="4F81BD" w:themeColor="accent1"/>
          <w:sz w:val="28"/>
          <w:szCs w:val="28"/>
          <w:lang w:val="en-GB"/>
        </w:rPr>
      </w:pPr>
      <w:r w:rsidRPr="009B72A3">
        <w:rPr>
          <w:rFonts w:asciiTheme="majorHAnsi" w:hAnsiTheme="majorHAnsi" w:cstheme="majorHAnsi"/>
          <w:b/>
          <w:color w:val="4F81BD" w:themeColor="accent1"/>
          <w:sz w:val="28"/>
          <w:szCs w:val="28"/>
          <w:lang w:val="en-GB"/>
        </w:rPr>
        <w:t>List of Boxes</w:t>
      </w:r>
    </w:p>
    <w:p w:rsidR="0012497C" w:rsidRDefault="00AE227F">
      <w:pPr>
        <w:pStyle w:val="TableofFigures"/>
        <w:tabs>
          <w:tab w:val="right" w:leader="dot" w:pos="9054"/>
        </w:tabs>
        <w:rPr>
          <w:rFonts w:eastAsiaTheme="minorEastAsia" w:cstheme="minorBidi"/>
          <w:noProof/>
          <w:szCs w:val="22"/>
        </w:rPr>
      </w:pPr>
      <w:r>
        <w:rPr>
          <w:lang w:val="en-GB"/>
        </w:rPr>
        <w:fldChar w:fldCharType="begin"/>
      </w:r>
      <w:r w:rsidR="008C3C08">
        <w:rPr>
          <w:lang w:val="en-GB"/>
        </w:rPr>
        <w:instrText xml:space="preserve"> TOC \h \z \c "Box" </w:instrText>
      </w:r>
      <w:r>
        <w:rPr>
          <w:lang w:val="en-GB"/>
        </w:rPr>
        <w:fldChar w:fldCharType="separate"/>
      </w:r>
      <w:hyperlink w:anchor="_Toc260389753" w:history="1">
        <w:r w:rsidR="0012497C" w:rsidRPr="00DB7E0E">
          <w:rPr>
            <w:rStyle w:val="Hyperlink"/>
            <w:noProof/>
            <w:lang w:val="en-US"/>
          </w:rPr>
          <w:t>Box 1 Goal, objectives and expected output of the CTF</w:t>
        </w:r>
        <w:r w:rsidR="0012497C">
          <w:rPr>
            <w:noProof/>
            <w:webHidden/>
          </w:rPr>
          <w:tab/>
        </w:r>
        <w:r>
          <w:rPr>
            <w:noProof/>
            <w:webHidden/>
          </w:rPr>
          <w:fldChar w:fldCharType="begin"/>
        </w:r>
        <w:r w:rsidR="0012497C">
          <w:rPr>
            <w:noProof/>
            <w:webHidden/>
          </w:rPr>
          <w:instrText xml:space="preserve"> PAGEREF _Toc260389753 \h </w:instrText>
        </w:r>
        <w:r>
          <w:rPr>
            <w:noProof/>
            <w:webHidden/>
          </w:rPr>
        </w:r>
        <w:r>
          <w:rPr>
            <w:noProof/>
            <w:webHidden/>
          </w:rPr>
          <w:fldChar w:fldCharType="separate"/>
        </w:r>
        <w:r w:rsidR="00A053C1">
          <w:rPr>
            <w:noProof/>
            <w:webHidden/>
          </w:rPr>
          <w:t>37</w:t>
        </w:r>
        <w:r>
          <w:rPr>
            <w:noProof/>
            <w:webHidden/>
          </w:rPr>
          <w:fldChar w:fldCharType="end"/>
        </w:r>
      </w:hyperlink>
    </w:p>
    <w:p w:rsidR="008C3C08" w:rsidRDefault="00AE227F" w:rsidP="008C3C08">
      <w:pPr>
        <w:rPr>
          <w:lang w:val="en-GB"/>
        </w:rPr>
      </w:pPr>
      <w:r>
        <w:rPr>
          <w:lang w:val="en-GB"/>
        </w:rPr>
        <w:fldChar w:fldCharType="end"/>
      </w:r>
    </w:p>
    <w:p w:rsidR="009B72A3" w:rsidRPr="009B72A3" w:rsidRDefault="009B72A3" w:rsidP="009B72A3">
      <w:pPr>
        <w:rPr>
          <w:rFonts w:asciiTheme="majorHAnsi" w:hAnsiTheme="majorHAnsi" w:cstheme="majorHAnsi"/>
          <w:b/>
          <w:color w:val="4F81BD" w:themeColor="accent1"/>
          <w:sz w:val="28"/>
          <w:szCs w:val="28"/>
          <w:lang w:val="en-GB"/>
        </w:rPr>
      </w:pPr>
      <w:r w:rsidRPr="009B72A3">
        <w:rPr>
          <w:rFonts w:asciiTheme="majorHAnsi" w:hAnsiTheme="majorHAnsi" w:cstheme="majorHAnsi"/>
          <w:b/>
          <w:color w:val="4F81BD" w:themeColor="accent1"/>
          <w:sz w:val="28"/>
          <w:szCs w:val="28"/>
          <w:lang w:val="en-GB"/>
        </w:rPr>
        <w:t xml:space="preserve">List of </w:t>
      </w:r>
      <w:r>
        <w:rPr>
          <w:rFonts w:asciiTheme="majorHAnsi" w:hAnsiTheme="majorHAnsi" w:cstheme="majorHAnsi"/>
          <w:b/>
          <w:color w:val="4F81BD" w:themeColor="accent1"/>
          <w:sz w:val="28"/>
          <w:szCs w:val="28"/>
          <w:lang w:val="en-GB"/>
        </w:rPr>
        <w:t>Diagrams</w:t>
      </w:r>
    </w:p>
    <w:p w:rsidR="0050637B" w:rsidRDefault="00AE227F">
      <w:pPr>
        <w:pStyle w:val="TableofFigures"/>
        <w:tabs>
          <w:tab w:val="right" w:leader="dot" w:pos="9054"/>
        </w:tabs>
        <w:rPr>
          <w:rFonts w:eastAsiaTheme="minorEastAsia" w:cstheme="minorBidi"/>
          <w:noProof/>
          <w:szCs w:val="22"/>
        </w:rPr>
      </w:pPr>
      <w:r>
        <w:rPr>
          <w:lang w:val="en-GB"/>
        </w:rPr>
        <w:fldChar w:fldCharType="begin"/>
      </w:r>
      <w:r w:rsidR="008C3C08">
        <w:rPr>
          <w:lang w:val="en-GB"/>
        </w:rPr>
        <w:instrText xml:space="preserve"> TOC \h \z \c "Diagram" </w:instrText>
      </w:r>
      <w:r>
        <w:rPr>
          <w:lang w:val="en-GB"/>
        </w:rPr>
        <w:fldChar w:fldCharType="separate"/>
      </w:r>
      <w:hyperlink w:anchor="_Toc260036729" w:history="1">
        <w:r w:rsidR="0050637B" w:rsidRPr="009A3749">
          <w:rPr>
            <w:rStyle w:val="Hyperlink"/>
            <w:rFonts w:eastAsiaTheme="majorEastAsia"/>
            <w:noProof/>
            <w:lang w:val="en-US"/>
          </w:rPr>
          <w:t>Diagram 1 Total number of participants funded by the CTF 2004-2009</w:t>
        </w:r>
        <w:r w:rsidR="0050637B">
          <w:rPr>
            <w:noProof/>
            <w:webHidden/>
          </w:rPr>
          <w:tab/>
        </w:r>
        <w:r>
          <w:rPr>
            <w:noProof/>
            <w:webHidden/>
          </w:rPr>
          <w:fldChar w:fldCharType="begin"/>
        </w:r>
        <w:r w:rsidR="0050637B">
          <w:rPr>
            <w:noProof/>
            <w:webHidden/>
          </w:rPr>
          <w:instrText xml:space="preserve"> PAGEREF _Toc260036729 \h </w:instrText>
        </w:r>
        <w:r>
          <w:rPr>
            <w:noProof/>
            <w:webHidden/>
          </w:rPr>
        </w:r>
        <w:r>
          <w:rPr>
            <w:noProof/>
            <w:webHidden/>
          </w:rPr>
          <w:fldChar w:fldCharType="separate"/>
        </w:r>
        <w:r w:rsidR="00A053C1">
          <w:rPr>
            <w:noProof/>
            <w:webHidden/>
          </w:rPr>
          <w:t>28</w:t>
        </w:r>
        <w:r>
          <w:rPr>
            <w:noProof/>
            <w:webHidden/>
          </w:rPr>
          <w:fldChar w:fldCharType="end"/>
        </w:r>
      </w:hyperlink>
    </w:p>
    <w:p w:rsidR="0050637B" w:rsidRDefault="000829F6">
      <w:pPr>
        <w:pStyle w:val="TableofFigures"/>
        <w:tabs>
          <w:tab w:val="right" w:leader="dot" w:pos="9054"/>
        </w:tabs>
        <w:rPr>
          <w:rFonts w:eastAsiaTheme="minorEastAsia" w:cstheme="minorBidi"/>
          <w:noProof/>
          <w:szCs w:val="22"/>
        </w:rPr>
      </w:pPr>
      <w:hyperlink w:anchor="_Toc260036730" w:history="1">
        <w:r w:rsidR="0050637B" w:rsidRPr="009A3749">
          <w:rPr>
            <w:rStyle w:val="Hyperlink"/>
            <w:rFonts w:eastAsiaTheme="majorEastAsia"/>
            <w:noProof/>
            <w:lang w:val="en-US"/>
          </w:rPr>
          <w:t>Diagram 2 Share of the total number of participants funded by the CTF, by country group</w:t>
        </w:r>
        <w:r w:rsidR="0050637B">
          <w:rPr>
            <w:noProof/>
            <w:webHidden/>
          </w:rPr>
          <w:tab/>
        </w:r>
        <w:r w:rsidR="00AE227F">
          <w:rPr>
            <w:noProof/>
            <w:webHidden/>
          </w:rPr>
          <w:fldChar w:fldCharType="begin"/>
        </w:r>
        <w:r w:rsidR="0050637B">
          <w:rPr>
            <w:noProof/>
            <w:webHidden/>
          </w:rPr>
          <w:instrText xml:space="preserve"> PAGEREF _Toc260036730 \h </w:instrText>
        </w:r>
        <w:r w:rsidR="00AE227F">
          <w:rPr>
            <w:noProof/>
            <w:webHidden/>
          </w:rPr>
        </w:r>
        <w:r w:rsidR="00AE227F">
          <w:rPr>
            <w:noProof/>
            <w:webHidden/>
          </w:rPr>
          <w:fldChar w:fldCharType="separate"/>
        </w:r>
        <w:r w:rsidR="00A053C1">
          <w:rPr>
            <w:noProof/>
            <w:webHidden/>
          </w:rPr>
          <w:t>28</w:t>
        </w:r>
        <w:r w:rsidR="00AE227F">
          <w:rPr>
            <w:noProof/>
            <w:webHidden/>
          </w:rPr>
          <w:fldChar w:fldCharType="end"/>
        </w:r>
      </w:hyperlink>
    </w:p>
    <w:p w:rsidR="0050637B" w:rsidRDefault="000829F6">
      <w:pPr>
        <w:pStyle w:val="TableofFigures"/>
        <w:tabs>
          <w:tab w:val="right" w:leader="dot" w:pos="9054"/>
        </w:tabs>
        <w:rPr>
          <w:rFonts w:eastAsiaTheme="minorEastAsia" w:cstheme="minorBidi"/>
          <w:noProof/>
          <w:szCs w:val="22"/>
        </w:rPr>
      </w:pPr>
      <w:hyperlink w:anchor="_Toc260036731" w:history="1">
        <w:r w:rsidR="0050637B" w:rsidRPr="009A3749">
          <w:rPr>
            <w:rStyle w:val="Hyperlink"/>
            <w:rFonts w:eastAsiaTheme="majorEastAsia"/>
            <w:noProof/>
            <w:lang w:val="en-US"/>
          </w:rPr>
          <w:t>Diagram 3 Share of the total number of participants funded by the CTF, by region</w:t>
        </w:r>
        <w:r w:rsidR="0050637B">
          <w:rPr>
            <w:noProof/>
            <w:webHidden/>
          </w:rPr>
          <w:tab/>
        </w:r>
        <w:r w:rsidR="00AE227F">
          <w:rPr>
            <w:noProof/>
            <w:webHidden/>
          </w:rPr>
          <w:fldChar w:fldCharType="begin"/>
        </w:r>
        <w:r w:rsidR="0050637B">
          <w:rPr>
            <w:noProof/>
            <w:webHidden/>
          </w:rPr>
          <w:instrText xml:space="preserve"> PAGEREF _Toc260036731 \h </w:instrText>
        </w:r>
        <w:r w:rsidR="00AE227F">
          <w:rPr>
            <w:noProof/>
            <w:webHidden/>
          </w:rPr>
        </w:r>
        <w:r w:rsidR="00AE227F">
          <w:rPr>
            <w:noProof/>
            <w:webHidden/>
          </w:rPr>
          <w:fldChar w:fldCharType="separate"/>
        </w:r>
        <w:r w:rsidR="00A053C1">
          <w:rPr>
            <w:noProof/>
            <w:webHidden/>
          </w:rPr>
          <w:t>28</w:t>
        </w:r>
        <w:r w:rsidR="00AE227F">
          <w:rPr>
            <w:noProof/>
            <w:webHidden/>
          </w:rPr>
          <w:fldChar w:fldCharType="end"/>
        </w:r>
      </w:hyperlink>
    </w:p>
    <w:p w:rsidR="0050637B" w:rsidRDefault="000829F6">
      <w:pPr>
        <w:pStyle w:val="TableofFigures"/>
        <w:tabs>
          <w:tab w:val="right" w:leader="dot" w:pos="9054"/>
        </w:tabs>
        <w:rPr>
          <w:rFonts w:eastAsiaTheme="minorEastAsia" w:cstheme="minorBidi"/>
          <w:noProof/>
          <w:szCs w:val="22"/>
        </w:rPr>
      </w:pPr>
      <w:hyperlink w:anchor="_Toc260036732" w:history="1">
        <w:r w:rsidR="0050637B" w:rsidRPr="009A3749">
          <w:rPr>
            <w:rStyle w:val="Hyperlink"/>
            <w:rFonts w:eastAsiaTheme="majorEastAsia"/>
            <w:noProof/>
            <w:lang w:val="en-US"/>
          </w:rPr>
          <w:t>Diagram 4 Share of the total number of participants funded by the CTF, by region and year</w:t>
        </w:r>
        <w:r w:rsidR="0050637B">
          <w:rPr>
            <w:noProof/>
            <w:webHidden/>
          </w:rPr>
          <w:tab/>
        </w:r>
        <w:r w:rsidR="00AE227F">
          <w:rPr>
            <w:noProof/>
            <w:webHidden/>
          </w:rPr>
          <w:fldChar w:fldCharType="begin"/>
        </w:r>
        <w:r w:rsidR="0050637B">
          <w:rPr>
            <w:noProof/>
            <w:webHidden/>
          </w:rPr>
          <w:instrText xml:space="preserve"> PAGEREF _Toc260036732 \h </w:instrText>
        </w:r>
        <w:r w:rsidR="00AE227F">
          <w:rPr>
            <w:noProof/>
            <w:webHidden/>
          </w:rPr>
        </w:r>
        <w:r w:rsidR="00AE227F">
          <w:rPr>
            <w:noProof/>
            <w:webHidden/>
          </w:rPr>
          <w:fldChar w:fldCharType="separate"/>
        </w:r>
        <w:r w:rsidR="00A053C1">
          <w:rPr>
            <w:noProof/>
            <w:webHidden/>
          </w:rPr>
          <w:t>28</w:t>
        </w:r>
        <w:r w:rsidR="00AE227F">
          <w:rPr>
            <w:noProof/>
            <w:webHidden/>
          </w:rPr>
          <w:fldChar w:fldCharType="end"/>
        </w:r>
      </w:hyperlink>
    </w:p>
    <w:p w:rsidR="0050637B" w:rsidRDefault="000829F6">
      <w:pPr>
        <w:pStyle w:val="TableofFigures"/>
        <w:tabs>
          <w:tab w:val="right" w:leader="dot" w:pos="9054"/>
        </w:tabs>
        <w:rPr>
          <w:rFonts w:eastAsiaTheme="minorEastAsia" w:cstheme="minorBidi"/>
          <w:noProof/>
          <w:szCs w:val="22"/>
        </w:rPr>
      </w:pPr>
      <w:hyperlink w:anchor="_Toc260036733" w:history="1">
        <w:r w:rsidR="0050637B" w:rsidRPr="009A3749">
          <w:rPr>
            <w:rStyle w:val="Hyperlink"/>
            <w:rFonts w:eastAsiaTheme="majorEastAsia"/>
            <w:noProof/>
            <w:lang w:val="en-US"/>
          </w:rPr>
          <w:t>Diagram 5 Gender balance among the total number of CTF beneficiaries, by region</w:t>
        </w:r>
        <w:r w:rsidR="0050637B">
          <w:rPr>
            <w:noProof/>
            <w:webHidden/>
          </w:rPr>
          <w:tab/>
        </w:r>
        <w:r w:rsidR="00AE227F">
          <w:rPr>
            <w:noProof/>
            <w:webHidden/>
          </w:rPr>
          <w:fldChar w:fldCharType="begin"/>
        </w:r>
        <w:r w:rsidR="0050637B">
          <w:rPr>
            <w:noProof/>
            <w:webHidden/>
          </w:rPr>
          <w:instrText xml:space="preserve"> PAGEREF _Toc260036733 \h </w:instrText>
        </w:r>
        <w:r w:rsidR="00AE227F">
          <w:rPr>
            <w:noProof/>
            <w:webHidden/>
          </w:rPr>
        </w:r>
        <w:r w:rsidR="00AE227F">
          <w:rPr>
            <w:noProof/>
            <w:webHidden/>
          </w:rPr>
          <w:fldChar w:fldCharType="separate"/>
        </w:r>
        <w:r w:rsidR="00A053C1">
          <w:rPr>
            <w:noProof/>
            <w:webHidden/>
          </w:rPr>
          <w:t>28</w:t>
        </w:r>
        <w:r w:rsidR="00AE227F">
          <w:rPr>
            <w:noProof/>
            <w:webHidden/>
          </w:rPr>
          <w:fldChar w:fldCharType="end"/>
        </w:r>
      </w:hyperlink>
    </w:p>
    <w:p w:rsidR="0050637B" w:rsidRDefault="000829F6">
      <w:pPr>
        <w:pStyle w:val="TableofFigures"/>
        <w:tabs>
          <w:tab w:val="right" w:leader="dot" w:pos="9054"/>
        </w:tabs>
        <w:rPr>
          <w:rFonts w:eastAsiaTheme="minorEastAsia" w:cstheme="minorBidi"/>
          <w:noProof/>
          <w:szCs w:val="22"/>
        </w:rPr>
      </w:pPr>
      <w:hyperlink w:anchor="_Toc260036734" w:history="1">
        <w:r w:rsidR="0050637B" w:rsidRPr="009A3749">
          <w:rPr>
            <w:rStyle w:val="Hyperlink"/>
            <w:rFonts w:eastAsiaTheme="majorEastAsia"/>
            <w:noProof/>
            <w:lang w:val="en-US"/>
          </w:rPr>
          <w:t>Diagram 6 Number of participants from LDCs in Codex committees by year and sources of funding, excluding regional committees</w:t>
        </w:r>
        <w:r w:rsidR="0050637B">
          <w:rPr>
            <w:noProof/>
            <w:webHidden/>
          </w:rPr>
          <w:tab/>
        </w:r>
        <w:r w:rsidR="00AE227F">
          <w:rPr>
            <w:noProof/>
            <w:webHidden/>
          </w:rPr>
          <w:fldChar w:fldCharType="begin"/>
        </w:r>
        <w:r w:rsidR="0050637B">
          <w:rPr>
            <w:noProof/>
            <w:webHidden/>
          </w:rPr>
          <w:instrText xml:space="preserve"> PAGEREF _Toc260036734 \h </w:instrText>
        </w:r>
        <w:r w:rsidR="00AE227F">
          <w:rPr>
            <w:noProof/>
            <w:webHidden/>
          </w:rPr>
        </w:r>
        <w:r w:rsidR="00AE227F">
          <w:rPr>
            <w:noProof/>
            <w:webHidden/>
          </w:rPr>
          <w:fldChar w:fldCharType="separate"/>
        </w:r>
        <w:r w:rsidR="00A053C1">
          <w:rPr>
            <w:noProof/>
            <w:webHidden/>
          </w:rPr>
          <w:t>30</w:t>
        </w:r>
        <w:r w:rsidR="00AE227F">
          <w:rPr>
            <w:noProof/>
            <w:webHidden/>
          </w:rPr>
          <w:fldChar w:fldCharType="end"/>
        </w:r>
      </w:hyperlink>
    </w:p>
    <w:p w:rsidR="0050637B" w:rsidRDefault="000829F6">
      <w:pPr>
        <w:pStyle w:val="TableofFigures"/>
        <w:tabs>
          <w:tab w:val="right" w:leader="dot" w:pos="9054"/>
        </w:tabs>
        <w:rPr>
          <w:rFonts w:eastAsiaTheme="minorEastAsia" w:cstheme="minorBidi"/>
          <w:noProof/>
          <w:szCs w:val="22"/>
        </w:rPr>
      </w:pPr>
      <w:hyperlink w:anchor="_Toc260036735" w:history="1">
        <w:r w:rsidR="0050637B" w:rsidRPr="009A3749">
          <w:rPr>
            <w:rStyle w:val="Hyperlink"/>
            <w:rFonts w:eastAsiaTheme="majorEastAsia"/>
            <w:noProof/>
            <w:lang w:val="en-US"/>
          </w:rPr>
          <w:t>Diagram 7 Number of LDC countries participating in Codex committees by year and sources of funding, excluding regional committees</w:t>
        </w:r>
        <w:r w:rsidR="0050637B">
          <w:rPr>
            <w:noProof/>
            <w:webHidden/>
          </w:rPr>
          <w:tab/>
        </w:r>
        <w:r w:rsidR="00AE227F">
          <w:rPr>
            <w:noProof/>
            <w:webHidden/>
          </w:rPr>
          <w:fldChar w:fldCharType="begin"/>
        </w:r>
        <w:r w:rsidR="0050637B">
          <w:rPr>
            <w:noProof/>
            <w:webHidden/>
          </w:rPr>
          <w:instrText xml:space="preserve"> PAGEREF _Toc260036735 \h </w:instrText>
        </w:r>
        <w:r w:rsidR="00AE227F">
          <w:rPr>
            <w:noProof/>
            <w:webHidden/>
          </w:rPr>
        </w:r>
        <w:r w:rsidR="00AE227F">
          <w:rPr>
            <w:noProof/>
            <w:webHidden/>
          </w:rPr>
          <w:fldChar w:fldCharType="separate"/>
        </w:r>
        <w:r w:rsidR="00A053C1">
          <w:rPr>
            <w:noProof/>
            <w:webHidden/>
          </w:rPr>
          <w:t>30</w:t>
        </w:r>
        <w:r w:rsidR="00AE227F">
          <w:rPr>
            <w:noProof/>
            <w:webHidden/>
          </w:rPr>
          <w:fldChar w:fldCharType="end"/>
        </w:r>
      </w:hyperlink>
    </w:p>
    <w:p w:rsidR="008C3C08" w:rsidRPr="00434660" w:rsidRDefault="00AE227F" w:rsidP="008C3C08">
      <w:pPr>
        <w:rPr>
          <w:u w:val="single"/>
          <w:lang w:val="en-GB"/>
        </w:rPr>
      </w:pPr>
      <w:r>
        <w:rPr>
          <w:lang w:val="en-GB"/>
        </w:rPr>
        <w:fldChar w:fldCharType="end"/>
      </w:r>
    </w:p>
    <w:p w:rsidR="009B72A3" w:rsidRPr="009B72A3" w:rsidRDefault="009B72A3" w:rsidP="009B72A3">
      <w:pPr>
        <w:rPr>
          <w:rFonts w:asciiTheme="majorHAnsi" w:hAnsiTheme="majorHAnsi" w:cstheme="majorHAnsi"/>
          <w:b/>
          <w:color w:val="4F81BD" w:themeColor="accent1"/>
          <w:sz w:val="28"/>
          <w:szCs w:val="28"/>
          <w:lang w:val="en-GB"/>
        </w:rPr>
      </w:pPr>
      <w:r w:rsidRPr="009B72A3">
        <w:rPr>
          <w:rFonts w:asciiTheme="majorHAnsi" w:hAnsiTheme="majorHAnsi" w:cstheme="majorHAnsi"/>
          <w:b/>
          <w:color w:val="4F81BD" w:themeColor="accent1"/>
          <w:sz w:val="28"/>
          <w:szCs w:val="28"/>
          <w:lang w:val="en-GB"/>
        </w:rPr>
        <w:t xml:space="preserve">List of </w:t>
      </w:r>
      <w:r>
        <w:rPr>
          <w:rFonts w:asciiTheme="majorHAnsi" w:hAnsiTheme="majorHAnsi" w:cstheme="majorHAnsi"/>
          <w:b/>
          <w:color w:val="4F81BD" w:themeColor="accent1"/>
          <w:sz w:val="28"/>
          <w:szCs w:val="28"/>
          <w:lang w:val="en-GB"/>
        </w:rPr>
        <w:t>Tables</w:t>
      </w:r>
    </w:p>
    <w:p w:rsidR="0050637B" w:rsidRDefault="00AE227F">
      <w:pPr>
        <w:pStyle w:val="TableofFigures"/>
        <w:tabs>
          <w:tab w:val="right" w:leader="dot" w:pos="9054"/>
        </w:tabs>
        <w:rPr>
          <w:rFonts w:eastAsiaTheme="minorEastAsia" w:cstheme="minorBidi"/>
          <w:noProof/>
          <w:szCs w:val="22"/>
        </w:rPr>
      </w:pPr>
      <w:r>
        <w:rPr>
          <w:lang w:val="en-GB"/>
        </w:rPr>
        <w:fldChar w:fldCharType="begin"/>
      </w:r>
      <w:r w:rsidR="008C3C08">
        <w:rPr>
          <w:lang w:val="en-GB"/>
        </w:rPr>
        <w:instrText xml:space="preserve"> TOC \h \z \c "Table" </w:instrText>
      </w:r>
      <w:r>
        <w:rPr>
          <w:lang w:val="en-GB"/>
        </w:rPr>
        <w:fldChar w:fldCharType="separate"/>
      </w:r>
      <w:hyperlink w:anchor="_Toc260036736" w:history="1">
        <w:r w:rsidR="0050637B" w:rsidRPr="00DA49A5">
          <w:rPr>
            <w:rStyle w:val="Hyperlink"/>
            <w:rFonts w:eastAsiaTheme="majorEastAsia"/>
            <w:noProof/>
            <w:lang w:val="en-GB"/>
          </w:rPr>
          <w:t>Table 1 List of countries visited in the course of the mid-term review</w:t>
        </w:r>
        <w:r w:rsidR="0050637B">
          <w:rPr>
            <w:noProof/>
            <w:webHidden/>
          </w:rPr>
          <w:tab/>
        </w:r>
        <w:r>
          <w:rPr>
            <w:noProof/>
            <w:webHidden/>
          </w:rPr>
          <w:fldChar w:fldCharType="begin"/>
        </w:r>
        <w:r w:rsidR="0050637B">
          <w:rPr>
            <w:noProof/>
            <w:webHidden/>
          </w:rPr>
          <w:instrText xml:space="preserve"> PAGEREF _Toc260036736 \h </w:instrText>
        </w:r>
        <w:r>
          <w:rPr>
            <w:noProof/>
            <w:webHidden/>
          </w:rPr>
        </w:r>
        <w:r>
          <w:rPr>
            <w:noProof/>
            <w:webHidden/>
          </w:rPr>
          <w:fldChar w:fldCharType="separate"/>
        </w:r>
        <w:r w:rsidR="00A053C1">
          <w:rPr>
            <w:noProof/>
            <w:webHidden/>
          </w:rPr>
          <w:t>11</w:t>
        </w:r>
        <w:r>
          <w:rPr>
            <w:noProof/>
            <w:webHidden/>
          </w:rPr>
          <w:fldChar w:fldCharType="end"/>
        </w:r>
      </w:hyperlink>
    </w:p>
    <w:p w:rsidR="0050637B" w:rsidRDefault="000829F6">
      <w:pPr>
        <w:pStyle w:val="TableofFigures"/>
        <w:tabs>
          <w:tab w:val="right" w:leader="dot" w:pos="9054"/>
        </w:tabs>
        <w:rPr>
          <w:rFonts w:eastAsiaTheme="minorEastAsia" w:cstheme="minorBidi"/>
          <w:noProof/>
          <w:szCs w:val="22"/>
        </w:rPr>
      </w:pPr>
      <w:hyperlink w:anchor="_Toc260036737" w:history="1">
        <w:r w:rsidR="0050637B" w:rsidRPr="00DA49A5">
          <w:rPr>
            <w:rStyle w:val="Hyperlink"/>
            <w:rFonts w:eastAsiaTheme="majorEastAsia"/>
            <w:noProof/>
            <w:lang w:val="en-GB"/>
          </w:rPr>
          <w:t>Table 2 Codex institutions in countries visited during the evaluation</w:t>
        </w:r>
        <w:r w:rsidR="0050637B">
          <w:rPr>
            <w:noProof/>
            <w:webHidden/>
          </w:rPr>
          <w:tab/>
        </w:r>
        <w:r w:rsidR="00AE227F">
          <w:rPr>
            <w:noProof/>
            <w:webHidden/>
          </w:rPr>
          <w:fldChar w:fldCharType="begin"/>
        </w:r>
        <w:r w:rsidR="0050637B">
          <w:rPr>
            <w:noProof/>
            <w:webHidden/>
          </w:rPr>
          <w:instrText xml:space="preserve"> PAGEREF _Toc260036737 \h </w:instrText>
        </w:r>
        <w:r w:rsidR="00AE227F">
          <w:rPr>
            <w:noProof/>
            <w:webHidden/>
          </w:rPr>
        </w:r>
        <w:r w:rsidR="00AE227F">
          <w:rPr>
            <w:noProof/>
            <w:webHidden/>
          </w:rPr>
          <w:fldChar w:fldCharType="separate"/>
        </w:r>
        <w:r w:rsidR="00A053C1">
          <w:rPr>
            <w:noProof/>
            <w:webHidden/>
          </w:rPr>
          <w:t>16</w:t>
        </w:r>
        <w:r w:rsidR="00AE227F">
          <w:rPr>
            <w:noProof/>
            <w:webHidden/>
          </w:rPr>
          <w:fldChar w:fldCharType="end"/>
        </w:r>
      </w:hyperlink>
    </w:p>
    <w:p w:rsidR="0050637B" w:rsidRDefault="000829F6">
      <w:pPr>
        <w:pStyle w:val="TableofFigures"/>
        <w:tabs>
          <w:tab w:val="right" w:leader="dot" w:pos="9054"/>
        </w:tabs>
        <w:rPr>
          <w:rFonts w:eastAsiaTheme="minorEastAsia" w:cstheme="minorBidi"/>
          <w:noProof/>
          <w:szCs w:val="22"/>
        </w:rPr>
      </w:pPr>
      <w:hyperlink w:anchor="_Toc260036738" w:history="1">
        <w:r w:rsidR="0050637B" w:rsidRPr="00DA49A5">
          <w:rPr>
            <w:rStyle w:val="Hyperlink"/>
            <w:rFonts w:eastAsiaTheme="majorEastAsia"/>
            <w:noProof/>
            <w:lang w:val="en-US"/>
          </w:rPr>
          <w:t>Table 3 Top 10 committees for CTF beneficiaries</w:t>
        </w:r>
        <w:r w:rsidR="0050637B">
          <w:rPr>
            <w:noProof/>
            <w:webHidden/>
          </w:rPr>
          <w:tab/>
        </w:r>
        <w:r w:rsidR="00AE227F">
          <w:rPr>
            <w:noProof/>
            <w:webHidden/>
          </w:rPr>
          <w:fldChar w:fldCharType="begin"/>
        </w:r>
        <w:r w:rsidR="0050637B">
          <w:rPr>
            <w:noProof/>
            <w:webHidden/>
          </w:rPr>
          <w:instrText xml:space="preserve"> PAGEREF _Toc260036738 \h </w:instrText>
        </w:r>
        <w:r w:rsidR="00AE227F">
          <w:rPr>
            <w:noProof/>
            <w:webHidden/>
          </w:rPr>
        </w:r>
        <w:r w:rsidR="00AE227F">
          <w:rPr>
            <w:noProof/>
            <w:webHidden/>
          </w:rPr>
          <w:fldChar w:fldCharType="separate"/>
        </w:r>
        <w:r w:rsidR="00A053C1">
          <w:rPr>
            <w:noProof/>
            <w:webHidden/>
          </w:rPr>
          <w:t>29</w:t>
        </w:r>
        <w:r w:rsidR="00AE227F">
          <w:rPr>
            <w:noProof/>
            <w:webHidden/>
          </w:rPr>
          <w:fldChar w:fldCharType="end"/>
        </w:r>
      </w:hyperlink>
    </w:p>
    <w:p w:rsidR="0050637B" w:rsidRDefault="000829F6">
      <w:pPr>
        <w:pStyle w:val="TableofFigures"/>
        <w:tabs>
          <w:tab w:val="right" w:leader="dot" w:pos="9054"/>
        </w:tabs>
        <w:rPr>
          <w:rFonts w:eastAsiaTheme="minorEastAsia" w:cstheme="minorBidi"/>
          <w:noProof/>
          <w:szCs w:val="22"/>
        </w:rPr>
      </w:pPr>
      <w:hyperlink w:anchor="_Toc260036739" w:history="1">
        <w:r w:rsidR="0050637B" w:rsidRPr="00DA49A5">
          <w:rPr>
            <w:rStyle w:val="Hyperlink"/>
            <w:rFonts w:eastAsiaTheme="majorEastAsia"/>
            <w:noProof/>
            <w:lang w:val="en-US"/>
          </w:rPr>
          <w:t>Table 4 Countries that had graduated from the CTF by 2009</w:t>
        </w:r>
        <w:r w:rsidR="0050637B">
          <w:rPr>
            <w:noProof/>
            <w:webHidden/>
          </w:rPr>
          <w:tab/>
        </w:r>
        <w:r w:rsidR="00AE227F">
          <w:rPr>
            <w:noProof/>
            <w:webHidden/>
          </w:rPr>
          <w:fldChar w:fldCharType="begin"/>
        </w:r>
        <w:r w:rsidR="0050637B">
          <w:rPr>
            <w:noProof/>
            <w:webHidden/>
          </w:rPr>
          <w:instrText xml:space="preserve"> PAGEREF _Toc260036739 \h </w:instrText>
        </w:r>
        <w:r w:rsidR="00AE227F">
          <w:rPr>
            <w:noProof/>
            <w:webHidden/>
          </w:rPr>
        </w:r>
        <w:r w:rsidR="00AE227F">
          <w:rPr>
            <w:noProof/>
            <w:webHidden/>
          </w:rPr>
          <w:fldChar w:fldCharType="separate"/>
        </w:r>
        <w:r w:rsidR="00A053C1">
          <w:rPr>
            <w:noProof/>
            <w:webHidden/>
          </w:rPr>
          <w:t>30</w:t>
        </w:r>
        <w:r w:rsidR="00AE227F">
          <w:rPr>
            <w:noProof/>
            <w:webHidden/>
          </w:rPr>
          <w:fldChar w:fldCharType="end"/>
        </w:r>
      </w:hyperlink>
    </w:p>
    <w:p w:rsidR="0050637B" w:rsidRDefault="000829F6">
      <w:pPr>
        <w:pStyle w:val="TableofFigures"/>
        <w:tabs>
          <w:tab w:val="right" w:leader="dot" w:pos="9054"/>
        </w:tabs>
        <w:rPr>
          <w:rFonts w:eastAsiaTheme="minorEastAsia" w:cstheme="minorBidi"/>
          <w:noProof/>
          <w:szCs w:val="22"/>
        </w:rPr>
      </w:pPr>
      <w:hyperlink w:anchor="_Toc260036740" w:history="1">
        <w:r w:rsidR="0050637B" w:rsidRPr="00DA49A5">
          <w:rPr>
            <w:rStyle w:val="Hyperlink"/>
            <w:rFonts w:eastAsiaTheme="majorEastAsia"/>
            <w:noProof/>
            <w:lang w:val="en-US"/>
          </w:rPr>
          <w:t>Table 5 Number of participants funded by non-CTF sources of CTF graduate countries</w:t>
        </w:r>
        <w:r w:rsidR="0050637B">
          <w:rPr>
            <w:noProof/>
            <w:webHidden/>
          </w:rPr>
          <w:tab/>
        </w:r>
        <w:r w:rsidR="00AE227F">
          <w:rPr>
            <w:noProof/>
            <w:webHidden/>
          </w:rPr>
          <w:fldChar w:fldCharType="begin"/>
        </w:r>
        <w:r w:rsidR="0050637B">
          <w:rPr>
            <w:noProof/>
            <w:webHidden/>
          </w:rPr>
          <w:instrText xml:space="preserve"> PAGEREF _Toc260036740 \h </w:instrText>
        </w:r>
        <w:r w:rsidR="00AE227F">
          <w:rPr>
            <w:noProof/>
            <w:webHidden/>
          </w:rPr>
        </w:r>
        <w:r w:rsidR="00AE227F">
          <w:rPr>
            <w:noProof/>
            <w:webHidden/>
          </w:rPr>
          <w:fldChar w:fldCharType="separate"/>
        </w:r>
        <w:r w:rsidR="00A053C1">
          <w:rPr>
            <w:noProof/>
            <w:webHidden/>
          </w:rPr>
          <w:t>32</w:t>
        </w:r>
        <w:r w:rsidR="00AE227F">
          <w:rPr>
            <w:noProof/>
            <w:webHidden/>
          </w:rPr>
          <w:fldChar w:fldCharType="end"/>
        </w:r>
      </w:hyperlink>
    </w:p>
    <w:p w:rsidR="0050637B" w:rsidRDefault="000829F6">
      <w:pPr>
        <w:pStyle w:val="TableofFigures"/>
        <w:tabs>
          <w:tab w:val="right" w:leader="dot" w:pos="9054"/>
        </w:tabs>
        <w:rPr>
          <w:rFonts w:eastAsiaTheme="minorEastAsia" w:cstheme="minorBidi"/>
          <w:noProof/>
          <w:szCs w:val="22"/>
        </w:rPr>
      </w:pPr>
      <w:hyperlink w:anchor="_Toc260036741" w:history="1">
        <w:r w:rsidR="0050637B" w:rsidRPr="00DA49A5">
          <w:rPr>
            <w:rStyle w:val="Hyperlink"/>
            <w:rFonts w:eastAsiaTheme="majorEastAsia"/>
            <w:noProof/>
            <w:lang w:val="en-US"/>
          </w:rPr>
          <w:t>Table 6 Number of participants funded by non-CTF sources of countries for which 2009 was the first year on matched funding, by initial group</w:t>
        </w:r>
        <w:r w:rsidR="0050637B">
          <w:rPr>
            <w:noProof/>
            <w:webHidden/>
          </w:rPr>
          <w:tab/>
        </w:r>
        <w:r w:rsidR="00AE227F">
          <w:rPr>
            <w:noProof/>
            <w:webHidden/>
          </w:rPr>
          <w:fldChar w:fldCharType="begin"/>
        </w:r>
        <w:r w:rsidR="0050637B">
          <w:rPr>
            <w:noProof/>
            <w:webHidden/>
          </w:rPr>
          <w:instrText xml:space="preserve"> PAGEREF _Toc260036741 \h </w:instrText>
        </w:r>
        <w:r w:rsidR="00AE227F">
          <w:rPr>
            <w:noProof/>
            <w:webHidden/>
          </w:rPr>
        </w:r>
        <w:r w:rsidR="00AE227F">
          <w:rPr>
            <w:noProof/>
            <w:webHidden/>
          </w:rPr>
          <w:fldChar w:fldCharType="separate"/>
        </w:r>
        <w:r w:rsidR="00A053C1">
          <w:rPr>
            <w:noProof/>
            <w:webHidden/>
          </w:rPr>
          <w:t>32</w:t>
        </w:r>
        <w:r w:rsidR="00AE227F">
          <w:rPr>
            <w:noProof/>
            <w:webHidden/>
          </w:rPr>
          <w:fldChar w:fldCharType="end"/>
        </w:r>
      </w:hyperlink>
    </w:p>
    <w:p w:rsidR="0050637B" w:rsidRDefault="000829F6">
      <w:pPr>
        <w:pStyle w:val="TableofFigures"/>
        <w:tabs>
          <w:tab w:val="right" w:leader="dot" w:pos="9054"/>
        </w:tabs>
        <w:rPr>
          <w:rFonts w:eastAsiaTheme="minorEastAsia" w:cstheme="minorBidi"/>
          <w:noProof/>
          <w:szCs w:val="22"/>
        </w:rPr>
      </w:pPr>
      <w:hyperlink w:anchor="_Toc260036742" w:history="1">
        <w:r w:rsidR="0050637B" w:rsidRPr="00DA49A5">
          <w:rPr>
            <w:rStyle w:val="Hyperlink"/>
            <w:rFonts w:eastAsiaTheme="majorEastAsia"/>
            <w:noProof/>
            <w:lang w:val="en-US"/>
          </w:rPr>
          <w:t>Table 7 CTF country groups and graduation</w:t>
        </w:r>
        <w:r w:rsidR="0050637B">
          <w:rPr>
            <w:noProof/>
            <w:webHidden/>
          </w:rPr>
          <w:tab/>
        </w:r>
        <w:r w:rsidR="00AE227F">
          <w:rPr>
            <w:noProof/>
            <w:webHidden/>
          </w:rPr>
          <w:fldChar w:fldCharType="begin"/>
        </w:r>
        <w:r w:rsidR="0050637B">
          <w:rPr>
            <w:noProof/>
            <w:webHidden/>
          </w:rPr>
          <w:instrText xml:space="preserve"> PAGEREF _Toc260036742 \h </w:instrText>
        </w:r>
        <w:r w:rsidR="00AE227F">
          <w:rPr>
            <w:noProof/>
            <w:webHidden/>
          </w:rPr>
        </w:r>
        <w:r w:rsidR="00AE227F">
          <w:rPr>
            <w:noProof/>
            <w:webHidden/>
          </w:rPr>
          <w:fldChar w:fldCharType="separate"/>
        </w:r>
        <w:r w:rsidR="00A053C1">
          <w:rPr>
            <w:noProof/>
            <w:webHidden/>
          </w:rPr>
          <w:t>38</w:t>
        </w:r>
        <w:r w:rsidR="00AE227F">
          <w:rPr>
            <w:noProof/>
            <w:webHidden/>
          </w:rPr>
          <w:fldChar w:fldCharType="end"/>
        </w:r>
      </w:hyperlink>
    </w:p>
    <w:p w:rsidR="0050637B" w:rsidRDefault="000829F6">
      <w:pPr>
        <w:pStyle w:val="TableofFigures"/>
        <w:tabs>
          <w:tab w:val="right" w:leader="dot" w:pos="9054"/>
        </w:tabs>
        <w:rPr>
          <w:rFonts w:eastAsiaTheme="minorEastAsia" w:cstheme="minorBidi"/>
          <w:noProof/>
          <w:szCs w:val="22"/>
        </w:rPr>
      </w:pPr>
      <w:hyperlink w:anchor="_Toc260036743" w:history="1">
        <w:r w:rsidR="0050637B" w:rsidRPr="00DA49A5">
          <w:rPr>
            <w:rStyle w:val="Hyperlink"/>
            <w:rFonts w:eastAsiaTheme="majorEastAsia"/>
            <w:noProof/>
            <w:lang w:val="en-US"/>
          </w:rPr>
          <w:t>Table 8 CTF graduation schedule, percentage financed by the CTF</w:t>
        </w:r>
        <w:r w:rsidR="0050637B">
          <w:rPr>
            <w:noProof/>
            <w:webHidden/>
          </w:rPr>
          <w:tab/>
        </w:r>
        <w:r w:rsidR="00AE227F">
          <w:rPr>
            <w:noProof/>
            <w:webHidden/>
          </w:rPr>
          <w:fldChar w:fldCharType="begin"/>
        </w:r>
        <w:r w:rsidR="0050637B">
          <w:rPr>
            <w:noProof/>
            <w:webHidden/>
          </w:rPr>
          <w:instrText xml:space="preserve"> PAGEREF _Toc260036743 \h </w:instrText>
        </w:r>
        <w:r w:rsidR="00AE227F">
          <w:rPr>
            <w:noProof/>
            <w:webHidden/>
          </w:rPr>
        </w:r>
        <w:r w:rsidR="00AE227F">
          <w:rPr>
            <w:noProof/>
            <w:webHidden/>
          </w:rPr>
          <w:fldChar w:fldCharType="separate"/>
        </w:r>
        <w:r w:rsidR="00A053C1">
          <w:rPr>
            <w:noProof/>
            <w:webHidden/>
          </w:rPr>
          <w:t>39</w:t>
        </w:r>
        <w:r w:rsidR="00AE227F">
          <w:rPr>
            <w:noProof/>
            <w:webHidden/>
          </w:rPr>
          <w:fldChar w:fldCharType="end"/>
        </w:r>
      </w:hyperlink>
    </w:p>
    <w:p w:rsidR="0050637B" w:rsidRDefault="000829F6">
      <w:pPr>
        <w:pStyle w:val="TableofFigures"/>
        <w:tabs>
          <w:tab w:val="right" w:leader="dot" w:pos="9054"/>
        </w:tabs>
        <w:rPr>
          <w:rFonts w:eastAsiaTheme="minorEastAsia" w:cstheme="minorBidi"/>
          <w:noProof/>
          <w:szCs w:val="22"/>
        </w:rPr>
      </w:pPr>
      <w:hyperlink w:anchor="_Toc260036744" w:history="1">
        <w:r w:rsidR="0050637B" w:rsidRPr="00DA49A5">
          <w:rPr>
            <w:rStyle w:val="Hyperlink"/>
            <w:rFonts w:eastAsiaTheme="majorEastAsia"/>
            <w:noProof/>
            <w:lang w:val="en-US"/>
          </w:rPr>
          <w:t>Table 9 Number of supported participants per country by country group and year.</w:t>
        </w:r>
        <w:r w:rsidR="0050637B">
          <w:rPr>
            <w:noProof/>
            <w:webHidden/>
          </w:rPr>
          <w:tab/>
        </w:r>
        <w:r w:rsidR="00AE227F">
          <w:rPr>
            <w:noProof/>
            <w:webHidden/>
          </w:rPr>
          <w:fldChar w:fldCharType="begin"/>
        </w:r>
        <w:r w:rsidR="0050637B">
          <w:rPr>
            <w:noProof/>
            <w:webHidden/>
          </w:rPr>
          <w:instrText xml:space="preserve"> PAGEREF _Toc260036744 \h </w:instrText>
        </w:r>
        <w:r w:rsidR="00AE227F">
          <w:rPr>
            <w:noProof/>
            <w:webHidden/>
          </w:rPr>
        </w:r>
        <w:r w:rsidR="00AE227F">
          <w:rPr>
            <w:noProof/>
            <w:webHidden/>
          </w:rPr>
          <w:fldChar w:fldCharType="separate"/>
        </w:r>
        <w:r w:rsidR="00A053C1">
          <w:rPr>
            <w:noProof/>
            <w:webHidden/>
          </w:rPr>
          <w:t>39</w:t>
        </w:r>
        <w:r w:rsidR="00AE227F">
          <w:rPr>
            <w:noProof/>
            <w:webHidden/>
          </w:rPr>
          <w:fldChar w:fldCharType="end"/>
        </w:r>
      </w:hyperlink>
    </w:p>
    <w:p w:rsidR="0050637B" w:rsidRDefault="000829F6">
      <w:pPr>
        <w:pStyle w:val="TableofFigures"/>
        <w:tabs>
          <w:tab w:val="right" w:leader="dot" w:pos="9054"/>
        </w:tabs>
        <w:rPr>
          <w:rFonts w:eastAsiaTheme="minorEastAsia" w:cstheme="minorBidi"/>
          <w:noProof/>
          <w:szCs w:val="22"/>
        </w:rPr>
      </w:pPr>
      <w:hyperlink w:anchor="_Toc260036745" w:history="1">
        <w:r w:rsidR="0050637B" w:rsidRPr="00DA49A5">
          <w:rPr>
            <w:rStyle w:val="Hyperlink"/>
            <w:rFonts w:eastAsiaTheme="majorEastAsia"/>
            <w:noProof/>
            <w:lang w:val="en-US"/>
          </w:rPr>
          <w:t>Table 10 Do CCPs believe CTF’s rules on country groupings, selection criteria, matching funding arrangements and country graduation are transparent and fair?</w:t>
        </w:r>
        <w:r w:rsidR="0050637B">
          <w:rPr>
            <w:noProof/>
            <w:webHidden/>
          </w:rPr>
          <w:tab/>
        </w:r>
        <w:r w:rsidR="00AE227F">
          <w:rPr>
            <w:noProof/>
            <w:webHidden/>
          </w:rPr>
          <w:fldChar w:fldCharType="begin"/>
        </w:r>
        <w:r w:rsidR="0050637B">
          <w:rPr>
            <w:noProof/>
            <w:webHidden/>
          </w:rPr>
          <w:instrText xml:space="preserve"> PAGEREF _Toc260036745 \h </w:instrText>
        </w:r>
        <w:r w:rsidR="00AE227F">
          <w:rPr>
            <w:noProof/>
            <w:webHidden/>
          </w:rPr>
        </w:r>
        <w:r w:rsidR="00AE227F">
          <w:rPr>
            <w:noProof/>
            <w:webHidden/>
          </w:rPr>
          <w:fldChar w:fldCharType="separate"/>
        </w:r>
        <w:r w:rsidR="00A053C1">
          <w:rPr>
            <w:noProof/>
            <w:webHidden/>
          </w:rPr>
          <w:t>40</w:t>
        </w:r>
        <w:r w:rsidR="00AE227F">
          <w:rPr>
            <w:noProof/>
            <w:webHidden/>
          </w:rPr>
          <w:fldChar w:fldCharType="end"/>
        </w:r>
      </w:hyperlink>
    </w:p>
    <w:p w:rsidR="0050637B" w:rsidRDefault="000829F6">
      <w:pPr>
        <w:pStyle w:val="TableofFigures"/>
        <w:tabs>
          <w:tab w:val="right" w:leader="dot" w:pos="9054"/>
        </w:tabs>
        <w:rPr>
          <w:rFonts w:eastAsiaTheme="minorEastAsia" w:cstheme="minorBidi"/>
          <w:noProof/>
          <w:szCs w:val="22"/>
        </w:rPr>
      </w:pPr>
      <w:hyperlink w:anchor="_Toc260036746" w:history="1">
        <w:r w:rsidR="0050637B" w:rsidRPr="00DA49A5">
          <w:rPr>
            <w:rStyle w:val="Hyperlink"/>
            <w:rFonts w:eastAsiaTheme="majorEastAsia"/>
            <w:noProof/>
            <w:lang w:val="en-US"/>
          </w:rPr>
          <w:t>Table 11 Selected answers to the question: “What role do you see the CTF playing in Codex training and/or capacity building?”</w:t>
        </w:r>
        <w:r w:rsidR="0050637B">
          <w:rPr>
            <w:noProof/>
            <w:webHidden/>
          </w:rPr>
          <w:tab/>
        </w:r>
        <w:r w:rsidR="00AE227F">
          <w:rPr>
            <w:noProof/>
            <w:webHidden/>
          </w:rPr>
          <w:fldChar w:fldCharType="begin"/>
        </w:r>
        <w:r w:rsidR="0050637B">
          <w:rPr>
            <w:noProof/>
            <w:webHidden/>
          </w:rPr>
          <w:instrText xml:space="preserve"> PAGEREF _Toc260036746 \h </w:instrText>
        </w:r>
        <w:r w:rsidR="00AE227F">
          <w:rPr>
            <w:noProof/>
            <w:webHidden/>
          </w:rPr>
        </w:r>
        <w:r w:rsidR="00AE227F">
          <w:rPr>
            <w:noProof/>
            <w:webHidden/>
          </w:rPr>
          <w:fldChar w:fldCharType="separate"/>
        </w:r>
        <w:r w:rsidR="00A053C1">
          <w:rPr>
            <w:noProof/>
            <w:webHidden/>
          </w:rPr>
          <w:t>43</w:t>
        </w:r>
        <w:r w:rsidR="00AE227F">
          <w:rPr>
            <w:noProof/>
            <w:webHidden/>
          </w:rPr>
          <w:fldChar w:fldCharType="end"/>
        </w:r>
      </w:hyperlink>
    </w:p>
    <w:p w:rsidR="0050637B" w:rsidRDefault="000829F6">
      <w:pPr>
        <w:pStyle w:val="TableofFigures"/>
        <w:tabs>
          <w:tab w:val="right" w:leader="dot" w:pos="9054"/>
        </w:tabs>
        <w:rPr>
          <w:rFonts w:eastAsiaTheme="minorEastAsia" w:cstheme="minorBidi"/>
          <w:noProof/>
          <w:szCs w:val="22"/>
        </w:rPr>
      </w:pPr>
      <w:hyperlink w:anchor="_Toc260036747" w:history="1">
        <w:r w:rsidR="0050637B" w:rsidRPr="00DA49A5">
          <w:rPr>
            <w:rStyle w:val="Hyperlink"/>
            <w:rFonts w:eastAsiaTheme="majorEastAsia"/>
            <w:noProof/>
          </w:rPr>
          <w:t>Table 12 Actual CTF expenditures 2006-2008</w:t>
        </w:r>
        <w:r w:rsidR="0050637B">
          <w:rPr>
            <w:noProof/>
            <w:webHidden/>
          </w:rPr>
          <w:tab/>
        </w:r>
        <w:r w:rsidR="00AE227F">
          <w:rPr>
            <w:noProof/>
            <w:webHidden/>
          </w:rPr>
          <w:fldChar w:fldCharType="begin"/>
        </w:r>
        <w:r w:rsidR="0050637B">
          <w:rPr>
            <w:noProof/>
            <w:webHidden/>
          </w:rPr>
          <w:instrText xml:space="preserve"> PAGEREF _Toc260036747 \h </w:instrText>
        </w:r>
        <w:r w:rsidR="00AE227F">
          <w:rPr>
            <w:noProof/>
            <w:webHidden/>
          </w:rPr>
        </w:r>
        <w:r w:rsidR="00AE227F">
          <w:rPr>
            <w:noProof/>
            <w:webHidden/>
          </w:rPr>
          <w:fldChar w:fldCharType="separate"/>
        </w:r>
        <w:r w:rsidR="00A053C1">
          <w:rPr>
            <w:noProof/>
            <w:webHidden/>
          </w:rPr>
          <w:t>47</w:t>
        </w:r>
        <w:r w:rsidR="00AE227F">
          <w:rPr>
            <w:noProof/>
            <w:webHidden/>
          </w:rPr>
          <w:fldChar w:fldCharType="end"/>
        </w:r>
      </w:hyperlink>
    </w:p>
    <w:p w:rsidR="0050637B" w:rsidRDefault="000829F6">
      <w:pPr>
        <w:pStyle w:val="TableofFigures"/>
        <w:tabs>
          <w:tab w:val="right" w:leader="dot" w:pos="9054"/>
        </w:tabs>
        <w:rPr>
          <w:rFonts w:eastAsiaTheme="minorEastAsia" w:cstheme="minorBidi"/>
          <w:noProof/>
          <w:szCs w:val="22"/>
        </w:rPr>
      </w:pPr>
      <w:hyperlink w:anchor="_Toc260036748" w:history="1">
        <w:r w:rsidR="0050637B" w:rsidRPr="00DA49A5">
          <w:rPr>
            <w:rStyle w:val="Hyperlink"/>
            <w:rFonts w:eastAsiaTheme="majorEastAsia"/>
            <w:noProof/>
            <w:lang w:val="en-US"/>
          </w:rPr>
          <w:t>Table 13 Administrative cycle of the CTF</w:t>
        </w:r>
        <w:r w:rsidR="0050637B">
          <w:rPr>
            <w:noProof/>
            <w:webHidden/>
          </w:rPr>
          <w:tab/>
        </w:r>
        <w:r w:rsidR="00AE227F">
          <w:rPr>
            <w:noProof/>
            <w:webHidden/>
          </w:rPr>
          <w:fldChar w:fldCharType="begin"/>
        </w:r>
        <w:r w:rsidR="0050637B">
          <w:rPr>
            <w:noProof/>
            <w:webHidden/>
          </w:rPr>
          <w:instrText xml:space="preserve"> PAGEREF _Toc260036748 \h </w:instrText>
        </w:r>
        <w:r w:rsidR="00AE227F">
          <w:rPr>
            <w:noProof/>
            <w:webHidden/>
          </w:rPr>
        </w:r>
        <w:r w:rsidR="00AE227F">
          <w:rPr>
            <w:noProof/>
            <w:webHidden/>
          </w:rPr>
          <w:fldChar w:fldCharType="separate"/>
        </w:r>
        <w:r w:rsidR="00A053C1">
          <w:rPr>
            <w:noProof/>
            <w:webHidden/>
          </w:rPr>
          <w:t>50</w:t>
        </w:r>
        <w:r w:rsidR="00AE227F">
          <w:rPr>
            <w:noProof/>
            <w:webHidden/>
          </w:rPr>
          <w:fldChar w:fldCharType="end"/>
        </w:r>
      </w:hyperlink>
    </w:p>
    <w:p w:rsidR="0050637B" w:rsidRDefault="000829F6">
      <w:pPr>
        <w:pStyle w:val="TableofFigures"/>
        <w:tabs>
          <w:tab w:val="right" w:leader="dot" w:pos="9054"/>
        </w:tabs>
        <w:rPr>
          <w:rFonts w:eastAsiaTheme="minorEastAsia" w:cstheme="minorBidi"/>
          <w:noProof/>
          <w:szCs w:val="22"/>
        </w:rPr>
      </w:pPr>
      <w:hyperlink w:anchor="_Toc260036749" w:history="1">
        <w:r w:rsidR="0050637B" w:rsidRPr="00DA49A5">
          <w:rPr>
            <w:rStyle w:val="Hyperlink"/>
            <w:rFonts w:eastAsiaTheme="majorEastAsia"/>
            <w:noProof/>
            <w:lang w:val="en-US"/>
          </w:rPr>
          <w:t>Table 14 Donor contributions to the CTF 2003-2010</w:t>
        </w:r>
        <w:r w:rsidR="0050637B">
          <w:rPr>
            <w:noProof/>
            <w:webHidden/>
          </w:rPr>
          <w:tab/>
        </w:r>
        <w:r w:rsidR="00AE227F">
          <w:rPr>
            <w:noProof/>
            <w:webHidden/>
          </w:rPr>
          <w:fldChar w:fldCharType="begin"/>
        </w:r>
        <w:r w:rsidR="0050637B">
          <w:rPr>
            <w:noProof/>
            <w:webHidden/>
          </w:rPr>
          <w:instrText xml:space="preserve"> PAGEREF _Toc260036749 \h </w:instrText>
        </w:r>
        <w:r w:rsidR="00AE227F">
          <w:rPr>
            <w:noProof/>
            <w:webHidden/>
          </w:rPr>
        </w:r>
        <w:r w:rsidR="00AE227F">
          <w:rPr>
            <w:noProof/>
            <w:webHidden/>
          </w:rPr>
          <w:fldChar w:fldCharType="separate"/>
        </w:r>
        <w:r w:rsidR="00A053C1">
          <w:rPr>
            <w:noProof/>
            <w:webHidden/>
          </w:rPr>
          <w:t>53</w:t>
        </w:r>
        <w:r w:rsidR="00AE227F">
          <w:rPr>
            <w:noProof/>
            <w:webHidden/>
          </w:rPr>
          <w:fldChar w:fldCharType="end"/>
        </w:r>
      </w:hyperlink>
    </w:p>
    <w:p w:rsidR="000D3982" w:rsidRDefault="00AE227F" w:rsidP="00FF23A7">
      <w:pPr>
        <w:pStyle w:val="Heading1"/>
        <w:rPr>
          <w:lang w:val="en-GB"/>
        </w:rPr>
      </w:pPr>
      <w:r>
        <w:rPr>
          <w:lang w:val="en-GB"/>
        </w:rPr>
        <w:fldChar w:fldCharType="end"/>
      </w:r>
      <w:r w:rsidR="00FF23A7">
        <w:rPr>
          <w:lang w:val="en-GB"/>
        </w:rPr>
        <w:br w:type="page"/>
      </w:r>
      <w:bookmarkStart w:id="2" w:name="_Toc260389713"/>
      <w:r w:rsidR="00FF23A7">
        <w:rPr>
          <w:lang w:val="en-GB"/>
        </w:rPr>
        <w:lastRenderedPageBreak/>
        <w:t>List of Abbreviations</w:t>
      </w:r>
      <w:bookmarkEnd w:id="2"/>
    </w:p>
    <w:tbl>
      <w:tblPr>
        <w:tblStyle w:val="MediumGrid3-Accent1"/>
        <w:tblW w:w="0" w:type="auto"/>
        <w:tblLook w:val="0620" w:firstRow="1" w:lastRow="0" w:firstColumn="0" w:lastColumn="0" w:noHBand="1" w:noVBand="1"/>
      </w:tblPr>
      <w:tblGrid>
        <w:gridCol w:w="2390"/>
        <w:gridCol w:w="6365"/>
      </w:tblGrid>
      <w:tr w:rsidR="00E16D75">
        <w:trPr>
          <w:cnfStyle w:val="100000000000" w:firstRow="1" w:lastRow="0" w:firstColumn="0" w:lastColumn="0" w:oddVBand="0" w:evenVBand="0" w:oddHBand="0" w:evenHBand="0" w:firstRowFirstColumn="0" w:firstRowLastColumn="0" w:lastRowFirstColumn="0" w:lastRowLastColumn="0"/>
        </w:trPr>
        <w:tc>
          <w:tcPr>
            <w:tcW w:w="2390" w:type="dxa"/>
          </w:tcPr>
          <w:p w:rsidR="00E16D75" w:rsidRPr="000D3982" w:rsidRDefault="00E16D75" w:rsidP="008A77A9">
            <w:pPr>
              <w:spacing w:after="0"/>
            </w:pPr>
          </w:p>
        </w:tc>
        <w:tc>
          <w:tcPr>
            <w:tcW w:w="6365" w:type="dxa"/>
          </w:tcPr>
          <w:p w:rsidR="00E16D75" w:rsidRPr="000D3982" w:rsidRDefault="00E16D75" w:rsidP="008A77A9">
            <w:pPr>
              <w:spacing w:after="0"/>
            </w:pPr>
          </w:p>
        </w:tc>
      </w:tr>
      <w:tr w:rsidR="00E16D75" w:rsidRPr="00B75C62">
        <w:tc>
          <w:tcPr>
            <w:tcW w:w="2390" w:type="dxa"/>
          </w:tcPr>
          <w:p w:rsidR="00E16D75" w:rsidRPr="004B6C19" w:rsidRDefault="00E16D75" w:rsidP="004B6C19">
            <w:pPr>
              <w:spacing w:after="0"/>
              <w:rPr>
                <w:bCs/>
                <w:szCs w:val="20"/>
                <w:lang w:val="en-US"/>
              </w:rPr>
            </w:pPr>
            <w:r w:rsidRPr="004B6C19">
              <w:rPr>
                <w:bCs/>
                <w:szCs w:val="20"/>
                <w:lang w:val="en-US"/>
              </w:rPr>
              <w:t>AIDMO</w:t>
            </w:r>
          </w:p>
        </w:tc>
        <w:tc>
          <w:tcPr>
            <w:tcW w:w="6365" w:type="dxa"/>
          </w:tcPr>
          <w:p w:rsidR="00E16D75" w:rsidRPr="004B6C19" w:rsidRDefault="00E16D75" w:rsidP="004B6C19">
            <w:pPr>
              <w:spacing w:after="0"/>
              <w:rPr>
                <w:szCs w:val="20"/>
                <w:lang w:val="en-US"/>
              </w:rPr>
            </w:pPr>
            <w:r w:rsidRPr="004B6C19">
              <w:rPr>
                <w:szCs w:val="20"/>
                <w:lang w:val="en-US"/>
              </w:rPr>
              <w:t>Arabic Industrial Development and Mining Organization</w:t>
            </w:r>
          </w:p>
        </w:tc>
      </w:tr>
      <w:tr w:rsidR="00E16D75" w:rsidRPr="00B75C62">
        <w:tc>
          <w:tcPr>
            <w:tcW w:w="2390" w:type="dxa"/>
          </w:tcPr>
          <w:p w:rsidR="00E16D75" w:rsidRPr="004B6C19" w:rsidRDefault="00E16D75" w:rsidP="004B6C19">
            <w:pPr>
              <w:spacing w:after="0"/>
              <w:rPr>
                <w:bCs/>
                <w:szCs w:val="20"/>
                <w:lang w:val="en-US"/>
              </w:rPr>
            </w:pPr>
            <w:r w:rsidRPr="004B6C19">
              <w:rPr>
                <w:szCs w:val="20"/>
                <w:lang w:val="en-US"/>
              </w:rPr>
              <w:t>ANSSA</w:t>
            </w:r>
          </w:p>
        </w:tc>
        <w:tc>
          <w:tcPr>
            <w:tcW w:w="6365" w:type="dxa"/>
          </w:tcPr>
          <w:p w:rsidR="00E16D75" w:rsidRPr="004B6C19" w:rsidRDefault="00E16D75" w:rsidP="004B6C19">
            <w:pPr>
              <w:spacing w:after="0"/>
              <w:rPr>
                <w:szCs w:val="20"/>
                <w:lang w:val="en-US"/>
              </w:rPr>
            </w:pPr>
            <w:r w:rsidRPr="004B6C19">
              <w:rPr>
                <w:szCs w:val="20"/>
                <w:lang w:val="en-US"/>
              </w:rPr>
              <w:t>National Food Safety Agency (Mali)</w:t>
            </w:r>
          </w:p>
        </w:tc>
      </w:tr>
      <w:tr w:rsidR="00E16D75" w:rsidRPr="00B75C62">
        <w:tc>
          <w:tcPr>
            <w:tcW w:w="2390" w:type="dxa"/>
          </w:tcPr>
          <w:p w:rsidR="00E16D75" w:rsidRPr="004B6C19" w:rsidRDefault="00E16D75" w:rsidP="004B6C19">
            <w:pPr>
              <w:spacing w:after="0"/>
              <w:rPr>
                <w:szCs w:val="20"/>
                <w:lang w:val="en-US"/>
              </w:rPr>
            </w:pPr>
            <w:r w:rsidRPr="004B6C19">
              <w:rPr>
                <w:szCs w:val="20"/>
                <w:lang w:val="en-US"/>
              </w:rPr>
              <w:t>AU/IBAN</w:t>
            </w:r>
          </w:p>
        </w:tc>
        <w:tc>
          <w:tcPr>
            <w:tcW w:w="6365" w:type="dxa"/>
          </w:tcPr>
          <w:p w:rsidR="00E16D75" w:rsidRPr="004B6C19" w:rsidRDefault="00E16D75" w:rsidP="004B6C19">
            <w:pPr>
              <w:spacing w:after="0"/>
              <w:rPr>
                <w:szCs w:val="20"/>
                <w:lang w:val="en-GB"/>
              </w:rPr>
            </w:pPr>
            <w:r w:rsidRPr="004B6C19">
              <w:rPr>
                <w:szCs w:val="20"/>
                <w:lang w:val="en-GB"/>
              </w:rPr>
              <w:t>African Union/Inter-African Bureau for Animal Resources</w:t>
            </w:r>
          </w:p>
        </w:tc>
      </w:tr>
      <w:tr w:rsidR="00E16D75" w:rsidRPr="00B75C62">
        <w:tc>
          <w:tcPr>
            <w:tcW w:w="2390" w:type="dxa"/>
          </w:tcPr>
          <w:p w:rsidR="00E16D75" w:rsidRPr="004B6C19" w:rsidRDefault="00E16D75" w:rsidP="004B6C19">
            <w:pPr>
              <w:spacing w:after="0"/>
              <w:rPr>
                <w:bCs/>
                <w:szCs w:val="20"/>
                <w:lang w:val="en-US"/>
              </w:rPr>
            </w:pPr>
            <w:r w:rsidRPr="004B6C19">
              <w:rPr>
                <w:bCs/>
                <w:szCs w:val="20"/>
                <w:lang w:val="en-US"/>
              </w:rPr>
              <w:t>BSN</w:t>
            </w:r>
          </w:p>
        </w:tc>
        <w:tc>
          <w:tcPr>
            <w:tcW w:w="6365" w:type="dxa"/>
          </w:tcPr>
          <w:p w:rsidR="00E16D75" w:rsidRPr="004B6C19" w:rsidRDefault="00E16D75" w:rsidP="004B6C19">
            <w:pPr>
              <w:spacing w:after="0"/>
              <w:rPr>
                <w:szCs w:val="20"/>
                <w:lang w:val="en-US"/>
              </w:rPr>
            </w:pPr>
            <w:r w:rsidRPr="004B6C19">
              <w:rPr>
                <w:szCs w:val="20"/>
                <w:lang w:val="en-US"/>
              </w:rPr>
              <w:t>National Standardization Agency of Indonesia</w:t>
            </w:r>
          </w:p>
        </w:tc>
      </w:tr>
      <w:tr w:rsidR="00E16D75" w:rsidRPr="00DA043B">
        <w:tc>
          <w:tcPr>
            <w:tcW w:w="2390" w:type="dxa"/>
          </w:tcPr>
          <w:p w:rsidR="00E16D75" w:rsidRPr="004B6C19" w:rsidRDefault="00E16D75" w:rsidP="004B6C19">
            <w:pPr>
              <w:spacing w:after="0"/>
              <w:rPr>
                <w:szCs w:val="20"/>
              </w:rPr>
            </w:pPr>
            <w:r w:rsidRPr="004B6C19">
              <w:rPr>
                <w:szCs w:val="20"/>
              </w:rPr>
              <w:t>CAC</w:t>
            </w:r>
          </w:p>
        </w:tc>
        <w:tc>
          <w:tcPr>
            <w:tcW w:w="6365" w:type="dxa"/>
          </w:tcPr>
          <w:p w:rsidR="00E16D75" w:rsidRPr="004B6C19" w:rsidRDefault="00E16D75" w:rsidP="004B6C19">
            <w:pPr>
              <w:spacing w:after="0"/>
              <w:rPr>
                <w:szCs w:val="20"/>
                <w:lang w:val="fr-FR"/>
              </w:rPr>
            </w:pPr>
            <w:r w:rsidRPr="004B6C19">
              <w:rPr>
                <w:szCs w:val="20"/>
                <w:lang w:val="fr-FR"/>
              </w:rPr>
              <w:t>Codex Alimentarius Commission</w:t>
            </w:r>
          </w:p>
        </w:tc>
      </w:tr>
      <w:tr w:rsidR="00E16D75" w:rsidRPr="00B75C62">
        <w:tc>
          <w:tcPr>
            <w:tcW w:w="2390" w:type="dxa"/>
          </w:tcPr>
          <w:p w:rsidR="00E16D75" w:rsidRPr="004B6C19" w:rsidRDefault="00E16D75" w:rsidP="004B6C19">
            <w:pPr>
              <w:spacing w:after="0"/>
              <w:rPr>
                <w:szCs w:val="20"/>
                <w:lang w:val="en-US"/>
              </w:rPr>
            </w:pPr>
            <w:r w:rsidRPr="004B6C19">
              <w:rPr>
                <w:szCs w:val="20"/>
                <w:lang w:val="en-US"/>
              </w:rPr>
              <w:t>CARDS</w:t>
            </w:r>
          </w:p>
        </w:tc>
        <w:tc>
          <w:tcPr>
            <w:tcW w:w="6365" w:type="dxa"/>
          </w:tcPr>
          <w:p w:rsidR="00E16D75" w:rsidRPr="004B6C19" w:rsidRDefault="00E16D75" w:rsidP="004B6C19">
            <w:pPr>
              <w:spacing w:after="0"/>
              <w:rPr>
                <w:szCs w:val="20"/>
                <w:lang w:val="en-US"/>
              </w:rPr>
            </w:pPr>
            <w:r w:rsidRPr="004B6C19">
              <w:rPr>
                <w:szCs w:val="20"/>
                <w:lang w:val="en-US"/>
              </w:rPr>
              <w:t>Community Assistance for Reconstruction, Development and Stabilization (EU)</w:t>
            </w:r>
          </w:p>
        </w:tc>
      </w:tr>
      <w:tr w:rsidR="00E16D75" w:rsidRPr="00B75C62">
        <w:tc>
          <w:tcPr>
            <w:tcW w:w="2390" w:type="dxa"/>
          </w:tcPr>
          <w:p w:rsidR="00E16D75" w:rsidRPr="004B6C19" w:rsidRDefault="00E16D75" w:rsidP="004B6C19">
            <w:pPr>
              <w:spacing w:after="0"/>
              <w:rPr>
                <w:bCs/>
                <w:szCs w:val="20"/>
                <w:lang w:val="en-US"/>
              </w:rPr>
            </w:pPr>
            <w:r w:rsidRPr="004B6C19">
              <w:rPr>
                <w:szCs w:val="20"/>
                <w:lang w:val="en-US"/>
              </w:rPr>
              <w:t>CCAFRICA</w:t>
            </w:r>
          </w:p>
        </w:tc>
        <w:tc>
          <w:tcPr>
            <w:tcW w:w="6365" w:type="dxa"/>
          </w:tcPr>
          <w:p w:rsidR="00E16D75" w:rsidRPr="004B6C19" w:rsidRDefault="00E16D75" w:rsidP="004B6C19">
            <w:pPr>
              <w:spacing w:after="0"/>
              <w:rPr>
                <w:szCs w:val="20"/>
                <w:lang w:val="en-US"/>
              </w:rPr>
            </w:pPr>
            <w:r w:rsidRPr="004B6C19">
              <w:rPr>
                <w:szCs w:val="20"/>
                <w:lang w:val="en-US"/>
              </w:rPr>
              <w:t>Codex Coordinating Committee for Africa</w:t>
            </w:r>
          </w:p>
        </w:tc>
      </w:tr>
      <w:tr w:rsidR="00E16D75" w:rsidRPr="00B75C62">
        <w:tc>
          <w:tcPr>
            <w:tcW w:w="2390" w:type="dxa"/>
          </w:tcPr>
          <w:p w:rsidR="00E16D75" w:rsidRPr="004B6C19" w:rsidRDefault="00E16D75" w:rsidP="004B6C19">
            <w:pPr>
              <w:spacing w:after="0"/>
              <w:rPr>
                <w:szCs w:val="20"/>
                <w:lang w:val="en-US"/>
              </w:rPr>
            </w:pPr>
            <w:r w:rsidRPr="004B6C19">
              <w:rPr>
                <w:szCs w:val="20"/>
                <w:lang w:val="en-US"/>
              </w:rPr>
              <w:t>CCASIA</w:t>
            </w:r>
          </w:p>
        </w:tc>
        <w:tc>
          <w:tcPr>
            <w:tcW w:w="6365" w:type="dxa"/>
          </w:tcPr>
          <w:p w:rsidR="00E16D75" w:rsidRPr="004B6C19" w:rsidRDefault="00E16D75" w:rsidP="004B6C19">
            <w:pPr>
              <w:spacing w:after="0"/>
              <w:rPr>
                <w:szCs w:val="20"/>
                <w:lang w:val="en-GB"/>
              </w:rPr>
            </w:pPr>
            <w:r w:rsidRPr="004B6C19">
              <w:rPr>
                <w:szCs w:val="20"/>
                <w:lang w:val="en-US"/>
              </w:rPr>
              <w:t>FAO/WHO Coordinating Committee for Asia</w:t>
            </w:r>
          </w:p>
        </w:tc>
      </w:tr>
      <w:tr w:rsidR="00E16D75" w:rsidRPr="00B75C62">
        <w:tc>
          <w:tcPr>
            <w:tcW w:w="2390" w:type="dxa"/>
          </w:tcPr>
          <w:p w:rsidR="00E16D75" w:rsidRPr="004B6C19" w:rsidRDefault="00E16D75" w:rsidP="004B6C19">
            <w:pPr>
              <w:spacing w:after="0"/>
              <w:rPr>
                <w:szCs w:val="20"/>
                <w:lang w:val="en-US"/>
              </w:rPr>
            </w:pPr>
            <w:r w:rsidRPr="004B6C19">
              <w:rPr>
                <w:szCs w:val="20"/>
                <w:lang w:val="en-US"/>
              </w:rPr>
              <w:t>CCCF</w:t>
            </w:r>
          </w:p>
        </w:tc>
        <w:tc>
          <w:tcPr>
            <w:tcW w:w="6365" w:type="dxa"/>
          </w:tcPr>
          <w:p w:rsidR="00E16D75" w:rsidRPr="004B6C19" w:rsidRDefault="00E16D75" w:rsidP="004B6C19">
            <w:pPr>
              <w:spacing w:after="0"/>
              <w:rPr>
                <w:szCs w:val="20"/>
                <w:lang w:val="en-GB"/>
              </w:rPr>
            </w:pPr>
            <w:r w:rsidRPr="004B6C19">
              <w:rPr>
                <w:rFonts w:eastAsia="SimSun"/>
                <w:szCs w:val="20"/>
                <w:lang w:val="en-US"/>
              </w:rPr>
              <w:t>Codex Committee on Contaminants in Food</w:t>
            </w:r>
          </w:p>
        </w:tc>
      </w:tr>
      <w:tr w:rsidR="00E16D75" w:rsidRPr="00B75C62">
        <w:tc>
          <w:tcPr>
            <w:tcW w:w="2390" w:type="dxa"/>
          </w:tcPr>
          <w:p w:rsidR="00E16D75" w:rsidRPr="004B6C19" w:rsidRDefault="00E16D75" w:rsidP="004B6C19">
            <w:pPr>
              <w:spacing w:after="0"/>
              <w:rPr>
                <w:szCs w:val="20"/>
                <w:lang w:val="en-US"/>
              </w:rPr>
            </w:pPr>
            <w:r w:rsidRPr="004B6C19">
              <w:rPr>
                <w:szCs w:val="20"/>
                <w:lang w:val="en-US"/>
              </w:rPr>
              <w:t>CCEURO</w:t>
            </w:r>
          </w:p>
        </w:tc>
        <w:tc>
          <w:tcPr>
            <w:tcW w:w="6365" w:type="dxa"/>
          </w:tcPr>
          <w:p w:rsidR="00E16D75" w:rsidRPr="004B6C19" w:rsidRDefault="00E16D75" w:rsidP="004B6C19">
            <w:pPr>
              <w:spacing w:after="0"/>
              <w:rPr>
                <w:szCs w:val="20"/>
                <w:lang w:val="en-US"/>
              </w:rPr>
            </w:pPr>
            <w:r w:rsidRPr="004B6C19">
              <w:rPr>
                <w:szCs w:val="20"/>
                <w:lang w:val="en-US"/>
              </w:rPr>
              <w:t>FAO/WHO Coordinating Committee for Europe</w:t>
            </w:r>
          </w:p>
        </w:tc>
      </w:tr>
      <w:tr w:rsidR="00E16D75" w:rsidRPr="00B75C62">
        <w:tc>
          <w:tcPr>
            <w:tcW w:w="2390" w:type="dxa"/>
          </w:tcPr>
          <w:p w:rsidR="00E16D75" w:rsidRPr="004B6C19" w:rsidRDefault="00E16D75" w:rsidP="004B6C19">
            <w:pPr>
              <w:spacing w:after="0"/>
              <w:rPr>
                <w:bCs/>
                <w:szCs w:val="20"/>
                <w:lang w:val="en-US"/>
              </w:rPr>
            </w:pPr>
            <w:r w:rsidRPr="004B6C19">
              <w:rPr>
                <w:bCs/>
                <w:szCs w:val="20"/>
                <w:lang w:val="en-US"/>
              </w:rPr>
              <w:t>CCEXEC</w:t>
            </w:r>
          </w:p>
        </w:tc>
        <w:tc>
          <w:tcPr>
            <w:tcW w:w="6365" w:type="dxa"/>
          </w:tcPr>
          <w:p w:rsidR="00E16D75" w:rsidRPr="004B6C19" w:rsidRDefault="000207AC" w:rsidP="004B6C19">
            <w:pPr>
              <w:spacing w:after="0"/>
              <w:rPr>
                <w:szCs w:val="20"/>
                <w:lang w:val="en-US"/>
              </w:rPr>
            </w:pPr>
            <w:r w:rsidRPr="000207AC">
              <w:rPr>
                <w:rFonts w:eastAsiaTheme="majorEastAsia"/>
                <w:sz w:val="24"/>
                <w:szCs w:val="20"/>
                <w:lang w:val="en-US"/>
              </w:rPr>
              <w:t>Executive Committee of the Codex Alimentarius Commission</w:t>
            </w:r>
          </w:p>
        </w:tc>
      </w:tr>
      <w:tr w:rsidR="00E16D75" w:rsidRPr="00B75C62">
        <w:tc>
          <w:tcPr>
            <w:tcW w:w="2390" w:type="dxa"/>
          </w:tcPr>
          <w:p w:rsidR="00E16D75" w:rsidRPr="00A80451" w:rsidRDefault="00E16D75" w:rsidP="004B6C19">
            <w:pPr>
              <w:spacing w:after="0"/>
              <w:rPr>
                <w:bCs/>
                <w:lang w:val="en-US"/>
              </w:rPr>
            </w:pPr>
            <w:r>
              <w:rPr>
                <w:lang w:val="en-US"/>
              </w:rPr>
              <w:t>CCFFP</w:t>
            </w:r>
          </w:p>
        </w:tc>
        <w:tc>
          <w:tcPr>
            <w:tcW w:w="6365" w:type="dxa"/>
          </w:tcPr>
          <w:p w:rsidR="00E16D75" w:rsidRPr="00A80451" w:rsidRDefault="00E16D75" w:rsidP="004B6C19">
            <w:pPr>
              <w:spacing w:after="0"/>
              <w:rPr>
                <w:lang w:val="en-US"/>
              </w:rPr>
            </w:pPr>
            <w:r w:rsidRPr="00927CF7">
              <w:rPr>
                <w:lang w:val="en-US"/>
              </w:rPr>
              <w:t>Codex Committee on Fish and Fishery Products</w:t>
            </w:r>
            <w:r>
              <w:rPr>
                <w:lang w:val="en-US"/>
              </w:rPr>
              <w:t xml:space="preserve"> </w:t>
            </w:r>
          </w:p>
        </w:tc>
      </w:tr>
      <w:tr w:rsidR="00E16D75" w:rsidRPr="00B75C62">
        <w:tc>
          <w:tcPr>
            <w:tcW w:w="2390" w:type="dxa"/>
          </w:tcPr>
          <w:p w:rsidR="00E16D75" w:rsidRPr="00D85203" w:rsidRDefault="00E16D75" w:rsidP="004B6C19">
            <w:pPr>
              <w:spacing w:after="0"/>
              <w:rPr>
                <w:lang w:val="en-US"/>
              </w:rPr>
            </w:pPr>
            <w:r>
              <w:rPr>
                <w:lang w:val="en-US"/>
              </w:rPr>
              <w:t>CCFFV</w:t>
            </w:r>
          </w:p>
        </w:tc>
        <w:tc>
          <w:tcPr>
            <w:tcW w:w="6365" w:type="dxa"/>
          </w:tcPr>
          <w:p w:rsidR="00E16D75" w:rsidRPr="00D85203" w:rsidRDefault="00E16D75" w:rsidP="004B6C19">
            <w:pPr>
              <w:spacing w:after="0"/>
              <w:rPr>
                <w:lang w:val="en-US"/>
              </w:rPr>
            </w:pPr>
            <w:r w:rsidRPr="00927CF7">
              <w:rPr>
                <w:lang w:val="en-US"/>
              </w:rPr>
              <w:t>Codex Committee on Fresh Fruits and Vegetables</w:t>
            </w:r>
            <w:r>
              <w:rPr>
                <w:lang w:val="en-US"/>
              </w:rPr>
              <w:t xml:space="preserve"> </w:t>
            </w:r>
          </w:p>
        </w:tc>
      </w:tr>
      <w:tr w:rsidR="00E16D75" w:rsidRPr="00B75C62">
        <w:tc>
          <w:tcPr>
            <w:tcW w:w="2390" w:type="dxa"/>
          </w:tcPr>
          <w:p w:rsidR="00E16D75" w:rsidRPr="00A80451" w:rsidRDefault="00E16D75" w:rsidP="004B6C19">
            <w:pPr>
              <w:spacing w:after="0"/>
              <w:rPr>
                <w:bCs/>
                <w:lang w:val="en-US"/>
              </w:rPr>
            </w:pPr>
            <w:r>
              <w:rPr>
                <w:lang w:val="en-US"/>
              </w:rPr>
              <w:t>CCFH</w:t>
            </w:r>
          </w:p>
        </w:tc>
        <w:tc>
          <w:tcPr>
            <w:tcW w:w="6365" w:type="dxa"/>
          </w:tcPr>
          <w:p w:rsidR="00E16D75" w:rsidRPr="00A80451" w:rsidRDefault="00E16D75" w:rsidP="004B6C19">
            <w:pPr>
              <w:spacing w:after="0"/>
              <w:rPr>
                <w:lang w:val="en-US"/>
              </w:rPr>
            </w:pPr>
            <w:r w:rsidRPr="00927CF7">
              <w:rPr>
                <w:lang w:val="en-US"/>
              </w:rPr>
              <w:t>Codex Committee on Food Hygiene</w:t>
            </w:r>
            <w:r>
              <w:rPr>
                <w:lang w:val="en-US"/>
              </w:rPr>
              <w:t xml:space="preserve"> </w:t>
            </w:r>
          </w:p>
        </w:tc>
      </w:tr>
      <w:tr w:rsidR="00E16D75" w:rsidRPr="00B75C62">
        <w:tc>
          <w:tcPr>
            <w:tcW w:w="2390" w:type="dxa"/>
          </w:tcPr>
          <w:p w:rsidR="00E16D75" w:rsidRPr="00A80451" w:rsidRDefault="00E16D75" w:rsidP="004B6C19">
            <w:pPr>
              <w:spacing w:after="0"/>
              <w:rPr>
                <w:bCs/>
                <w:lang w:val="en-US"/>
              </w:rPr>
            </w:pPr>
            <w:r>
              <w:rPr>
                <w:lang w:val="en-US"/>
              </w:rPr>
              <w:t>CCFICS</w:t>
            </w:r>
          </w:p>
        </w:tc>
        <w:tc>
          <w:tcPr>
            <w:tcW w:w="6365" w:type="dxa"/>
          </w:tcPr>
          <w:p w:rsidR="00E16D75" w:rsidRPr="00A80451" w:rsidRDefault="00E16D75" w:rsidP="004B6C19">
            <w:pPr>
              <w:spacing w:after="0"/>
              <w:rPr>
                <w:lang w:val="en-US"/>
              </w:rPr>
            </w:pPr>
            <w:r w:rsidRPr="00927CF7">
              <w:rPr>
                <w:lang w:val="en-US"/>
              </w:rPr>
              <w:t>Codex Committee on Food Import and Export Inspection and Certification Systems</w:t>
            </w:r>
            <w:r>
              <w:rPr>
                <w:lang w:val="en-US"/>
              </w:rPr>
              <w:t xml:space="preserve"> </w:t>
            </w:r>
          </w:p>
        </w:tc>
      </w:tr>
      <w:tr w:rsidR="00E16D75" w:rsidRPr="00B75C62">
        <w:tc>
          <w:tcPr>
            <w:tcW w:w="2390" w:type="dxa"/>
          </w:tcPr>
          <w:p w:rsidR="00E16D75" w:rsidRPr="00A80451" w:rsidRDefault="00E16D75" w:rsidP="004B6C19">
            <w:pPr>
              <w:spacing w:after="0"/>
              <w:rPr>
                <w:bCs/>
                <w:lang w:val="en-US"/>
              </w:rPr>
            </w:pPr>
            <w:r>
              <w:rPr>
                <w:lang w:val="en-US"/>
              </w:rPr>
              <w:t>CCFL</w:t>
            </w:r>
          </w:p>
        </w:tc>
        <w:tc>
          <w:tcPr>
            <w:tcW w:w="6365" w:type="dxa"/>
          </w:tcPr>
          <w:p w:rsidR="00E16D75" w:rsidRPr="00A80451" w:rsidRDefault="00E16D75" w:rsidP="004B6C19">
            <w:pPr>
              <w:spacing w:after="0"/>
              <w:rPr>
                <w:lang w:val="en-US"/>
              </w:rPr>
            </w:pPr>
            <w:r w:rsidRPr="00927CF7">
              <w:rPr>
                <w:lang w:val="en-US"/>
              </w:rPr>
              <w:t>Codex Committee on Food Labelling</w:t>
            </w:r>
            <w:r>
              <w:rPr>
                <w:lang w:val="en-US"/>
              </w:rPr>
              <w:t xml:space="preserve"> </w:t>
            </w:r>
          </w:p>
        </w:tc>
      </w:tr>
      <w:tr w:rsidR="00E16D75" w:rsidRPr="00B75C62">
        <w:tc>
          <w:tcPr>
            <w:tcW w:w="2390" w:type="dxa"/>
          </w:tcPr>
          <w:p w:rsidR="00E16D75" w:rsidRPr="00A80451" w:rsidRDefault="00E16D75" w:rsidP="004B6C19">
            <w:pPr>
              <w:spacing w:after="0"/>
              <w:rPr>
                <w:bCs/>
                <w:lang w:val="en-US"/>
              </w:rPr>
            </w:pPr>
            <w:r>
              <w:rPr>
                <w:lang w:val="en-US"/>
              </w:rPr>
              <w:t>CCGP</w:t>
            </w:r>
          </w:p>
        </w:tc>
        <w:tc>
          <w:tcPr>
            <w:tcW w:w="6365" w:type="dxa"/>
          </w:tcPr>
          <w:p w:rsidR="00E16D75" w:rsidRPr="00A80451" w:rsidRDefault="00E16D75" w:rsidP="004B6C19">
            <w:pPr>
              <w:spacing w:after="0"/>
              <w:rPr>
                <w:lang w:val="en-US"/>
              </w:rPr>
            </w:pPr>
            <w:r w:rsidRPr="00927CF7">
              <w:rPr>
                <w:lang w:val="en-US"/>
              </w:rPr>
              <w:t>Codex Committee on General Principles</w:t>
            </w:r>
            <w:r>
              <w:rPr>
                <w:lang w:val="en-US"/>
              </w:rPr>
              <w:t xml:space="preserve"> </w:t>
            </w:r>
          </w:p>
        </w:tc>
      </w:tr>
      <w:tr w:rsidR="00E16D75" w:rsidRPr="00B75C62">
        <w:tc>
          <w:tcPr>
            <w:tcW w:w="2390" w:type="dxa"/>
          </w:tcPr>
          <w:p w:rsidR="00E16D75" w:rsidRDefault="00E16D75" w:rsidP="004B6C19">
            <w:pPr>
              <w:spacing w:after="0"/>
              <w:rPr>
                <w:lang w:val="en-US"/>
              </w:rPr>
            </w:pPr>
            <w:r>
              <w:rPr>
                <w:lang w:val="en-US"/>
              </w:rPr>
              <w:t>CCNASWP</w:t>
            </w:r>
          </w:p>
        </w:tc>
        <w:tc>
          <w:tcPr>
            <w:tcW w:w="6365" w:type="dxa"/>
          </w:tcPr>
          <w:p w:rsidR="00E16D75" w:rsidRPr="00863EBF" w:rsidRDefault="00E16D75" w:rsidP="004B6C19">
            <w:pPr>
              <w:spacing w:after="0"/>
              <w:rPr>
                <w:lang w:val="en-GB"/>
              </w:rPr>
            </w:pPr>
            <w:r w:rsidRPr="00927CF7">
              <w:rPr>
                <w:lang w:val="en-US"/>
              </w:rPr>
              <w:t xml:space="preserve">FAO/WHO Coordinating Committee for </w:t>
            </w:r>
            <w:r w:rsidRPr="008A77A9">
              <w:rPr>
                <w:rFonts w:eastAsiaTheme="majorEastAsia"/>
                <w:sz w:val="22"/>
                <w:lang w:val="en-US"/>
              </w:rPr>
              <w:t>North America and South West Pacific</w:t>
            </w:r>
          </w:p>
        </w:tc>
      </w:tr>
      <w:tr w:rsidR="00E16D75" w:rsidRPr="00B75C62">
        <w:tc>
          <w:tcPr>
            <w:tcW w:w="2390" w:type="dxa"/>
          </w:tcPr>
          <w:p w:rsidR="00E16D75" w:rsidRPr="00A80451" w:rsidRDefault="00E16D75" w:rsidP="004B6C19">
            <w:pPr>
              <w:spacing w:after="0"/>
              <w:rPr>
                <w:bCs/>
                <w:lang w:val="en-US"/>
              </w:rPr>
            </w:pPr>
            <w:r>
              <w:rPr>
                <w:lang w:val="en-US"/>
              </w:rPr>
              <w:t>CCNFSDU</w:t>
            </w:r>
          </w:p>
        </w:tc>
        <w:tc>
          <w:tcPr>
            <w:tcW w:w="6365" w:type="dxa"/>
          </w:tcPr>
          <w:p w:rsidR="00E16D75" w:rsidRPr="00A80451" w:rsidRDefault="00E16D75" w:rsidP="004B6C19">
            <w:pPr>
              <w:spacing w:after="0"/>
              <w:rPr>
                <w:lang w:val="en-US"/>
              </w:rPr>
            </w:pPr>
            <w:r w:rsidRPr="00927CF7">
              <w:rPr>
                <w:lang w:val="en-US"/>
              </w:rPr>
              <w:t>Codex Committee on Nutrition and Foods for Special Dietary Uses</w:t>
            </w:r>
            <w:r>
              <w:rPr>
                <w:lang w:val="en-US"/>
              </w:rPr>
              <w:t xml:space="preserve"> </w:t>
            </w:r>
          </w:p>
        </w:tc>
      </w:tr>
      <w:tr w:rsidR="00E16D75" w:rsidRPr="00A80451">
        <w:tc>
          <w:tcPr>
            <w:tcW w:w="2390" w:type="dxa"/>
          </w:tcPr>
          <w:p w:rsidR="00E16D75" w:rsidRPr="00A80451" w:rsidRDefault="00E16D75" w:rsidP="004B6C19">
            <w:pPr>
              <w:spacing w:after="0"/>
              <w:rPr>
                <w:bCs/>
                <w:lang w:val="en-US"/>
              </w:rPr>
            </w:pPr>
            <w:r>
              <w:rPr>
                <w:bCs/>
                <w:lang w:val="en-US"/>
              </w:rPr>
              <w:t>CCP</w:t>
            </w:r>
          </w:p>
        </w:tc>
        <w:tc>
          <w:tcPr>
            <w:tcW w:w="6365" w:type="dxa"/>
          </w:tcPr>
          <w:p w:rsidR="00E16D75" w:rsidRPr="00A80451" w:rsidRDefault="00E16D75" w:rsidP="004B6C19">
            <w:pPr>
              <w:spacing w:after="0"/>
              <w:rPr>
                <w:lang w:val="en-US"/>
              </w:rPr>
            </w:pPr>
            <w:r>
              <w:rPr>
                <w:lang w:val="en-US"/>
              </w:rPr>
              <w:t>Codex Contact Point</w:t>
            </w:r>
          </w:p>
        </w:tc>
      </w:tr>
      <w:tr w:rsidR="00E16D75" w:rsidRPr="00A80451">
        <w:tc>
          <w:tcPr>
            <w:tcW w:w="2390" w:type="dxa"/>
          </w:tcPr>
          <w:p w:rsidR="00E16D75" w:rsidRPr="00A80451" w:rsidRDefault="00E16D75" w:rsidP="004B6C19">
            <w:pPr>
              <w:spacing w:after="0"/>
              <w:rPr>
                <w:bCs/>
                <w:lang w:val="en-US"/>
              </w:rPr>
            </w:pPr>
            <w:r w:rsidRPr="00E610C2">
              <w:rPr>
                <w:lang w:val="en-US"/>
              </w:rPr>
              <w:t>CCPR</w:t>
            </w:r>
          </w:p>
        </w:tc>
        <w:tc>
          <w:tcPr>
            <w:tcW w:w="6365" w:type="dxa"/>
          </w:tcPr>
          <w:p w:rsidR="00E16D75" w:rsidRPr="00A80451" w:rsidRDefault="00E16D75" w:rsidP="004B6C19">
            <w:pPr>
              <w:spacing w:after="0"/>
              <w:rPr>
                <w:lang w:val="en-US"/>
              </w:rPr>
            </w:pPr>
            <w:r>
              <w:rPr>
                <w:lang w:val="en-US"/>
              </w:rPr>
              <w:t>Codex Committee on Pesticide Residues</w:t>
            </w:r>
          </w:p>
        </w:tc>
      </w:tr>
      <w:tr w:rsidR="00E16D75" w:rsidRPr="00B75C62">
        <w:tc>
          <w:tcPr>
            <w:tcW w:w="2390" w:type="dxa"/>
          </w:tcPr>
          <w:p w:rsidR="00E16D75" w:rsidRPr="00A80451" w:rsidRDefault="00E16D75" w:rsidP="004B6C19">
            <w:pPr>
              <w:spacing w:after="0"/>
              <w:rPr>
                <w:bCs/>
                <w:lang w:val="en-US"/>
              </w:rPr>
            </w:pPr>
            <w:r>
              <w:rPr>
                <w:bCs/>
                <w:lang w:val="en-US"/>
              </w:rPr>
              <w:t>CTAA</w:t>
            </w:r>
          </w:p>
        </w:tc>
        <w:tc>
          <w:tcPr>
            <w:tcW w:w="6365" w:type="dxa"/>
          </w:tcPr>
          <w:p w:rsidR="00E16D75" w:rsidRPr="00B75C62" w:rsidRDefault="000207AC" w:rsidP="004B6C19">
            <w:pPr>
              <w:spacing w:after="0"/>
              <w:rPr>
                <w:lang w:val="fr-FR"/>
              </w:rPr>
            </w:pPr>
            <w:r w:rsidRPr="00B75C62">
              <w:rPr>
                <w:lang w:val="fr-FR"/>
              </w:rPr>
              <w:t>Centre Technique de l’Agro-Alimentaire</w:t>
            </w:r>
          </w:p>
        </w:tc>
      </w:tr>
      <w:tr w:rsidR="00E16D75" w:rsidRPr="00B75C62">
        <w:tc>
          <w:tcPr>
            <w:tcW w:w="2390" w:type="dxa"/>
          </w:tcPr>
          <w:p w:rsidR="00E16D75" w:rsidRPr="005F45C2" w:rsidRDefault="00E16D75" w:rsidP="004B6C19">
            <w:pPr>
              <w:spacing w:after="0"/>
            </w:pPr>
            <w:r>
              <w:t>CTF</w:t>
            </w:r>
          </w:p>
        </w:tc>
        <w:tc>
          <w:tcPr>
            <w:tcW w:w="6365" w:type="dxa"/>
          </w:tcPr>
          <w:p w:rsidR="00E16D75" w:rsidRPr="00A80451" w:rsidRDefault="00E16D75" w:rsidP="004B6C19">
            <w:pPr>
              <w:spacing w:after="0"/>
              <w:rPr>
                <w:lang w:val="en-US"/>
              </w:rPr>
            </w:pPr>
            <w:r>
              <w:rPr>
                <w:lang w:val="en-US"/>
              </w:rPr>
              <w:t>Codex Trust Fund (or formally the FAO/WHO Project and Fund for Enhanced Participation in Codex)</w:t>
            </w:r>
          </w:p>
        </w:tc>
      </w:tr>
      <w:tr w:rsidR="00E16D75" w:rsidRPr="00B75C62">
        <w:tc>
          <w:tcPr>
            <w:tcW w:w="2390" w:type="dxa"/>
          </w:tcPr>
          <w:p w:rsidR="00E16D75" w:rsidRDefault="00E16D75" w:rsidP="004B6C19">
            <w:pPr>
              <w:spacing w:after="0"/>
              <w:rPr>
                <w:lang w:val="en-US"/>
              </w:rPr>
            </w:pPr>
            <w:r>
              <w:rPr>
                <w:lang w:val="en-US"/>
              </w:rPr>
              <w:t>DFID</w:t>
            </w:r>
          </w:p>
        </w:tc>
        <w:tc>
          <w:tcPr>
            <w:tcW w:w="6365" w:type="dxa"/>
          </w:tcPr>
          <w:p w:rsidR="00E16D75" w:rsidRPr="00D85203" w:rsidRDefault="00E16D75" w:rsidP="004B6C19">
            <w:pPr>
              <w:spacing w:after="0"/>
              <w:rPr>
                <w:lang w:val="en-US"/>
              </w:rPr>
            </w:pPr>
            <w:r>
              <w:rPr>
                <w:lang w:val="en-US"/>
              </w:rPr>
              <w:t>Department for International Development (United Kingdom)</w:t>
            </w:r>
          </w:p>
        </w:tc>
      </w:tr>
      <w:tr w:rsidR="00E16D75" w:rsidRPr="00A80451">
        <w:tc>
          <w:tcPr>
            <w:tcW w:w="2390" w:type="dxa"/>
          </w:tcPr>
          <w:p w:rsidR="00E16D75" w:rsidRDefault="00E16D75" w:rsidP="004B6C19">
            <w:pPr>
              <w:spacing w:after="0"/>
              <w:rPr>
                <w:lang w:val="en-US"/>
              </w:rPr>
            </w:pPr>
            <w:r>
              <w:rPr>
                <w:lang w:val="en-US"/>
              </w:rPr>
              <w:t>EC</w:t>
            </w:r>
          </w:p>
        </w:tc>
        <w:tc>
          <w:tcPr>
            <w:tcW w:w="6365" w:type="dxa"/>
          </w:tcPr>
          <w:p w:rsidR="00E16D75" w:rsidRPr="00D85203" w:rsidRDefault="00E16D75" w:rsidP="004B6C19">
            <w:pPr>
              <w:spacing w:after="0"/>
              <w:rPr>
                <w:lang w:val="en-US"/>
              </w:rPr>
            </w:pPr>
            <w:r>
              <w:rPr>
                <w:lang w:val="en-US"/>
              </w:rPr>
              <w:t>European Community</w:t>
            </w:r>
          </w:p>
        </w:tc>
      </w:tr>
      <w:tr w:rsidR="00E16D75" w:rsidRPr="00A80451">
        <w:tc>
          <w:tcPr>
            <w:tcW w:w="2390" w:type="dxa"/>
          </w:tcPr>
          <w:p w:rsidR="00E16D75" w:rsidRPr="00A80451" w:rsidRDefault="00E16D75" w:rsidP="004B6C19">
            <w:pPr>
              <w:spacing w:after="0"/>
              <w:rPr>
                <w:bCs/>
                <w:lang w:val="en-US"/>
              </w:rPr>
            </w:pPr>
            <w:r>
              <w:rPr>
                <w:bCs/>
                <w:lang w:val="en-US"/>
              </w:rPr>
              <w:t>EU</w:t>
            </w:r>
          </w:p>
        </w:tc>
        <w:tc>
          <w:tcPr>
            <w:tcW w:w="6365" w:type="dxa"/>
          </w:tcPr>
          <w:p w:rsidR="00E16D75" w:rsidRPr="00A80451" w:rsidRDefault="00E16D75" w:rsidP="004B6C19">
            <w:pPr>
              <w:spacing w:after="0"/>
              <w:rPr>
                <w:lang w:val="en-US"/>
              </w:rPr>
            </w:pPr>
            <w:r>
              <w:rPr>
                <w:lang w:val="en-US"/>
              </w:rPr>
              <w:t>European Union</w:t>
            </w:r>
          </w:p>
        </w:tc>
      </w:tr>
      <w:tr w:rsidR="00027A1C" w:rsidRPr="00A80451">
        <w:tc>
          <w:tcPr>
            <w:tcW w:w="2390" w:type="dxa"/>
          </w:tcPr>
          <w:p w:rsidR="00027A1C" w:rsidRPr="004B6C19" w:rsidRDefault="00027A1C" w:rsidP="004B6C19">
            <w:pPr>
              <w:spacing w:after="0"/>
              <w:rPr>
                <w:szCs w:val="20"/>
              </w:rPr>
            </w:pPr>
            <w:r w:rsidRPr="004B6C19">
              <w:rPr>
                <w:szCs w:val="20"/>
              </w:rPr>
              <w:t>FAO</w:t>
            </w:r>
          </w:p>
        </w:tc>
        <w:tc>
          <w:tcPr>
            <w:tcW w:w="6365" w:type="dxa"/>
          </w:tcPr>
          <w:p w:rsidR="00027A1C" w:rsidRPr="004B6C19" w:rsidRDefault="00027A1C" w:rsidP="004B6C19">
            <w:pPr>
              <w:spacing w:after="0"/>
              <w:rPr>
                <w:szCs w:val="20"/>
                <w:lang w:val="en-US"/>
              </w:rPr>
            </w:pPr>
            <w:r w:rsidRPr="000207AC">
              <w:rPr>
                <w:rStyle w:val="Emphasis"/>
                <w:rFonts w:eastAsiaTheme="majorEastAsia"/>
                <w:i w:val="0"/>
                <w:szCs w:val="20"/>
                <w:lang w:val="en-US"/>
              </w:rPr>
              <w:t>Food and Agriculture Organization</w:t>
            </w:r>
            <w:r w:rsidRPr="004B6C19">
              <w:rPr>
                <w:szCs w:val="20"/>
                <w:lang w:val="en-US"/>
              </w:rPr>
              <w:t xml:space="preserve"> of the United Nations</w:t>
            </w:r>
          </w:p>
        </w:tc>
      </w:tr>
      <w:tr w:rsidR="00E16D75" w:rsidRPr="00B75C62">
        <w:tc>
          <w:tcPr>
            <w:tcW w:w="2390" w:type="dxa"/>
          </w:tcPr>
          <w:p w:rsidR="00E16D75" w:rsidRPr="00A80451" w:rsidRDefault="00E16D75" w:rsidP="004B6C19">
            <w:pPr>
              <w:spacing w:after="0"/>
              <w:rPr>
                <w:lang w:val="en-US"/>
              </w:rPr>
            </w:pPr>
            <w:r>
              <w:rPr>
                <w:lang w:val="en-US"/>
              </w:rPr>
              <w:t>FOS</w:t>
            </w:r>
          </w:p>
        </w:tc>
        <w:tc>
          <w:tcPr>
            <w:tcW w:w="6365" w:type="dxa"/>
          </w:tcPr>
          <w:p w:rsidR="00E16D75" w:rsidRPr="00A80451" w:rsidRDefault="00E16D75" w:rsidP="004B6C19">
            <w:pPr>
              <w:spacing w:after="0"/>
              <w:rPr>
                <w:lang w:val="en-US"/>
              </w:rPr>
            </w:pPr>
            <w:r>
              <w:rPr>
                <w:lang w:val="en-US"/>
              </w:rPr>
              <w:t>Department of Food Safety and Zoonoses (at WHO)</w:t>
            </w:r>
          </w:p>
        </w:tc>
      </w:tr>
      <w:tr w:rsidR="00E16D75" w:rsidRPr="00A80451">
        <w:tc>
          <w:tcPr>
            <w:tcW w:w="2390" w:type="dxa"/>
          </w:tcPr>
          <w:p w:rsidR="00E16D75" w:rsidRPr="00A80451" w:rsidRDefault="00E16D75" w:rsidP="004B6C19">
            <w:pPr>
              <w:spacing w:after="0"/>
              <w:rPr>
                <w:bCs/>
                <w:lang w:val="en-US"/>
              </w:rPr>
            </w:pPr>
            <w:r>
              <w:rPr>
                <w:bCs/>
                <w:lang w:val="en-US"/>
              </w:rPr>
              <w:t>GAP</w:t>
            </w:r>
          </w:p>
        </w:tc>
        <w:tc>
          <w:tcPr>
            <w:tcW w:w="6365" w:type="dxa"/>
          </w:tcPr>
          <w:p w:rsidR="00E16D75" w:rsidRPr="00A80451" w:rsidRDefault="00E16D75" w:rsidP="004B6C19">
            <w:pPr>
              <w:spacing w:after="0"/>
              <w:rPr>
                <w:lang w:val="en-US"/>
              </w:rPr>
            </w:pPr>
            <w:r>
              <w:t>Good Agricultural Practice</w:t>
            </w:r>
          </w:p>
        </w:tc>
      </w:tr>
      <w:tr w:rsidR="00E16D75" w:rsidRPr="00A80451">
        <w:tc>
          <w:tcPr>
            <w:tcW w:w="2390" w:type="dxa"/>
          </w:tcPr>
          <w:p w:rsidR="00E16D75" w:rsidRPr="00D85203" w:rsidRDefault="00E16D75" w:rsidP="004B6C19">
            <w:pPr>
              <w:spacing w:after="0"/>
              <w:rPr>
                <w:lang w:val="en-US"/>
              </w:rPr>
            </w:pPr>
            <w:r>
              <w:rPr>
                <w:lang w:val="en-US"/>
              </w:rPr>
              <w:t>GDP</w:t>
            </w:r>
          </w:p>
        </w:tc>
        <w:tc>
          <w:tcPr>
            <w:tcW w:w="6365" w:type="dxa"/>
          </w:tcPr>
          <w:p w:rsidR="00E16D75" w:rsidRPr="00D85203" w:rsidRDefault="00E16D75" w:rsidP="004B6C19">
            <w:pPr>
              <w:spacing w:after="0"/>
              <w:rPr>
                <w:lang w:val="en-US"/>
              </w:rPr>
            </w:pPr>
            <w:r>
              <w:rPr>
                <w:lang w:val="en-US"/>
              </w:rPr>
              <w:t>Gross Domestic Product</w:t>
            </w:r>
          </w:p>
        </w:tc>
      </w:tr>
      <w:tr w:rsidR="00E16D75" w:rsidRPr="00A80451">
        <w:tc>
          <w:tcPr>
            <w:tcW w:w="2390" w:type="dxa"/>
          </w:tcPr>
          <w:p w:rsidR="00E16D75" w:rsidRDefault="00E16D75" w:rsidP="004B6C19">
            <w:pPr>
              <w:spacing w:after="0"/>
              <w:rPr>
                <w:lang w:val="en-US"/>
              </w:rPr>
            </w:pPr>
            <w:r>
              <w:rPr>
                <w:lang w:val="en-US"/>
              </w:rPr>
              <w:t>GTZ</w:t>
            </w:r>
          </w:p>
        </w:tc>
        <w:tc>
          <w:tcPr>
            <w:tcW w:w="6365" w:type="dxa"/>
          </w:tcPr>
          <w:p w:rsidR="00E16D75" w:rsidRPr="00E16D75" w:rsidRDefault="00E16D75" w:rsidP="004B6C19">
            <w:pPr>
              <w:spacing w:after="0"/>
              <w:rPr>
                <w:lang w:val="en-US"/>
              </w:rPr>
            </w:pPr>
            <w:r w:rsidRPr="00E16D75">
              <w:rPr>
                <w:lang w:val="en-US"/>
              </w:rPr>
              <w:t>Deutsche Gesellschaft für Technische Zusammenarbeit</w:t>
            </w:r>
            <w:r>
              <w:rPr>
                <w:lang w:val="en-US"/>
              </w:rPr>
              <w:t xml:space="preserve"> (Germany)</w:t>
            </w:r>
          </w:p>
        </w:tc>
      </w:tr>
      <w:tr w:rsidR="00E16D75" w:rsidRPr="00B75C62">
        <w:tc>
          <w:tcPr>
            <w:tcW w:w="2390" w:type="dxa"/>
          </w:tcPr>
          <w:p w:rsidR="00E16D75" w:rsidRPr="00A80451" w:rsidRDefault="00E16D75" w:rsidP="004B6C19">
            <w:pPr>
              <w:spacing w:after="0"/>
              <w:rPr>
                <w:bCs/>
                <w:lang w:val="en-US"/>
              </w:rPr>
            </w:pPr>
            <w:r w:rsidRPr="00E610C2">
              <w:rPr>
                <w:szCs w:val="25"/>
                <w:lang w:val="en-US"/>
              </w:rPr>
              <w:t>HACCP</w:t>
            </w:r>
          </w:p>
        </w:tc>
        <w:tc>
          <w:tcPr>
            <w:tcW w:w="6365" w:type="dxa"/>
          </w:tcPr>
          <w:p w:rsidR="00E16D75" w:rsidRPr="00A80451" w:rsidRDefault="00E16D75" w:rsidP="004B6C19">
            <w:pPr>
              <w:spacing w:after="0"/>
              <w:rPr>
                <w:lang w:val="en-US"/>
              </w:rPr>
            </w:pPr>
            <w:r w:rsidRPr="00E610C2">
              <w:rPr>
                <w:szCs w:val="25"/>
                <w:lang w:val="en-US"/>
              </w:rPr>
              <w:t>Hazard Analysis Critical Control Point</w:t>
            </w:r>
          </w:p>
        </w:tc>
      </w:tr>
      <w:tr w:rsidR="00E16D75" w:rsidRPr="00B75C62">
        <w:tc>
          <w:tcPr>
            <w:tcW w:w="2390" w:type="dxa"/>
          </w:tcPr>
          <w:p w:rsidR="00E16D75" w:rsidRPr="00D85203" w:rsidRDefault="00E16D75" w:rsidP="004B6C19">
            <w:pPr>
              <w:spacing w:after="0"/>
              <w:rPr>
                <w:lang w:val="en-US"/>
              </w:rPr>
            </w:pPr>
            <w:r>
              <w:rPr>
                <w:lang w:val="en-US"/>
              </w:rPr>
              <w:t>IICA</w:t>
            </w:r>
          </w:p>
        </w:tc>
        <w:tc>
          <w:tcPr>
            <w:tcW w:w="6365" w:type="dxa"/>
          </w:tcPr>
          <w:p w:rsidR="00E16D75" w:rsidRPr="00D85203" w:rsidRDefault="00E16D75" w:rsidP="004B6C19">
            <w:pPr>
              <w:spacing w:after="0"/>
              <w:rPr>
                <w:lang w:val="en-US"/>
              </w:rPr>
            </w:pPr>
            <w:r w:rsidRPr="00863EBF">
              <w:rPr>
                <w:lang w:val="en-GB"/>
              </w:rPr>
              <w:t>Inter-American Institute for Cooperation on Agriculture</w:t>
            </w:r>
          </w:p>
        </w:tc>
      </w:tr>
      <w:tr w:rsidR="00E16D75" w:rsidRPr="00A80451">
        <w:tc>
          <w:tcPr>
            <w:tcW w:w="2390" w:type="dxa"/>
          </w:tcPr>
          <w:p w:rsidR="00E16D75" w:rsidRDefault="00E16D75" w:rsidP="004B6C19">
            <w:pPr>
              <w:spacing w:after="0"/>
              <w:rPr>
                <w:lang w:val="en-US"/>
              </w:rPr>
            </w:pPr>
            <w:r>
              <w:rPr>
                <w:lang w:val="en-US"/>
              </w:rPr>
              <w:t>IPPC</w:t>
            </w:r>
          </w:p>
        </w:tc>
        <w:tc>
          <w:tcPr>
            <w:tcW w:w="6365" w:type="dxa"/>
          </w:tcPr>
          <w:p w:rsidR="00E16D75" w:rsidRPr="00863EBF" w:rsidRDefault="00E16D75" w:rsidP="004B6C19">
            <w:pPr>
              <w:spacing w:after="0"/>
              <w:rPr>
                <w:lang w:val="en-GB"/>
              </w:rPr>
            </w:pPr>
            <w:r>
              <w:rPr>
                <w:lang w:val="en-GB"/>
              </w:rPr>
              <w:t>International Plant Protection Convention</w:t>
            </w:r>
          </w:p>
        </w:tc>
      </w:tr>
      <w:tr w:rsidR="00E16D75" w:rsidRPr="00B75C62">
        <w:tc>
          <w:tcPr>
            <w:tcW w:w="2390" w:type="dxa"/>
          </w:tcPr>
          <w:p w:rsidR="00E16D75" w:rsidRPr="00D85203" w:rsidRDefault="00E16D75" w:rsidP="004B6C19">
            <w:pPr>
              <w:spacing w:after="0"/>
              <w:rPr>
                <w:lang w:val="en-US"/>
              </w:rPr>
            </w:pPr>
            <w:r>
              <w:rPr>
                <w:lang w:val="en-US"/>
              </w:rPr>
              <w:t>JECFA</w:t>
            </w:r>
          </w:p>
        </w:tc>
        <w:tc>
          <w:tcPr>
            <w:tcW w:w="6365" w:type="dxa"/>
          </w:tcPr>
          <w:p w:rsidR="00E16D75" w:rsidRPr="00D85203" w:rsidRDefault="00E16D75" w:rsidP="004B6C19">
            <w:pPr>
              <w:spacing w:after="0"/>
              <w:rPr>
                <w:lang w:val="en-US"/>
              </w:rPr>
            </w:pPr>
            <w:r w:rsidRPr="00E16D75">
              <w:rPr>
                <w:lang w:val="en-US"/>
              </w:rPr>
              <w:t>Joint FAO/WHO Expert Committee on Food Additives</w:t>
            </w:r>
          </w:p>
        </w:tc>
      </w:tr>
      <w:tr w:rsidR="00E16D75" w:rsidRPr="00B75C62">
        <w:tc>
          <w:tcPr>
            <w:tcW w:w="2390" w:type="dxa"/>
          </w:tcPr>
          <w:p w:rsidR="00E16D75" w:rsidRPr="00D85203" w:rsidRDefault="00E16D75" w:rsidP="004B6C19">
            <w:pPr>
              <w:spacing w:after="0"/>
              <w:rPr>
                <w:lang w:val="en-US"/>
              </w:rPr>
            </w:pPr>
            <w:r>
              <w:rPr>
                <w:lang w:val="en-US"/>
              </w:rPr>
              <w:t>JEMRA</w:t>
            </w:r>
          </w:p>
        </w:tc>
        <w:tc>
          <w:tcPr>
            <w:tcW w:w="6365" w:type="dxa"/>
          </w:tcPr>
          <w:p w:rsidR="00E16D75" w:rsidRPr="00D85203" w:rsidRDefault="00E16D75" w:rsidP="004B6C19">
            <w:pPr>
              <w:spacing w:after="0"/>
              <w:rPr>
                <w:lang w:val="en-US"/>
              </w:rPr>
            </w:pPr>
            <w:r w:rsidRPr="00E16D75">
              <w:rPr>
                <w:lang w:val="en-US"/>
              </w:rPr>
              <w:t>Joint FAO/WHO Expert Meetings on Microbiological Risk Assessment</w:t>
            </w:r>
          </w:p>
        </w:tc>
      </w:tr>
      <w:tr w:rsidR="00E16D75" w:rsidRPr="00B75C62">
        <w:tc>
          <w:tcPr>
            <w:tcW w:w="2390" w:type="dxa"/>
          </w:tcPr>
          <w:p w:rsidR="00E16D75" w:rsidRPr="00A80451" w:rsidRDefault="00E16D75" w:rsidP="004B6C19">
            <w:pPr>
              <w:spacing w:after="0"/>
              <w:rPr>
                <w:bCs/>
                <w:lang w:val="en-US"/>
              </w:rPr>
            </w:pPr>
            <w:r>
              <w:rPr>
                <w:bCs/>
                <w:lang w:val="en-US"/>
              </w:rPr>
              <w:t>JFDA</w:t>
            </w:r>
          </w:p>
        </w:tc>
        <w:tc>
          <w:tcPr>
            <w:tcW w:w="6365" w:type="dxa"/>
          </w:tcPr>
          <w:p w:rsidR="00E16D75" w:rsidRPr="00A80451" w:rsidRDefault="00E16D75" w:rsidP="004B6C19">
            <w:pPr>
              <w:spacing w:after="0"/>
              <w:rPr>
                <w:lang w:val="en-US"/>
              </w:rPr>
            </w:pPr>
            <w:r w:rsidRPr="00231C30">
              <w:rPr>
                <w:lang w:val="en-US"/>
              </w:rPr>
              <w:t>Jordan Food and Drug Administration</w:t>
            </w:r>
          </w:p>
        </w:tc>
      </w:tr>
      <w:tr w:rsidR="00E16D75" w:rsidRPr="00B75C62">
        <w:tc>
          <w:tcPr>
            <w:tcW w:w="2390" w:type="dxa"/>
          </w:tcPr>
          <w:p w:rsidR="00E16D75" w:rsidRPr="00A80451" w:rsidRDefault="00E16D75" w:rsidP="004B6C19">
            <w:pPr>
              <w:spacing w:after="0"/>
              <w:rPr>
                <w:bCs/>
                <w:lang w:val="en-US"/>
              </w:rPr>
            </w:pPr>
            <w:r w:rsidRPr="00117572">
              <w:rPr>
                <w:lang w:val="en-US"/>
              </w:rPr>
              <w:t>JISM</w:t>
            </w:r>
          </w:p>
        </w:tc>
        <w:tc>
          <w:tcPr>
            <w:tcW w:w="6365" w:type="dxa"/>
          </w:tcPr>
          <w:p w:rsidR="00E16D75" w:rsidRPr="00A80451" w:rsidRDefault="00E16D75" w:rsidP="004B6C19">
            <w:pPr>
              <w:spacing w:after="0"/>
              <w:rPr>
                <w:lang w:val="en-US"/>
              </w:rPr>
            </w:pPr>
            <w:r w:rsidRPr="00231C30">
              <w:rPr>
                <w:lang w:val="en-GB"/>
              </w:rPr>
              <w:t>Jordan Institut</w:t>
            </w:r>
            <w:r>
              <w:rPr>
                <w:lang w:val="en-GB"/>
              </w:rPr>
              <w:t>e</w:t>
            </w:r>
            <w:r w:rsidRPr="00231C30">
              <w:rPr>
                <w:lang w:val="en-GB"/>
              </w:rPr>
              <w:t xml:space="preserve"> for Standards and Metrology</w:t>
            </w:r>
          </w:p>
        </w:tc>
      </w:tr>
      <w:tr w:rsidR="00E16D75" w:rsidRPr="00B75C62">
        <w:tc>
          <w:tcPr>
            <w:tcW w:w="2390" w:type="dxa"/>
          </w:tcPr>
          <w:p w:rsidR="00E16D75" w:rsidRPr="00A80451" w:rsidRDefault="00E16D75" w:rsidP="004B6C19">
            <w:pPr>
              <w:spacing w:after="0"/>
              <w:rPr>
                <w:bCs/>
                <w:lang w:val="en-US"/>
              </w:rPr>
            </w:pPr>
            <w:r>
              <w:rPr>
                <w:bCs/>
                <w:lang w:val="en-US"/>
              </w:rPr>
              <w:t>LAC</w:t>
            </w:r>
          </w:p>
        </w:tc>
        <w:tc>
          <w:tcPr>
            <w:tcW w:w="6365" w:type="dxa"/>
          </w:tcPr>
          <w:p w:rsidR="00E16D75" w:rsidRPr="00A80451" w:rsidRDefault="00E16D75" w:rsidP="004B6C19">
            <w:pPr>
              <w:spacing w:after="0"/>
              <w:rPr>
                <w:lang w:val="en-US"/>
              </w:rPr>
            </w:pPr>
            <w:r>
              <w:rPr>
                <w:lang w:val="en-US"/>
              </w:rPr>
              <w:t xml:space="preserve">Latin America and the Caribbean </w:t>
            </w:r>
          </w:p>
        </w:tc>
      </w:tr>
      <w:tr w:rsidR="00E16D75">
        <w:tc>
          <w:tcPr>
            <w:tcW w:w="2390" w:type="dxa"/>
          </w:tcPr>
          <w:p w:rsidR="00E16D75" w:rsidRPr="005F45C2" w:rsidRDefault="00E16D75" w:rsidP="004B6C19">
            <w:pPr>
              <w:spacing w:after="0"/>
            </w:pPr>
            <w:r>
              <w:t>LDC</w:t>
            </w:r>
          </w:p>
        </w:tc>
        <w:tc>
          <w:tcPr>
            <w:tcW w:w="6365" w:type="dxa"/>
          </w:tcPr>
          <w:p w:rsidR="00E16D75" w:rsidRPr="005F45C2" w:rsidRDefault="00E16D75" w:rsidP="004B6C19">
            <w:pPr>
              <w:spacing w:after="0"/>
            </w:pPr>
            <w:r>
              <w:t>Least-developed country</w:t>
            </w:r>
          </w:p>
        </w:tc>
      </w:tr>
      <w:tr w:rsidR="00E16D75" w:rsidRPr="00A80451">
        <w:tc>
          <w:tcPr>
            <w:tcW w:w="2390" w:type="dxa"/>
          </w:tcPr>
          <w:p w:rsidR="00E16D75" w:rsidRDefault="00E16D75" w:rsidP="004B6C19">
            <w:pPr>
              <w:spacing w:after="0"/>
              <w:rPr>
                <w:lang w:val="en-US"/>
              </w:rPr>
            </w:pPr>
            <w:r>
              <w:rPr>
                <w:lang w:val="en-US"/>
              </w:rPr>
              <w:t>LHD</w:t>
            </w:r>
          </w:p>
        </w:tc>
        <w:tc>
          <w:tcPr>
            <w:tcW w:w="6365" w:type="dxa"/>
          </w:tcPr>
          <w:p w:rsidR="00E16D75" w:rsidRPr="00D85203" w:rsidRDefault="00E16D75" w:rsidP="004B6C19">
            <w:pPr>
              <w:spacing w:after="0"/>
              <w:rPr>
                <w:lang w:val="en-US"/>
              </w:rPr>
            </w:pPr>
            <w:r>
              <w:rPr>
                <w:lang w:val="en-US"/>
              </w:rPr>
              <w:t>Low human development country</w:t>
            </w:r>
          </w:p>
        </w:tc>
      </w:tr>
      <w:tr w:rsidR="00E16D75" w:rsidRPr="00A80451">
        <w:tc>
          <w:tcPr>
            <w:tcW w:w="2390" w:type="dxa"/>
          </w:tcPr>
          <w:p w:rsidR="00E16D75" w:rsidRDefault="00E16D75" w:rsidP="004B6C19">
            <w:pPr>
              <w:spacing w:after="0"/>
              <w:rPr>
                <w:lang w:val="en-US"/>
              </w:rPr>
            </w:pPr>
            <w:r>
              <w:rPr>
                <w:lang w:val="en-US"/>
              </w:rPr>
              <w:t>LIC</w:t>
            </w:r>
          </w:p>
        </w:tc>
        <w:tc>
          <w:tcPr>
            <w:tcW w:w="6365" w:type="dxa"/>
          </w:tcPr>
          <w:p w:rsidR="00E16D75" w:rsidRPr="00D85203" w:rsidRDefault="00E16D75" w:rsidP="004B6C19">
            <w:pPr>
              <w:spacing w:after="0"/>
              <w:rPr>
                <w:lang w:val="en-US"/>
              </w:rPr>
            </w:pPr>
            <w:r>
              <w:rPr>
                <w:lang w:val="en-US"/>
              </w:rPr>
              <w:t>Low-income country</w:t>
            </w:r>
          </w:p>
        </w:tc>
      </w:tr>
      <w:tr w:rsidR="00E16D75" w:rsidRPr="00A80451">
        <w:tc>
          <w:tcPr>
            <w:tcW w:w="2390" w:type="dxa"/>
          </w:tcPr>
          <w:p w:rsidR="00E16D75" w:rsidRDefault="00E16D75" w:rsidP="004B6C19">
            <w:pPr>
              <w:spacing w:after="0"/>
              <w:rPr>
                <w:lang w:val="en-US"/>
              </w:rPr>
            </w:pPr>
            <w:r>
              <w:rPr>
                <w:lang w:val="en-US"/>
              </w:rPr>
              <w:t>LMC</w:t>
            </w:r>
          </w:p>
        </w:tc>
        <w:tc>
          <w:tcPr>
            <w:tcW w:w="6365" w:type="dxa"/>
          </w:tcPr>
          <w:p w:rsidR="00E16D75" w:rsidRPr="00D85203" w:rsidRDefault="00E16D75" w:rsidP="004B6C19">
            <w:pPr>
              <w:spacing w:after="0"/>
              <w:rPr>
                <w:lang w:val="en-US"/>
              </w:rPr>
            </w:pPr>
            <w:r>
              <w:rPr>
                <w:lang w:val="en-US"/>
              </w:rPr>
              <w:t>Lower middle income country</w:t>
            </w:r>
          </w:p>
        </w:tc>
      </w:tr>
      <w:tr w:rsidR="00E16D75" w:rsidRPr="00A80451">
        <w:tc>
          <w:tcPr>
            <w:tcW w:w="2390" w:type="dxa"/>
          </w:tcPr>
          <w:p w:rsidR="00E16D75" w:rsidRPr="00A80451" w:rsidRDefault="00E16D75" w:rsidP="004B6C19">
            <w:pPr>
              <w:spacing w:after="0"/>
              <w:rPr>
                <w:bCs/>
                <w:lang w:val="en-US"/>
              </w:rPr>
            </w:pPr>
            <w:r>
              <w:rPr>
                <w:bCs/>
                <w:lang w:val="en-US"/>
              </w:rPr>
              <w:t>MBS</w:t>
            </w:r>
          </w:p>
        </w:tc>
        <w:tc>
          <w:tcPr>
            <w:tcW w:w="6365" w:type="dxa"/>
          </w:tcPr>
          <w:p w:rsidR="00E16D75" w:rsidRPr="00A80451" w:rsidRDefault="00E16D75" w:rsidP="004B6C19">
            <w:pPr>
              <w:spacing w:after="0"/>
              <w:rPr>
                <w:lang w:val="en-US"/>
              </w:rPr>
            </w:pPr>
            <w:r w:rsidRPr="00E610C2">
              <w:rPr>
                <w:lang w:val="en-US"/>
              </w:rPr>
              <w:t>Malawi Bureau of Standards</w:t>
            </w:r>
          </w:p>
        </w:tc>
      </w:tr>
      <w:tr w:rsidR="00E16D75" w:rsidRPr="00A80451">
        <w:tc>
          <w:tcPr>
            <w:tcW w:w="2390" w:type="dxa"/>
          </w:tcPr>
          <w:p w:rsidR="00E16D75" w:rsidRDefault="00E16D75" w:rsidP="004B6C19">
            <w:pPr>
              <w:spacing w:after="0"/>
              <w:rPr>
                <w:lang w:val="en-US"/>
              </w:rPr>
            </w:pPr>
            <w:r>
              <w:rPr>
                <w:lang w:val="en-US"/>
              </w:rPr>
              <w:t>MHD</w:t>
            </w:r>
          </w:p>
        </w:tc>
        <w:tc>
          <w:tcPr>
            <w:tcW w:w="6365" w:type="dxa"/>
          </w:tcPr>
          <w:p w:rsidR="00E16D75" w:rsidRPr="00D85203" w:rsidRDefault="00E16D75" w:rsidP="004B6C19">
            <w:pPr>
              <w:spacing w:after="0"/>
              <w:rPr>
                <w:lang w:val="en-US"/>
              </w:rPr>
            </w:pPr>
            <w:r>
              <w:rPr>
                <w:lang w:val="en-US"/>
              </w:rPr>
              <w:t>Medium human development country</w:t>
            </w:r>
          </w:p>
        </w:tc>
      </w:tr>
      <w:tr w:rsidR="00E16D75" w:rsidRPr="00A80451">
        <w:tc>
          <w:tcPr>
            <w:tcW w:w="2390" w:type="dxa"/>
          </w:tcPr>
          <w:p w:rsidR="00E16D75" w:rsidRPr="00A80451" w:rsidRDefault="00E16D75" w:rsidP="004B6C19">
            <w:pPr>
              <w:spacing w:after="0"/>
              <w:rPr>
                <w:bCs/>
                <w:lang w:val="en-US"/>
              </w:rPr>
            </w:pPr>
            <w:r>
              <w:rPr>
                <w:bCs/>
                <w:lang w:val="en-US"/>
              </w:rPr>
              <w:t>MOU</w:t>
            </w:r>
          </w:p>
        </w:tc>
        <w:tc>
          <w:tcPr>
            <w:tcW w:w="6365" w:type="dxa"/>
          </w:tcPr>
          <w:p w:rsidR="00E16D75" w:rsidRPr="00A80451" w:rsidRDefault="00E16D75" w:rsidP="004B6C19">
            <w:pPr>
              <w:spacing w:after="0"/>
              <w:rPr>
                <w:lang w:val="en-US"/>
              </w:rPr>
            </w:pPr>
            <w:r>
              <w:rPr>
                <w:lang w:val="en-US"/>
              </w:rPr>
              <w:t>Memorandum of Understanding</w:t>
            </w:r>
          </w:p>
        </w:tc>
      </w:tr>
      <w:tr w:rsidR="00E16D75" w:rsidRPr="00A80451">
        <w:tc>
          <w:tcPr>
            <w:tcW w:w="2390" w:type="dxa"/>
          </w:tcPr>
          <w:p w:rsidR="00E16D75" w:rsidRPr="00A80451" w:rsidRDefault="00E16D75" w:rsidP="004B6C19">
            <w:pPr>
              <w:spacing w:after="0"/>
              <w:rPr>
                <w:bCs/>
                <w:lang w:val="en-US"/>
              </w:rPr>
            </w:pPr>
            <w:r>
              <w:rPr>
                <w:bCs/>
                <w:lang w:val="en-US"/>
              </w:rPr>
              <w:t>MRL</w:t>
            </w:r>
          </w:p>
        </w:tc>
        <w:tc>
          <w:tcPr>
            <w:tcW w:w="6365" w:type="dxa"/>
          </w:tcPr>
          <w:p w:rsidR="00E16D75" w:rsidRPr="00A80451" w:rsidRDefault="00E16D75" w:rsidP="004B6C19">
            <w:pPr>
              <w:spacing w:after="0"/>
              <w:rPr>
                <w:lang w:val="en-US"/>
              </w:rPr>
            </w:pPr>
            <w:r>
              <w:rPr>
                <w:lang w:val="en-US"/>
              </w:rPr>
              <w:t>Minimum residue levels</w:t>
            </w:r>
          </w:p>
        </w:tc>
      </w:tr>
      <w:tr w:rsidR="00E16D75" w:rsidRPr="00A80451">
        <w:tc>
          <w:tcPr>
            <w:tcW w:w="2390" w:type="dxa"/>
          </w:tcPr>
          <w:p w:rsidR="00E16D75" w:rsidRPr="00A80451" w:rsidRDefault="00E16D75" w:rsidP="004B6C19">
            <w:pPr>
              <w:spacing w:after="0"/>
              <w:rPr>
                <w:bCs/>
                <w:lang w:val="en-US"/>
              </w:rPr>
            </w:pPr>
            <w:r>
              <w:rPr>
                <w:bCs/>
                <w:lang w:val="en-US"/>
              </w:rPr>
              <w:t>NCC</w:t>
            </w:r>
          </w:p>
        </w:tc>
        <w:tc>
          <w:tcPr>
            <w:tcW w:w="6365" w:type="dxa"/>
          </w:tcPr>
          <w:p w:rsidR="00E16D75" w:rsidRPr="00A80451" w:rsidRDefault="00E16D75" w:rsidP="004B6C19">
            <w:pPr>
              <w:spacing w:after="0"/>
              <w:rPr>
                <w:lang w:val="en-US"/>
              </w:rPr>
            </w:pPr>
            <w:r>
              <w:rPr>
                <w:lang w:val="en-US"/>
              </w:rPr>
              <w:t>National Codex Committee</w:t>
            </w:r>
          </w:p>
        </w:tc>
      </w:tr>
      <w:tr w:rsidR="00E16D75" w:rsidRPr="00B75C62">
        <w:tc>
          <w:tcPr>
            <w:tcW w:w="2390" w:type="dxa"/>
          </w:tcPr>
          <w:p w:rsidR="00E16D75" w:rsidRPr="00A80451" w:rsidRDefault="00E16D75" w:rsidP="004B6C19">
            <w:pPr>
              <w:spacing w:after="0"/>
              <w:rPr>
                <w:bCs/>
                <w:lang w:val="en-US"/>
              </w:rPr>
            </w:pPr>
            <w:r w:rsidRPr="00E610C2">
              <w:rPr>
                <w:lang w:val="en-US"/>
              </w:rPr>
              <w:t>NSCP</w:t>
            </w:r>
          </w:p>
        </w:tc>
        <w:tc>
          <w:tcPr>
            <w:tcW w:w="6365" w:type="dxa"/>
          </w:tcPr>
          <w:p w:rsidR="00E16D75" w:rsidRPr="00A80451" w:rsidRDefault="00E16D75" w:rsidP="004B6C19">
            <w:pPr>
              <w:spacing w:after="0"/>
              <w:rPr>
                <w:lang w:val="en-US"/>
              </w:rPr>
            </w:pPr>
            <w:r w:rsidRPr="00231C30">
              <w:rPr>
                <w:lang w:val="en-US"/>
              </w:rPr>
              <w:t>National Society for Consumer Protection</w:t>
            </w:r>
            <w:r>
              <w:rPr>
                <w:lang w:val="en-US"/>
              </w:rPr>
              <w:t xml:space="preserve"> (Jordan)</w:t>
            </w:r>
          </w:p>
        </w:tc>
      </w:tr>
      <w:tr w:rsidR="00E16D75" w:rsidRPr="00B75C62">
        <w:tc>
          <w:tcPr>
            <w:tcW w:w="2390" w:type="dxa"/>
          </w:tcPr>
          <w:p w:rsidR="00E16D75" w:rsidRDefault="00E16D75" w:rsidP="004B6C19">
            <w:pPr>
              <w:spacing w:after="0"/>
              <w:rPr>
                <w:lang w:val="en-US"/>
              </w:rPr>
            </w:pPr>
            <w:r>
              <w:rPr>
                <w:lang w:val="en-US"/>
              </w:rPr>
              <w:t>OIE</w:t>
            </w:r>
          </w:p>
        </w:tc>
        <w:tc>
          <w:tcPr>
            <w:tcW w:w="6365" w:type="dxa"/>
          </w:tcPr>
          <w:p w:rsidR="00E16D75" w:rsidRPr="00863EBF" w:rsidRDefault="00E16D75" w:rsidP="004B6C19">
            <w:pPr>
              <w:spacing w:after="0"/>
              <w:rPr>
                <w:lang w:val="en-GB"/>
              </w:rPr>
            </w:pPr>
            <w:r>
              <w:rPr>
                <w:lang w:val="en-GB"/>
              </w:rPr>
              <w:t>World organisation for animal health</w:t>
            </w:r>
          </w:p>
        </w:tc>
      </w:tr>
      <w:tr w:rsidR="00E16D75" w:rsidRPr="00B75C62">
        <w:tc>
          <w:tcPr>
            <w:tcW w:w="2390" w:type="dxa"/>
          </w:tcPr>
          <w:p w:rsidR="00E16D75" w:rsidRDefault="00E16D75" w:rsidP="004B6C19">
            <w:pPr>
              <w:spacing w:after="0"/>
              <w:rPr>
                <w:lang w:val="en-US"/>
              </w:rPr>
            </w:pPr>
            <w:r>
              <w:rPr>
                <w:lang w:val="en-US"/>
              </w:rPr>
              <w:t>PAN-SPSO</w:t>
            </w:r>
          </w:p>
        </w:tc>
        <w:tc>
          <w:tcPr>
            <w:tcW w:w="6365" w:type="dxa"/>
          </w:tcPr>
          <w:p w:rsidR="00E16D75" w:rsidRPr="00863EBF" w:rsidRDefault="00E16D75" w:rsidP="004B6C19">
            <w:pPr>
              <w:spacing w:after="0"/>
              <w:rPr>
                <w:lang w:val="en-GB"/>
              </w:rPr>
            </w:pPr>
            <w:r w:rsidRPr="00C02113">
              <w:rPr>
                <w:lang w:val="en-GB"/>
              </w:rPr>
              <w:t xml:space="preserve">Participation of African </w:t>
            </w:r>
            <w:r>
              <w:rPr>
                <w:lang w:val="en-GB"/>
              </w:rPr>
              <w:t xml:space="preserve">Nations in Sanitary and Phytosanitary Standard-setting </w:t>
            </w:r>
            <w:r>
              <w:rPr>
                <w:lang w:val="en-GB"/>
              </w:rPr>
              <w:lastRenderedPageBreak/>
              <w:t>Organisations</w:t>
            </w:r>
          </w:p>
        </w:tc>
      </w:tr>
      <w:tr w:rsidR="00E16D75" w:rsidRPr="00B75C62">
        <w:tc>
          <w:tcPr>
            <w:tcW w:w="2390" w:type="dxa"/>
          </w:tcPr>
          <w:p w:rsidR="00E16D75" w:rsidRDefault="00E16D75" w:rsidP="004B6C19">
            <w:pPr>
              <w:spacing w:after="0"/>
              <w:rPr>
                <w:lang w:val="en-US"/>
              </w:rPr>
            </w:pPr>
            <w:r>
              <w:rPr>
                <w:lang w:val="en-GB"/>
              </w:rPr>
              <w:lastRenderedPageBreak/>
              <w:t>PSC</w:t>
            </w:r>
          </w:p>
        </w:tc>
        <w:tc>
          <w:tcPr>
            <w:tcW w:w="6365" w:type="dxa"/>
          </w:tcPr>
          <w:p w:rsidR="00E16D75" w:rsidRPr="00863EBF" w:rsidRDefault="00E16D75" w:rsidP="004B6C19">
            <w:pPr>
              <w:spacing w:after="0"/>
              <w:rPr>
                <w:lang w:val="en-GB"/>
              </w:rPr>
            </w:pPr>
            <w:r>
              <w:rPr>
                <w:lang w:val="en-GB"/>
              </w:rPr>
              <w:t>Programme support costs (in WHO)</w:t>
            </w:r>
          </w:p>
        </w:tc>
      </w:tr>
      <w:tr w:rsidR="00E16D75" w:rsidRPr="00A80451">
        <w:tc>
          <w:tcPr>
            <w:tcW w:w="2390" w:type="dxa"/>
          </w:tcPr>
          <w:p w:rsidR="00E16D75" w:rsidRPr="00A80451" w:rsidRDefault="00E16D75" w:rsidP="004B6C19">
            <w:pPr>
              <w:spacing w:after="0"/>
              <w:rPr>
                <w:bCs/>
                <w:lang w:val="en-US"/>
              </w:rPr>
            </w:pPr>
            <w:r>
              <w:rPr>
                <w:bCs/>
                <w:lang w:val="en-US"/>
              </w:rPr>
              <w:t>R&amp;D</w:t>
            </w:r>
          </w:p>
        </w:tc>
        <w:tc>
          <w:tcPr>
            <w:tcW w:w="6365" w:type="dxa"/>
          </w:tcPr>
          <w:p w:rsidR="00E16D75" w:rsidRPr="00A80451" w:rsidRDefault="00E16D75" w:rsidP="004B6C19">
            <w:pPr>
              <w:spacing w:after="0"/>
              <w:rPr>
                <w:lang w:val="en-US"/>
              </w:rPr>
            </w:pPr>
            <w:r>
              <w:rPr>
                <w:lang w:val="en-US"/>
              </w:rPr>
              <w:t>Research and development</w:t>
            </w:r>
          </w:p>
        </w:tc>
      </w:tr>
      <w:tr w:rsidR="00E16D75" w:rsidRPr="00B75C62">
        <w:tc>
          <w:tcPr>
            <w:tcW w:w="2390" w:type="dxa"/>
          </w:tcPr>
          <w:p w:rsidR="00E16D75" w:rsidRDefault="00E16D75" w:rsidP="004B6C19">
            <w:pPr>
              <w:spacing w:after="0"/>
              <w:rPr>
                <w:lang w:val="en-US"/>
              </w:rPr>
            </w:pPr>
            <w:r>
              <w:rPr>
                <w:lang w:val="en-US"/>
              </w:rPr>
              <w:t>SACAU</w:t>
            </w:r>
          </w:p>
        </w:tc>
        <w:tc>
          <w:tcPr>
            <w:tcW w:w="6365" w:type="dxa"/>
          </w:tcPr>
          <w:p w:rsidR="00E16D75" w:rsidRPr="00D85203" w:rsidRDefault="00E16D75" w:rsidP="004B6C19">
            <w:pPr>
              <w:spacing w:after="0"/>
              <w:rPr>
                <w:lang w:val="en-US"/>
              </w:rPr>
            </w:pPr>
            <w:r w:rsidRPr="006B3E85">
              <w:rPr>
                <w:lang w:val="en-GB"/>
              </w:rPr>
              <w:t>Southern African Confederation of Agricultural Unions</w:t>
            </w:r>
          </w:p>
        </w:tc>
      </w:tr>
      <w:tr w:rsidR="00E16D75" w:rsidRPr="00B75C62">
        <w:tc>
          <w:tcPr>
            <w:tcW w:w="2390" w:type="dxa"/>
          </w:tcPr>
          <w:p w:rsidR="00E16D75" w:rsidRPr="00A80451" w:rsidRDefault="00E16D75" w:rsidP="004B6C19">
            <w:pPr>
              <w:spacing w:after="0"/>
              <w:rPr>
                <w:bCs/>
                <w:lang w:val="en-US"/>
              </w:rPr>
            </w:pPr>
            <w:r>
              <w:rPr>
                <w:bCs/>
                <w:lang w:val="en-US"/>
              </w:rPr>
              <w:t>Sida</w:t>
            </w:r>
          </w:p>
        </w:tc>
        <w:tc>
          <w:tcPr>
            <w:tcW w:w="6365" w:type="dxa"/>
          </w:tcPr>
          <w:p w:rsidR="00E16D75" w:rsidRPr="00A80451" w:rsidRDefault="00E16D75" w:rsidP="004B6C19">
            <w:pPr>
              <w:spacing w:after="0"/>
              <w:rPr>
                <w:lang w:val="en-US"/>
              </w:rPr>
            </w:pPr>
            <w:r>
              <w:rPr>
                <w:lang w:val="en-US"/>
              </w:rPr>
              <w:t>Swedish International Development Cooperation Agency</w:t>
            </w:r>
          </w:p>
        </w:tc>
      </w:tr>
      <w:tr w:rsidR="00E16D75" w:rsidRPr="00A80451">
        <w:tc>
          <w:tcPr>
            <w:tcW w:w="2390" w:type="dxa"/>
          </w:tcPr>
          <w:p w:rsidR="00E16D75" w:rsidRPr="00A80451" w:rsidRDefault="00E16D75" w:rsidP="004B6C19">
            <w:pPr>
              <w:spacing w:after="0"/>
              <w:rPr>
                <w:bCs/>
                <w:lang w:val="en-US"/>
              </w:rPr>
            </w:pPr>
            <w:r>
              <w:rPr>
                <w:bCs/>
                <w:lang w:val="en-US"/>
              </w:rPr>
              <w:t>SPS</w:t>
            </w:r>
          </w:p>
        </w:tc>
        <w:tc>
          <w:tcPr>
            <w:tcW w:w="6365" w:type="dxa"/>
          </w:tcPr>
          <w:p w:rsidR="00E16D75" w:rsidRPr="00A80451" w:rsidRDefault="00E16D75" w:rsidP="004B6C19">
            <w:pPr>
              <w:spacing w:after="0"/>
              <w:rPr>
                <w:lang w:val="en-US"/>
              </w:rPr>
            </w:pPr>
            <w:r w:rsidRPr="00E610C2">
              <w:rPr>
                <w:lang w:val="en-US"/>
              </w:rPr>
              <w:t>Sanitary and phytosanitary measures</w:t>
            </w:r>
          </w:p>
        </w:tc>
      </w:tr>
      <w:tr w:rsidR="00E16D75" w:rsidRPr="00B75C62">
        <w:tc>
          <w:tcPr>
            <w:tcW w:w="2390" w:type="dxa"/>
          </w:tcPr>
          <w:p w:rsidR="00E16D75" w:rsidRDefault="00E16D75" w:rsidP="004B6C19">
            <w:pPr>
              <w:spacing w:after="0"/>
              <w:rPr>
                <w:lang w:val="en-US"/>
              </w:rPr>
            </w:pPr>
            <w:r>
              <w:rPr>
                <w:lang w:val="en-US"/>
              </w:rPr>
              <w:t>STDF</w:t>
            </w:r>
          </w:p>
        </w:tc>
        <w:tc>
          <w:tcPr>
            <w:tcW w:w="6365" w:type="dxa"/>
          </w:tcPr>
          <w:p w:rsidR="00E16D75" w:rsidRPr="00863EBF" w:rsidRDefault="00E16D75" w:rsidP="004B6C19">
            <w:pPr>
              <w:spacing w:after="0"/>
              <w:rPr>
                <w:lang w:val="en-GB"/>
              </w:rPr>
            </w:pPr>
            <w:r w:rsidRPr="001F0172">
              <w:rPr>
                <w:lang w:val="en-GB"/>
              </w:rPr>
              <w:t>Standards and Trade Development Facility</w:t>
            </w:r>
          </w:p>
        </w:tc>
      </w:tr>
      <w:tr w:rsidR="00E16D75" w:rsidRPr="00A80451">
        <w:tc>
          <w:tcPr>
            <w:tcW w:w="2390" w:type="dxa"/>
          </w:tcPr>
          <w:p w:rsidR="00E16D75" w:rsidRPr="008A77A9" w:rsidRDefault="00E16D75" w:rsidP="004B6C19">
            <w:pPr>
              <w:spacing w:after="0"/>
              <w:rPr>
                <w:bCs/>
              </w:rPr>
            </w:pPr>
            <w:r>
              <w:rPr>
                <w:bCs/>
                <w:lang w:val="en-US"/>
              </w:rPr>
              <w:t>SWP</w:t>
            </w:r>
          </w:p>
        </w:tc>
        <w:tc>
          <w:tcPr>
            <w:tcW w:w="6365" w:type="dxa"/>
          </w:tcPr>
          <w:p w:rsidR="00E16D75" w:rsidRPr="00A80451" w:rsidRDefault="00E16D75" w:rsidP="004B6C19">
            <w:pPr>
              <w:spacing w:after="0"/>
              <w:rPr>
                <w:lang w:val="en-US"/>
              </w:rPr>
            </w:pPr>
            <w:r>
              <w:rPr>
                <w:lang w:val="en-US"/>
              </w:rPr>
              <w:t>South West Pacific</w:t>
            </w:r>
          </w:p>
        </w:tc>
      </w:tr>
      <w:tr w:rsidR="00E16D75" w:rsidRPr="00A80451">
        <w:tc>
          <w:tcPr>
            <w:tcW w:w="2390" w:type="dxa"/>
          </w:tcPr>
          <w:p w:rsidR="00E16D75" w:rsidRPr="00A80451" w:rsidRDefault="00E16D75" w:rsidP="004B6C19">
            <w:pPr>
              <w:spacing w:after="0"/>
              <w:rPr>
                <w:bCs/>
                <w:lang w:val="en-US"/>
              </w:rPr>
            </w:pPr>
            <w:r>
              <w:rPr>
                <w:bCs/>
                <w:lang w:val="en-US"/>
              </w:rPr>
              <w:t>TBS</w:t>
            </w:r>
          </w:p>
        </w:tc>
        <w:tc>
          <w:tcPr>
            <w:tcW w:w="6365" w:type="dxa"/>
          </w:tcPr>
          <w:p w:rsidR="00E16D75" w:rsidRPr="00A80451" w:rsidRDefault="00E16D75" w:rsidP="004B6C19">
            <w:pPr>
              <w:spacing w:after="0"/>
              <w:rPr>
                <w:lang w:val="en-US"/>
              </w:rPr>
            </w:pPr>
            <w:r w:rsidRPr="00E610C2">
              <w:rPr>
                <w:lang w:val="en-US"/>
              </w:rPr>
              <w:t>Tanzania Bureau of Standards</w:t>
            </w:r>
          </w:p>
        </w:tc>
      </w:tr>
      <w:tr w:rsidR="00E16D75" w:rsidRPr="00A80451">
        <w:tc>
          <w:tcPr>
            <w:tcW w:w="2390" w:type="dxa"/>
          </w:tcPr>
          <w:p w:rsidR="00E16D75" w:rsidRDefault="00E16D75" w:rsidP="004B6C19">
            <w:pPr>
              <w:spacing w:after="0"/>
              <w:rPr>
                <w:lang w:val="en-US"/>
              </w:rPr>
            </w:pPr>
            <w:r>
              <w:rPr>
                <w:lang w:val="en-US"/>
              </w:rPr>
              <w:t>TBT</w:t>
            </w:r>
          </w:p>
        </w:tc>
        <w:tc>
          <w:tcPr>
            <w:tcW w:w="6365" w:type="dxa"/>
          </w:tcPr>
          <w:p w:rsidR="00E16D75" w:rsidRPr="00863EBF" w:rsidRDefault="00E16D75" w:rsidP="004B6C19">
            <w:pPr>
              <w:spacing w:after="0"/>
              <w:rPr>
                <w:lang w:val="en-GB"/>
              </w:rPr>
            </w:pPr>
            <w:r>
              <w:rPr>
                <w:lang w:val="en-GB"/>
              </w:rPr>
              <w:t>Technical Barriers to Trade</w:t>
            </w:r>
          </w:p>
        </w:tc>
      </w:tr>
      <w:tr w:rsidR="00E16D75" w:rsidRPr="00B75C62">
        <w:tc>
          <w:tcPr>
            <w:tcW w:w="2390" w:type="dxa"/>
          </w:tcPr>
          <w:p w:rsidR="00E16D75" w:rsidRDefault="00E16D75" w:rsidP="004B6C19">
            <w:pPr>
              <w:spacing w:after="0"/>
              <w:rPr>
                <w:lang w:val="en-US"/>
              </w:rPr>
            </w:pPr>
            <w:r w:rsidRPr="00241463">
              <w:rPr>
                <w:lang w:val="en-GB"/>
              </w:rPr>
              <w:t>TCBDB</w:t>
            </w:r>
          </w:p>
        </w:tc>
        <w:tc>
          <w:tcPr>
            <w:tcW w:w="6365" w:type="dxa"/>
          </w:tcPr>
          <w:p w:rsidR="00E16D75" w:rsidRPr="00D85203" w:rsidRDefault="00E16D75" w:rsidP="004B6C19">
            <w:pPr>
              <w:spacing w:after="0"/>
              <w:rPr>
                <w:lang w:val="en-US"/>
              </w:rPr>
            </w:pPr>
            <w:r w:rsidRPr="00241463">
              <w:rPr>
                <w:lang w:val="en-GB"/>
              </w:rPr>
              <w:t>WTO/OECD Trade Capacity Building Database</w:t>
            </w:r>
          </w:p>
        </w:tc>
      </w:tr>
      <w:tr w:rsidR="00E16D75" w:rsidRPr="00B75C62">
        <w:tc>
          <w:tcPr>
            <w:tcW w:w="2390" w:type="dxa"/>
          </w:tcPr>
          <w:p w:rsidR="00E16D75" w:rsidRPr="00A80451" w:rsidRDefault="00E16D75" w:rsidP="004B6C19">
            <w:pPr>
              <w:spacing w:after="0"/>
              <w:rPr>
                <w:bCs/>
                <w:lang w:val="en-US"/>
              </w:rPr>
            </w:pPr>
            <w:r>
              <w:rPr>
                <w:bCs/>
                <w:lang w:val="en-US"/>
              </w:rPr>
              <w:t>TFDA</w:t>
            </w:r>
          </w:p>
        </w:tc>
        <w:tc>
          <w:tcPr>
            <w:tcW w:w="6365" w:type="dxa"/>
          </w:tcPr>
          <w:p w:rsidR="00E16D75" w:rsidRPr="00A80451" w:rsidRDefault="00E16D75" w:rsidP="004B6C19">
            <w:pPr>
              <w:spacing w:after="0"/>
              <w:rPr>
                <w:lang w:val="en-US"/>
              </w:rPr>
            </w:pPr>
            <w:r w:rsidRPr="00E610C2">
              <w:rPr>
                <w:lang w:val="en-US"/>
              </w:rPr>
              <w:t>Tanzania Food and Drugs Administration</w:t>
            </w:r>
          </w:p>
        </w:tc>
      </w:tr>
      <w:tr w:rsidR="00E16D75" w:rsidRPr="00A80451">
        <w:tc>
          <w:tcPr>
            <w:tcW w:w="2390" w:type="dxa"/>
          </w:tcPr>
          <w:p w:rsidR="00E16D75" w:rsidRDefault="00E16D75" w:rsidP="004B6C19">
            <w:pPr>
              <w:spacing w:after="0"/>
              <w:rPr>
                <w:lang w:val="en-US"/>
              </w:rPr>
            </w:pPr>
            <w:r>
              <w:rPr>
                <w:lang w:val="en-US"/>
              </w:rPr>
              <w:t>TSPN</w:t>
            </w:r>
          </w:p>
        </w:tc>
        <w:tc>
          <w:tcPr>
            <w:tcW w:w="6365" w:type="dxa"/>
          </w:tcPr>
          <w:p w:rsidR="00E16D75" w:rsidRPr="00863EBF" w:rsidRDefault="00E16D75" w:rsidP="004B6C19">
            <w:pPr>
              <w:spacing w:after="0"/>
              <w:rPr>
                <w:lang w:val="en-GB"/>
              </w:rPr>
            </w:pPr>
            <w:r w:rsidRPr="00332D84">
              <w:rPr>
                <w:lang w:val="en-US"/>
              </w:rPr>
              <w:t>Trade Standards Practitioners Network</w:t>
            </w:r>
          </w:p>
        </w:tc>
      </w:tr>
      <w:tr w:rsidR="00E16D75" w:rsidRPr="00A80451">
        <w:tc>
          <w:tcPr>
            <w:tcW w:w="2390" w:type="dxa"/>
          </w:tcPr>
          <w:p w:rsidR="00E16D75" w:rsidRDefault="00E16D75" w:rsidP="004B6C19">
            <w:pPr>
              <w:spacing w:after="0"/>
              <w:rPr>
                <w:lang w:val="en-US"/>
              </w:rPr>
            </w:pPr>
            <w:r>
              <w:rPr>
                <w:lang w:val="en-US"/>
              </w:rPr>
              <w:t>UMC</w:t>
            </w:r>
          </w:p>
        </w:tc>
        <w:tc>
          <w:tcPr>
            <w:tcW w:w="6365" w:type="dxa"/>
          </w:tcPr>
          <w:p w:rsidR="00E16D75" w:rsidRPr="00D85203" w:rsidRDefault="00E16D75" w:rsidP="004B6C19">
            <w:pPr>
              <w:spacing w:after="0"/>
              <w:rPr>
                <w:lang w:val="en-US"/>
              </w:rPr>
            </w:pPr>
            <w:r w:rsidRPr="00117572">
              <w:rPr>
                <w:lang w:val="en-GB"/>
              </w:rPr>
              <w:t>Upper middle income</w:t>
            </w:r>
            <w:r>
              <w:rPr>
                <w:lang w:val="en-GB"/>
              </w:rPr>
              <w:t xml:space="preserve"> country</w:t>
            </w:r>
          </w:p>
        </w:tc>
      </w:tr>
      <w:tr w:rsidR="00E16D75" w:rsidRPr="00A80451">
        <w:tc>
          <w:tcPr>
            <w:tcW w:w="2390" w:type="dxa"/>
          </w:tcPr>
          <w:p w:rsidR="00E16D75" w:rsidRPr="00D85203" w:rsidRDefault="00E16D75" w:rsidP="004B6C19">
            <w:pPr>
              <w:spacing w:after="0"/>
              <w:rPr>
                <w:lang w:val="en-US"/>
              </w:rPr>
            </w:pPr>
            <w:r>
              <w:rPr>
                <w:lang w:val="en-US"/>
              </w:rPr>
              <w:t>UNDP</w:t>
            </w:r>
          </w:p>
        </w:tc>
        <w:tc>
          <w:tcPr>
            <w:tcW w:w="6365" w:type="dxa"/>
          </w:tcPr>
          <w:p w:rsidR="00E16D75" w:rsidRPr="00D85203" w:rsidRDefault="00E16D75" w:rsidP="004B6C19">
            <w:pPr>
              <w:spacing w:after="0"/>
              <w:rPr>
                <w:lang w:val="en-US"/>
              </w:rPr>
            </w:pPr>
            <w:r>
              <w:rPr>
                <w:lang w:val="en-US"/>
              </w:rPr>
              <w:t>United Nations Development Programme</w:t>
            </w:r>
          </w:p>
        </w:tc>
      </w:tr>
      <w:tr w:rsidR="00E16D75" w:rsidRPr="00A80451">
        <w:tc>
          <w:tcPr>
            <w:tcW w:w="2390" w:type="dxa"/>
          </w:tcPr>
          <w:p w:rsidR="00E16D75" w:rsidRPr="00A80451" w:rsidRDefault="00E16D75" w:rsidP="004B6C19">
            <w:pPr>
              <w:spacing w:after="0"/>
              <w:rPr>
                <w:bCs/>
                <w:lang w:val="en-US"/>
              </w:rPr>
            </w:pPr>
            <w:r>
              <w:rPr>
                <w:bCs/>
                <w:lang w:val="en-US"/>
              </w:rPr>
              <w:t>UNIDO</w:t>
            </w:r>
          </w:p>
        </w:tc>
        <w:tc>
          <w:tcPr>
            <w:tcW w:w="6365" w:type="dxa"/>
          </w:tcPr>
          <w:p w:rsidR="00E16D75" w:rsidRPr="00A80451" w:rsidRDefault="00E16D75" w:rsidP="004B6C19">
            <w:pPr>
              <w:spacing w:after="0"/>
              <w:rPr>
                <w:lang w:val="en-US"/>
              </w:rPr>
            </w:pPr>
            <w:r w:rsidRPr="00E16D75">
              <w:rPr>
                <w:lang w:val="en-US"/>
              </w:rPr>
              <w:t>United Nations Industrial Development O</w:t>
            </w:r>
            <w:r>
              <w:rPr>
                <w:lang w:val="en-US"/>
              </w:rPr>
              <w:t>r</w:t>
            </w:r>
            <w:r w:rsidR="008A77A9">
              <w:rPr>
                <w:lang w:val="en-US"/>
              </w:rPr>
              <w:t>g</w:t>
            </w:r>
            <w:r>
              <w:rPr>
                <w:lang w:val="en-US"/>
              </w:rPr>
              <w:t>anisation</w:t>
            </w:r>
          </w:p>
        </w:tc>
      </w:tr>
      <w:tr w:rsidR="00E16D75" w:rsidRPr="00A80451">
        <w:tc>
          <w:tcPr>
            <w:tcW w:w="2390" w:type="dxa"/>
          </w:tcPr>
          <w:p w:rsidR="00E16D75" w:rsidRDefault="00E16D75" w:rsidP="004B6C19">
            <w:pPr>
              <w:spacing w:after="0"/>
              <w:rPr>
                <w:lang w:val="en-US"/>
              </w:rPr>
            </w:pPr>
            <w:r>
              <w:rPr>
                <w:lang w:val="en-US"/>
              </w:rPr>
              <w:t>US</w:t>
            </w:r>
          </w:p>
        </w:tc>
        <w:tc>
          <w:tcPr>
            <w:tcW w:w="6365" w:type="dxa"/>
          </w:tcPr>
          <w:p w:rsidR="00E16D75" w:rsidRPr="00863EBF" w:rsidRDefault="00E16D75" w:rsidP="004B6C19">
            <w:pPr>
              <w:spacing w:after="0"/>
              <w:rPr>
                <w:lang w:val="en-GB"/>
              </w:rPr>
            </w:pPr>
            <w:r>
              <w:rPr>
                <w:lang w:val="en-GB"/>
              </w:rPr>
              <w:t>United States</w:t>
            </w:r>
          </w:p>
        </w:tc>
      </w:tr>
      <w:tr w:rsidR="00E16D75" w:rsidRPr="00A80451">
        <w:tc>
          <w:tcPr>
            <w:tcW w:w="2390" w:type="dxa"/>
          </w:tcPr>
          <w:p w:rsidR="00E16D75" w:rsidRPr="00A80451" w:rsidRDefault="00E16D75" w:rsidP="004B6C19">
            <w:pPr>
              <w:spacing w:after="0"/>
              <w:rPr>
                <w:lang w:val="en-US"/>
              </w:rPr>
            </w:pPr>
            <w:r>
              <w:rPr>
                <w:lang w:val="en-US"/>
              </w:rPr>
              <w:t>USD</w:t>
            </w:r>
          </w:p>
        </w:tc>
        <w:tc>
          <w:tcPr>
            <w:tcW w:w="6365" w:type="dxa"/>
          </w:tcPr>
          <w:p w:rsidR="00E16D75" w:rsidRPr="00A80451" w:rsidRDefault="00E16D75" w:rsidP="004B6C19">
            <w:pPr>
              <w:spacing w:after="0"/>
              <w:rPr>
                <w:lang w:val="en-US"/>
              </w:rPr>
            </w:pPr>
            <w:r>
              <w:rPr>
                <w:lang w:val="en-US"/>
              </w:rPr>
              <w:t>United States Dollars</w:t>
            </w:r>
          </w:p>
        </w:tc>
      </w:tr>
      <w:tr w:rsidR="00E16D75" w:rsidRPr="00B75C62">
        <w:tc>
          <w:tcPr>
            <w:tcW w:w="2390" w:type="dxa"/>
          </w:tcPr>
          <w:p w:rsidR="00E16D75" w:rsidRPr="00A80451" w:rsidRDefault="00E16D75" w:rsidP="004B6C19">
            <w:pPr>
              <w:spacing w:after="0"/>
              <w:rPr>
                <w:bCs/>
                <w:lang w:val="en-US"/>
              </w:rPr>
            </w:pPr>
            <w:r>
              <w:rPr>
                <w:bCs/>
                <w:lang w:val="en-US"/>
              </w:rPr>
              <w:t>USDA</w:t>
            </w:r>
          </w:p>
        </w:tc>
        <w:tc>
          <w:tcPr>
            <w:tcW w:w="6365" w:type="dxa"/>
          </w:tcPr>
          <w:p w:rsidR="00E16D75" w:rsidRPr="00A80451" w:rsidRDefault="00E16D75" w:rsidP="004B6C19">
            <w:pPr>
              <w:spacing w:after="0"/>
              <w:rPr>
                <w:lang w:val="en-US"/>
              </w:rPr>
            </w:pPr>
            <w:r>
              <w:rPr>
                <w:lang w:val="en-US"/>
              </w:rPr>
              <w:t>United States Food and Drug Administration</w:t>
            </w:r>
          </w:p>
        </w:tc>
      </w:tr>
      <w:tr w:rsidR="00E16D75">
        <w:tc>
          <w:tcPr>
            <w:tcW w:w="2390" w:type="dxa"/>
          </w:tcPr>
          <w:p w:rsidR="00E16D75" w:rsidRPr="005F45C2" w:rsidRDefault="00E16D75" w:rsidP="004B6C19">
            <w:pPr>
              <w:spacing w:after="0"/>
            </w:pPr>
            <w:r>
              <w:t>WHO</w:t>
            </w:r>
          </w:p>
        </w:tc>
        <w:tc>
          <w:tcPr>
            <w:tcW w:w="6365" w:type="dxa"/>
          </w:tcPr>
          <w:p w:rsidR="00E16D75" w:rsidRPr="005F45C2" w:rsidRDefault="00E16D75" w:rsidP="004B6C19">
            <w:pPr>
              <w:spacing w:after="0"/>
            </w:pPr>
            <w:r>
              <w:t>World Health Organisation</w:t>
            </w:r>
          </w:p>
        </w:tc>
      </w:tr>
      <w:tr w:rsidR="00E16D75">
        <w:tc>
          <w:tcPr>
            <w:tcW w:w="2390" w:type="dxa"/>
          </w:tcPr>
          <w:p w:rsidR="00E16D75" w:rsidRPr="005F45C2" w:rsidRDefault="00E16D75" w:rsidP="004B6C19">
            <w:pPr>
              <w:spacing w:after="0"/>
            </w:pPr>
            <w:r>
              <w:t>WTO</w:t>
            </w:r>
          </w:p>
        </w:tc>
        <w:tc>
          <w:tcPr>
            <w:tcW w:w="6365" w:type="dxa"/>
          </w:tcPr>
          <w:p w:rsidR="00E16D75" w:rsidRPr="005F45C2" w:rsidRDefault="00E16D75" w:rsidP="004B6C19">
            <w:pPr>
              <w:spacing w:after="0"/>
            </w:pPr>
            <w:r>
              <w:t>World Trade Organisation</w:t>
            </w:r>
          </w:p>
        </w:tc>
      </w:tr>
    </w:tbl>
    <w:p w:rsidR="00F766E8" w:rsidRPr="009B767E" w:rsidRDefault="00FF23A7" w:rsidP="00F766E8">
      <w:pPr>
        <w:pStyle w:val="Heading1"/>
        <w:rPr>
          <w:lang w:val="en-GB"/>
        </w:rPr>
      </w:pPr>
      <w:r w:rsidRPr="00A80451">
        <w:rPr>
          <w:lang w:val="en-US"/>
        </w:rPr>
        <w:br w:type="page"/>
      </w:r>
      <w:bookmarkStart w:id="3" w:name="_Toc133376083"/>
      <w:bookmarkStart w:id="4" w:name="_Toc260389714"/>
      <w:r w:rsidR="00F766E8" w:rsidRPr="009B767E">
        <w:rPr>
          <w:lang w:val="en-GB"/>
        </w:rPr>
        <w:lastRenderedPageBreak/>
        <w:t>Chapter 1. Introduction</w:t>
      </w:r>
      <w:bookmarkEnd w:id="3"/>
      <w:bookmarkEnd w:id="4"/>
    </w:p>
    <w:p w:rsidR="00F766E8" w:rsidRPr="009B767E" w:rsidRDefault="00F766E8" w:rsidP="00F766E8">
      <w:pPr>
        <w:spacing w:after="0"/>
        <w:rPr>
          <w:lang w:val="en-GB"/>
        </w:rPr>
      </w:pPr>
      <w:r w:rsidRPr="009B767E">
        <w:rPr>
          <w:lang w:val="en-GB"/>
        </w:rPr>
        <w:tab/>
      </w:r>
    </w:p>
    <w:p w:rsidR="00F766E8" w:rsidRPr="009B767E" w:rsidRDefault="00F766E8" w:rsidP="00F766E8">
      <w:pPr>
        <w:pStyle w:val="Heading2"/>
        <w:rPr>
          <w:lang w:val="en-GB"/>
        </w:rPr>
      </w:pPr>
      <w:bookmarkStart w:id="5" w:name="_Toc133376084"/>
      <w:bookmarkStart w:id="6" w:name="_Toc260389715"/>
      <w:r w:rsidRPr="009B767E">
        <w:rPr>
          <w:lang w:val="en-GB"/>
        </w:rPr>
        <w:t>General Background</w:t>
      </w:r>
      <w:bookmarkEnd w:id="5"/>
      <w:bookmarkEnd w:id="6"/>
    </w:p>
    <w:p w:rsidR="00F766E8" w:rsidRPr="009B767E" w:rsidRDefault="00F766E8" w:rsidP="00F766E8">
      <w:pPr>
        <w:rPr>
          <w:lang w:val="en-GB"/>
        </w:rPr>
      </w:pPr>
      <w:r w:rsidRPr="009B767E">
        <w:rPr>
          <w:lang w:val="en-GB"/>
        </w:rPr>
        <w:t xml:space="preserve">The Codex Alimentarius is a global reference point for consumers, food producers, national food control agencies and international food trade. The Codex Alimentarius system presents an opportunity for all countries to join the international community in formulating and harmonizing food standards and ensuring their global implementation. Simply stated, the Codex Alimentarius is a collection of standards, codes of practice, guidelines and other recommendations. Some of these texts are very general, and some very specific. Some deal with detailed requirements related to food, others deal with the operation and management of production systems, or the government regulatory systems for food safety and consumer protection. </w:t>
      </w:r>
    </w:p>
    <w:p w:rsidR="00F766E8" w:rsidRPr="009B767E" w:rsidRDefault="00F766E8" w:rsidP="00F766E8">
      <w:pPr>
        <w:rPr>
          <w:lang w:val="en-GB"/>
        </w:rPr>
      </w:pPr>
      <w:r w:rsidRPr="009B767E">
        <w:rPr>
          <w:lang w:val="en-GB"/>
        </w:rPr>
        <w:t>These standards etc. are developed through the work of the Codex Alimentarius Commission, which was established through resolutions of the FAO and the WHO in the 1960s. The Statutes and the Rules of Procedure specify the working procedures</w:t>
      </w:r>
      <w:r w:rsidRPr="009B767E">
        <w:rPr>
          <w:rStyle w:val="FootnoteReference"/>
          <w:lang w:val="en-GB"/>
        </w:rPr>
        <w:footnoteReference w:id="1"/>
      </w:r>
      <w:r w:rsidRPr="009B767E">
        <w:rPr>
          <w:lang w:val="en-GB"/>
        </w:rPr>
        <w:t xml:space="preserve"> of the Codex Alimentarius Commission. As stated in Article 1 of the Commission’s Statutes, one of the principal purposes of the Commission is the preparation of food standards and their publication in the Codex Alimentarius. The legal base for the Commission’s operations and the procedures it is required to follow are published in the Procedural Manual of the Codex Alimentarius Commission. They involve:</w:t>
      </w:r>
    </w:p>
    <w:p w:rsidR="00F766E8" w:rsidRPr="009B767E" w:rsidRDefault="00F766E8" w:rsidP="00F766E8">
      <w:pPr>
        <w:pStyle w:val="ListParagraph"/>
        <w:numPr>
          <w:ilvl w:val="0"/>
          <w:numId w:val="1"/>
        </w:numPr>
        <w:ind w:left="1134" w:hanging="567"/>
        <w:rPr>
          <w:lang w:val="en-GB"/>
        </w:rPr>
      </w:pPr>
      <w:r w:rsidRPr="009B767E">
        <w:rPr>
          <w:lang w:val="en-GB"/>
        </w:rPr>
        <w:t>The submission of a proposal for a standard to be developed by a national government or a subsidiary committee of the Commission.</w:t>
      </w:r>
    </w:p>
    <w:p w:rsidR="00F766E8" w:rsidRPr="009B767E" w:rsidRDefault="00F766E8" w:rsidP="00F766E8">
      <w:pPr>
        <w:pStyle w:val="ListParagraph"/>
        <w:numPr>
          <w:ilvl w:val="0"/>
          <w:numId w:val="1"/>
        </w:numPr>
        <w:ind w:left="1134" w:hanging="567"/>
        <w:rPr>
          <w:lang w:val="en-GB"/>
        </w:rPr>
      </w:pPr>
      <w:r w:rsidRPr="009B767E">
        <w:rPr>
          <w:lang w:val="en-GB"/>
        </w:rPr>
        <w:t>A decision by the Commission that a standard be developed as proposed.</w:t>
      </w:r>
    </w:p>
    <w:p w:rsidR="00F766E8" w:rsidRPr="009B767E" w:rsidRDefault="00F766E8" w:rsidP="00F766E8">
      <w:pPr>
        <w:pStyle w:val="ListParagraph"/>
        <w:numPr>
          <w:ilvl w:val="0"/>
          <w:numId w:val="1"/>
        </w:numPr>
        <w:ind w:left="1134" w:hanging="567"/>
        <w:rPr>
          <w:lang w:val="en-GB"/>
        </w:rPr>
      </w:pPr>
      <w:r w:rsidRPr="009B767E">
        <w:rPr>
          <w:lang w:val="en-GB"/>
        </w:rPr>
        <w:t>The preparation of a proposed draft standard is arranged by the Commission Secretariat and circulated to member governments for comment.</w:t>
      </w:r>
    </w:p>
    <w:p w:rsidR="00F766E8" w:rsidRPr="009B767E" w:rsidRDefault="00F766E8" w:rsidP="00F766E8">
      <w:pPr>
        <w:pStyle w:val="ListParagraph"/>
        <w:numPr>
          <w:ilvl w:val="0"/>
          <w:numId w:val="1"/>
        </w:numPr>
        <w:ind w:left="1134" w:hanging="567"/>
        <w:rPr>
          <w:lang w:val="en-GB"/>
        </w:rPr>
      </w:pPr>
      <w:r w:rsidRPr="009B767E">
        <w:rPr>
          <w:lang w:val="en-GB"/>
        </w:rPr>
        <w:t>Comments are considered by the subsidiary body and a draft standard presented to the Commission</w:t>
      </w:r>
    </w:p>
    <w:p w:rsidR="00F766E8" w:rsidRPr="009B767E" w:rsidRDefault="00F766E8" w:rsidP="00F766E8">
      <w:pPr>
        <w:pStyle w:val="ListParagraph"/>
        <w:numPr>
          <w:ilvl w:val="0"/>
          <w:numId w:val="1"/>
        </w:numPr>
        <w:ind w:left="1134" w:hanging="567"/>
        <w:rPr>
          <w:lang w:val="en-GB"/>
        </w:rPr>
      </w:pPr>
      <w:r w:rsidRPr="009B767E">
        <w:rPr>
          <w:lang w:val="en-GB"/>
        </w:rPr>
        <w:t xml:space="preserve">Once adopted by the Commission, a Codex standard is added to the Codex Alimentarius. </w:t>
      </w:r>
    </w:p>
    <w:p w:rsidR="004B6C19" w:rsidRDefault="00F766E8" w:rsidP="00F766E8">
      <w:pPr>
        <w:rPr>
          <w:lang w:val="en-GB"/>
        </w:rPr>
      </w:pPr>
      <w:r w:rsidRPr="009B767E">
        <w:rPr>
          <w:lang w:val="en-GB"/>
        </w:rPr>
        <w:t xml:space="preserve">The Commission and its subsidiary bodies keep the Codex standards and related texts up to date to ensure that they are consistent with current scientific knowledge and the needs of the member countries. The procedure for revision or consolidation of a standard follows the process used for the initial preparation of standards. Codex standards are recognized by the World Trade Organization (WTO) Agreement on the Application of Sanitary and Phytosanitary Measures as the international benchmark of food safety. </w:t>
      </w:r>
    </w:p>
    <w:p w:rsidR="00F766E8" w:rsidRPr="009B767E" w:rsidRDefault="00F766E8" w:rsidP="00F766E8">
      <w:pPr>
        <w:rPr>
          <w:lang w:val="en-GB"/>
        </w:rPr>
      </w:pPr>
      <w:r w:rsidRPr="009B767E">
        <w:rPr>
          <w:lang w:val="en-GB"/>
        </w:rPr>
        <w:t xml:space="preserve">Although developing countries constitute a majority of the CAC, their participation </w:t>
      </w:r>
      <w:r>
        <w:rPr>
          <w:lang w:val="en-GB"/>
        </w:rPr>
        <w:t>was deemed to be</w:t>
      </w:r>
      <w:r w:rsidRPr="009B767E">
        <w:rPr>
          <w:lang w:val="en-GB"/>
        </w:rPr>
        <w:t xml:space="preserve"> low in CAC and its various committees, hence their impact on the development of standards have been insignificant. When the Codex Alimentarius as a whole was evaluated in the </w:t>
      </w:r>
      <w:r w:rsidRPr="009B767E">
        <w:rPr>
          <w:lang w:val="en-GB"/>
        </w:rPr>
        <w:lastRenderedPageBreak/>
        <w:t xml:space="preserve">beginning of this decade, </w:t>
      </w:r>
      <w:r>
        <w:rPr>
          <w:lang w:val="en-GB"/>
        </w:rPr>
        <w:t xml:space="preserve">this was confirmed and </w:t>
      </w:r>
      <w:r w:rsidRPr="009B767E">
        <w:rPr>
          <w:lang w:val="en-GB"/>
        </w:rPr>
        <w:t xml:space="preserve">one of the major shortcomings was said to be the absence of many developing countries from the negotiating tables. Food exports </w:t>
      </w:r>
      <w:r w:rsidR="004B6C19">
        <w:rPr>
          <w:lang w:val="en-GB"/>
        </w:rPr>
        <w:t>are</w:t>
      </w:r>
      <w:r w:rsidR="004B6C19" w:rsidRPr="009B767E">
        <w:rPr>
          <w:lang w:val="en-GB"/>
        </w:rPr>
        <w:t xml:space="preserve"> </w:t>
      </w:r>
      <w:r w:rsidRPr="009B767E">
        <w:rPr>
          <w:lang w:val="en-GB"/>
        </w:rPr>
        <w:t xml:space="preserve">an important source of income for many of these countries, and hence there is a need to apply standards in order to access export markets. The question of food </w:t>
      </w:r>
      <w:r>
        <w:rPr>
          <w:lang w:val="en-GB"/>
        </w:rPr>
        <w:t xml:space="preserve">quality and food </w:t>
      </w:r>
      <w:r w:rsidRPr="009B767E">
        <w:rPr>
          <w:lang w:val="en-GB"/>
        </w:rPr>
        <w:t xml:space="preserve">safety for imports as well as for locally produced foods is also important and there is an urgent need to develop and apply standards. </w:t>
      </w:r>
    </w:p>
    <w:p w:rsidR="00F766E8" w:rsidRPr="009B767E" w:rsidRDefault="00F766E8" w:rsidP="00F766E8">
      <w:pPr>
        <w:pStyle w:val="Heading2"/>
        <w:rPr>
          <w:lang w:val="en-GB"/>
        </w:rPr>
      </w:pPr>
      <w:bookmarkStart w:id="7" w:name="_Toc133376085"/>
      <w:bookmarkStart w:id="8" w:name="_Toc260389716"/>
      <w:r w:rsidRPr="009B767E">
        <w:rPr>
          <w:lang w:val="en-GB"/>
        </w:rPr>
        <w:t>Creating the Codex Trust Fund</w:t>
      </w:r>
      <w:bookmarkEnd w:id="7"/>
      <w:bookmarkEnd w:id="8"/>
    </w:p>
    <w:p w:rsidR="00F766E8" w:rsidRPr="009B767E" w:rsidRDefault="00F766E8" w:rsidP="00F766E8">
      <w:pPr>
        <w:rPr>
          <w:lang w:val="en-GB"/>
        </w:rPr>
      </w:pPr>
      <w:r w:rsidRPr="009B767E">
        <w:rPr>
          <w:lang w:val="en-GB"/>
        </w:rPr>
        <w:t>The FAO/WHO Project and Fund for Enhanced Participation in Codex (hereinafter referred to as the Codex Trust Fund or CTF) was launched in 2003 and became operational in 2004 to support broader and more effective participation by developing countries, especially the Least Developed Countries (LDCs) and countries with economies in transition, in the development of global food safety and quality standards</w:t>
      </w:r>
      <w:r w:rsidR="004B6C19">
        <w:rPr>
          <w:lang w:val="en-GB"/>
        </w:rPr>
        <w:t xml:space="preserve"> in these areas</w:t>
      </w:r>
      <w:r w:rsidRPr="009B767E">
        <w:rPr>
          <w:lang w:val="en-GB"/>
        </w:rPr>
        <w:t>.</w:t>
      </w:r>
    </w:p>
    <w:p w:rsidR="00F766E8" w:rsidRPr="009B767E" w:rsidRDefault="00F766E8" w:rsidP="00F766E8">
      <w:pPr>
        <w:rPr>
          <w:lang w:val="en-GB"/>
        </w:rPr>
      </w:pPr>
      <w:r w:rsidRPr="009B767E">
        <w:rPr>
          <w:lang w:val="en-GB"/>
        </w:rPr>
        <w:t>The long-term goal of</w:t>
      </w:r>
      <w:r w:rsidR="004B6C19">
        <w:rPr>
          <w:lang w:val="en-GB"/>
        </w:rPr>
        <w:t xml:space="preserve"> the</w:t>
      </w:r>
      <w:r w:rsidRPr="009B767E">
        <w:rPr>
          <w:lang w:val="en-GB"/>
        </w:rPr>
        <w:t xml:space="preserve"> CTF as expressed in the project document is; </w:t>
      </w:r>
      <w:r w:rsidRPr="009B767E">
        <w:rPr>
          <w:i/>
          <w:lang w:val="en-GB"/>
        </w:rPr>
        <w:t>to further the improvement of global public health and food security by promoting the provision of safer and more nutritious food and contributing to a reduction in foodborne diseases.</w:t>
      </w:r>
      <w:r w:rsidRPr="009B767E">
        <w:rPr>
          <w:lang w:val="en-GB"/>
        </w:rPr>
        <w:t xml:space="preserve"> Its purpose is; </w:t>
      </w:r>
      <w:r w:rsidRPr="009B767E">
        <w:rPr>
          <w:i/>
          <w:lang w:val="en-GB"/>
        </w:rPr>
        <w:t>to help developing countries and those with economies in transition to enhance their level of effective participation in the development of global food safety and quality standards by the Codex Alimentarius Commission</w:t>
      </w:r>
      <w:r w:rsidRPr="009B767E">
        <w:rPr>
          <w:lang w:val="en-GB"/>
        </w:rPr>
        <w:t>.</w:t>
      </w:r>
      <w:r w:rsidRPr="009B767E">
        <w:rPr>
          <w:rStyle w:val="FootnoteReference"/>
          <w:lang w:val="en-GB"/>
        </w:rPr>
        <w:footnoteReference w:id="2"/>
      </w:r>
      <w:r w:rsidRPr="009B767E">
        <w:rPr>
          <w:lang w:val="en-GB"/>
        </w:rPr>
        <w:t xml:space="preserve"> In addition to this goal it was stated that increased participation in Codex activities should help to enhance international food trade opportunities for developing countries and countries with economies in transition. The three immediate outputs of the Codex Trust Fund were expected to be;</w:t>
      </w:r>
    </w:p>
    <w:p w:rsidR="00F766E8" w:rsidRPr="009B767E" w:rsidRDefault="00F766E8" w:rsidP="00F766E8">
      <w:pPr>
        <w:pStyle w:val="ListParagraph"/>
        <w:numPr>
          <w:ilvl w:val="0"/>
          <w:numId w:val="2"/>
        </w:numPr>
        <w:spacing w:after="200"/>
        <w:rPr>
          <w:lang w:val="en-GB"/>
        </w:rPr>
      </w:pPr>
      <w:r w:rsidRPr="009B767E">
        <w:rPr>
          <w:lang w:val="en-GB"/>
        </w:rPr>
        <w:t>Widening participation in Codex. The number of countries routinely providing delegation to CAC sessions and to its committees/task forces, that address issues of priority health and economic concern for their specific countries, will have increased.</w:t>
      </w:r>
    </w:p>
    <w:p w:rsidR="00F766E8" w:rsidRPr="009B767E" w:rsidRDefault="00F766E8" w:rsidP="00F766E8">
      <w:pPr>
        <w:pStyle w:val="ListParagraph"/>
        <w:numPr>
          <w:ilvl w:val="0"/>
          <w:numId w:val="2"/>
        </w:numPr>
        <w:spacing w:after="200"/>
        <w:rPr>
          <w:lang w:val="en-GB"/>
        </w:rPr>
      </w:pPr>
      <w:r w:rsidRPr="009B767E">
        <w:rPr>
          <w:lang w:val="en-GB"/>
        </w:rPr>
        <w:t>Strengthening overall participation in Codex. The number of countries routinely developing and putting forth national considerations in the Codex standard setting process will have increased along with their participation in the Codex committees/task forces.</w:t>
      </w:r>
    </w:p>
    <w:p w:rsidR="00F766E8" w:rsidRPr="009B767E" w:rsidRDefault="00F766E8" w:rsidP="00F766E8">
      <w:pPr>
        <w:pStyle w:val="ListParagraph"/>
        <w:numPr>
          <w:ilvl w:val="0"/>
          <w:numId w:val="2"/>
        </w:numPr>
        <w:spacing w:after="200"/>
        <w:rPr>
          <w:lang w:val="en-GB"/>
        </w:rPr>
      </w:pPr>
      <w:r w:rsidRPr="009B767E">
        <w:rPr>
          <w:lang w:val="en-GB"/>
        </w:rPr>
        <w:t>Enhancing scientific/technical participation in Codex. The number of countries that are actively providing scientific/technical advice in support of the Codex standard setting process will have increased.</w:t>
      </w:r>
    </w:p>
    <w:p w:rsidR="00F766E8" w:rsidRPr="009B767E" w:rsidRDefault="00F766E8" w:rsidP="00F766E8">
      <w:pPr>
        <w:rPr>
          <w:lang w:val="en-GB"/>
        </w:rPr>
      </w:pPr>
      <w:r w:rsidRPr="009B767E">
        <w:rPr>
          <w:lang w:val="en-GB"/>
        </w:rPr>
        <w:t xml:space="preserve">When it was launched, </w:t>
      </w:r>
      <w:r w:rsidR="004B6C19">
        <w:rPr>
          <w:lang w:val="en-GB"/>
        </w:rPr>
        <w:t xml:space="preserve">the </w:t>
      </w:r>
      <w:r w:rsidRPr="009B767E">
        <w:rPr>
          <w:lang w:val="en-GB"/>
        </w:rPr>
        <w:t xml:space="preserve">CTF </w:t>
      </w:r>
      <w:r w:rsidR="004B6C19">
        <w:rPr>
          <w:lang w:val="en-GB"/>
        </w:rPr>
        <w:t>sought</w:t>
      </w:r>
      <w:r w:rsidR="004B6C19" w:rsidRPr="009B767E">
        <w:rPr>
          <w:lang w:val="en-GB"/>
        </w:rPr>
        <w:t xml:space="preserve"> </w:t>
      </w:r>
      <w:r w:rsidRPr="009B767E">
        <w:rPr>
          <w:lang w:val="en-GB"/>
        </w:rPr>
        <w:t xml:space="preserve">funding of 40 million USD over a 12-year period. CTF operations are guided by the FAO/WHO Consultative Group for the Trust Fund. This group consists of senior FAO and WHO staff. Daily management is implemented by the CTF Secretariat which consists of an Administrator working on a short term contract 50 %  of full time and a fixed term secretarial post established at 80 % of full time (both increased to 100% at the end of 2009). The Secretariat is located at the Department of Food Safety and Zoonoses (FOS) at WHO and works in close coordination with FAO. </w:t>
      </w:r>
    </w:p>
    <w:p w:rsidR="00F766E8" w:rsidRPr="009B767E" w:rsidRDefault="00F766E8" w:rsidP="00F766E8">
      <w:pPr>
        <w:pStyle w:val="Heading2"/>
        <w:rPr>
          <w:lang w:val="en-GB"/>
        </w:rPr>
      </w:pPr>
      <w:bookmarkStart w:id="9" w:name="_Toc133376086"/>
      <w:bookmarkStart w:id="10" w:name="_Toc260389717"/>
      <w:r w:rsidRPr="009B767E">
        <w:rPr>
          <w:lang w:val="en-GB"/>
        </w:rPr>
        <w:t>Purpose</w:t>
      </w:r>
      <w:bookmarkEnd w:id="9"/>
      <w:bookmarkEnd w:id="10"/>
    </w:p>
    <w:p w:rsidR="00F766E8" w:rsidRPr="009B767E" w:rsidRDefault="00F766E8" w:rsidP="00F766E8">
      <w:pPr>
        <w:spacing w:after="0"/>
        <w:rPr>
          <w:lang w:val="en-GB"/>
        </w:rPr>
      </w:pPr>
      <w:r w:rsidRPr="009B767E">
        <w:rPr>
          <w:lang w:val="en-GB"/>
        </w:rPr>
        <w:t>As half of the time of the expected 12-year project has passed, this mid-term review was launched in order to evaluate the progress of the Codex Trust Fund to date and provide actionable recommendations that can be applied looking forward to the second half of the Codex Trust Fund lifespan and beyond. The specific objectives of the review are to:</w:t>
      </w:r>
    </w:p>
    <w:p w:rsidR="00F766E8" w:rsidRPr="009B767E" w:rsidRDefault="00F766E8" w:rsidP="00F766E8">
      <w:pPr>
        <w:spacing w:after="0"/>
        <w:rPr>
          <w:lang w:val="en-GB"/>
        </w:rPr>
      </w:pPr>
    </w:p>
    <w:p w:rsidR="00F766E8" w:rsidRPr="009B767E" w:rsidRDefault="00F766E8" w:rsidP="00F766E8">
      <w:pPr>
        <w:pStyle w:val="ListParagraph"/>
        <w:numPr>
          <w:ilvl w:val="0"/>
          <w:numId w:val="1"/>
        </w:numPr>
        <w:spacing w:after="0"/>
        <w:ind w:left="1134" w:hanging="567"/>
        <w:rPr>
          <w:lang w:val="en-GB"/>
        </w:rPr>
      </w:pPr>
      <w:r w:rsidRPr="009B767E">
        <w:rPr>
          <w:lang w:val="en-GB"/>
        </w:rPr>
        <w:lastRenderedPageBreak/>
        <w:t>Identify and learn from the successes and weaknesses of the Trust Fund in its first 6 years of operation in regards of progress towards its key expected results, with special emphasis on its impact at the national and regional levels.</w:t>
      </w:r>
    </w:p>
    <w:p w:rsidR="00F766E8" w:rsidRPr="009B767E" w:rsidRDefault="00F766E8" w:rsidP="00F766E8">
      <w:pPr>
        <w:pStyle w:val="ListParagraph"/>
        <w:numPr>
          <w:ilvl w:val="0"/>
          <w:numId w:val="1"/>
        </w:numPr>
        <w:spacing w:after="0"/>
        <w:ind w:left="1134" w:hanging="567"/>
        <w:rPr>
          <w:lang w:val="en-GB"/>
        </w:rPr>
      </w:pPr>
      <w:r w:rsidRPr="009B767E">
        <w:rPr>
          <w:lang w:val="en-GB"/>
        </w:rPr>
        <w:t>Provide recommendations for refining or adjusting the focus of the Trust Fund’s activities for the remaining project duration with a view to enable the project to achieve a sustainable impact.</w:t>
      </w:r>
    </w:p>
    <w:p w:rsidR="00F766E8" w:rsidRPr="009B767E" w:rsidRDefault="00F766E8" w:rsidP="00F766E8">
      <w:pPr>
        <w:pStyle w:val="ListParagraph"/>
        <w:numPr>
          <w:ilvl w:val="0"/>
          <w:numId w:val="1"/>
        </w:numPr>
        <w:spacing w:after="0"/>
        <w:ind w:left="1134" w:hanging="567"/>
        <w:rPr>
          <w:lang w:val="en-GB"/>
        </w:rPr>
      </w:pPr>
      <w:r w:rsidRPr="009B767E">
        <w:rPr>
          <w:lang w:val="en-GB"/>
        </w:rPr>
        <w:t xml:space="preserve">Provide recommendations with regards to continuing or discontinuing the project beyond its 12 year lifespan with benefits and risks of each. </w:t>
      </w:r>
    </w:p>
    <w:p w:rsidR="00F766E8" w:rsidRPr="009B767E" w:rsidRDefault="00F766E8" w:rsidP="00F766E8">
      <w:pPr>
        <w:pStyle w:val="ListParagraph"/>
        <w:spacing w:after="0"/>
        <w:ind w:left="1134"/>
        <w:rPr>
          <w:lang w:val="en-GB"/>
        </w:rPr>
      </w:pPr>
    </w:p>
    <w:p w:rsidR="00F766E8" w:rsidRPr="009B767E" w:rsidRDefault="00F766E8" w:rsidP="00F766E8">
      <w:pPr>
        <w:spacing w:after="0"/>
        <w:rPr>
          <w:lang w:val="en-GB"/>
        </w:rPr>
      </w:pPr>
      <w:r w:rsidRPr="009B767E">
        <w:rPr>
          <w:lang w:val="en-GB"/>
        </w:rPr>
        <w:t xml:space="preserve">The Terms of Reference for the evaluation are enclosed in Annex 1. </w:t>
      </w:r>
    </w:p>
    <w:p w:rsidR="00F766E8" w:rsidRPr="009B767E" w:rsidRDefault="00F766E8" w:rsidP="00F766E8">
      <w:pPr>
        <w:pStyle w:val="Heading2"/>
        <w:rPr>
          <w:lang w:val="en-GB"/>
        </w:rPr>
      </w:pPr>
      <w:bookmarkStart w:id="11" w:name="_Toc133376087"/>
      <w:bookmarkStart w:id="12" w:name="_Toc260389718"/>
      <w:r w:rsidRPr="009B767E">
        <w:rPr>
          <w:lang w:val="en-GB"/>
        </w:rPr>
        <w:t>Methods</w:t>
      </w:r>
      <w:bookmarkEnd w:id="11"/>
      <w:bookmarkEnd w:id="12"/>
    </w:p>
    <w:p w:rsidR="00F766E8" w:rsidRPr="009B767E" w:rsidRDefault="00F766E8" w:rsidP="00F766E8">
      <w:pPr>
        <w:rPr>
          <w:lang w:val="en-GB"/>
        </w:rPr>
      </w:pPr>
      <w:r w:rsidRPr="009B767E">
        <w:rPr>
          <w:lang w:val="en-GB"/>
        </w:rPr>
        <w:t>The evaluation has been undertaken by a team of three persons. Jens Andersson has a background in development and trade policy and has worked extensively as a consultant to Sida and the Swedish Ministry for Foreign Affairs. Eve Kasirye-Alemu was Executive Director of the Uganda National Bureau of Standards and has long experience of managing food safety programmes. Kim Forss has acted as team-leader and manages a company specialised in evaluation research. The evaluation team started working in November 2009 and present</w:t>
      </w:r>
      <w:r w:rsidR="004B6C19">
        <w:rPr>
          <w:lang w:val="en-GB"/>
        </w:rPr>
        <w:t>ed</w:t>
      </w:r>
      <w:r w:rsidRPr="009B767E">
        <w:rPr>
          <w:lang w:val="en-GB"/>
        </w:rPr>
        <w:t xml:space="preserve"> the draft evaluation report in March 2010. The evaluation builds on three sources of evidence:</w:t>
      </w:r>
    </w:p>
    <w:p w:rsidR="00F766E8" w:rsidRPr="009B767E" w:rsidRDefault="00F766E8" w:rsidP="00F766E8">
      <w:pPr>
        <w:pStyle w:val="ListParagraph"/>
        <w:numPr>
          <w:ilvl w:val="0"/>
          <w:numId w:val="3"/>
        </w:numPr>
        <w:ind w:left="1134" w:hanging="567"/>
        <w:rPr>
          <w:lang w:val="en-GB"/>
        </w:rPr>
      </w:pPr>
      <w:r w:rsidRPr="009B767E">
        <w:rPr>
          <w:u w:val="single"/>
          <w:lang w:val="en-GB"/>
        </w:rPr>
        <w:t>Country studies</w:t>
      </w:r>
      <w:r w:rsidRPr="009B767E">
        <w:rPr>
          <w:lang w:val="en-GB"/>
        </w:rPr>
        <w:t xml:space="preserve"> in a total of 12 countries, selected to represent different regions, country categories and levels of participation in Codex work. The country case studies synthesized information from databases on the participation in Codex meetings, document analysis (such as applications and reports from beneficiaries) and interviews. Each country visit lasted some 2 – 3 days. During the country visits we interviewed the Codex Contact Point (CCP), the persons who had benefitted from the CTF by taking part in training and/or meetings (“beneficiaries”), the Chair and possibly members of the National Codex Committee, the FAO and WHO representatives, and other stakeholders that are engaged in food safety issues, standards setting and research. </w:t>
      </w:r>
      <w:r w:rsidR="00AE227F">
        <w:rPr>
          <w:lang w:val="en-GB"/>
        </w:rPr>
        <w:fldChar w:fldCharType="begin"/>
      </w:r>
      <w:r>
        <w:rPr>
          <w:lang w:val="en-GB"/>
        </w:rPr>
        <w:instrText xml:space="preserve"> REF _Ref256760681 \h </w:instrText>
      </w:r>
      <w:r w:rsidR="00AE227F">
        <w:rPr>
          <w:lang w:val="en-GB"/>
        </w:rPr>
      </w:r>
      <w:r w:rsidR="00AE227F">
        <w:rPr>
          <w:lang w:val="en-GB"/>
        </w:rPr>
        <w:fldChar w:fldCharType="separate"/>
      </w:r>
      <w:r w:rsidR="004F08A8" w:rsidRPr="009B767E">
        <w:rPr>
          <w:lang w:val="en-GB"/>
        </w:rPr>
        <w:t xml:space="preserve">Table </w:t>
      </w:r>
      <w:r w:rsidR="004F08A8">
        <w:rPr>
          <w:noProof/>
          <w:lang w:val="en-GB"/>
        </w:rPr>
        <w:t>1</w:t>
      </w:r>
      <w:r w:rsidR="00AE227F">
        <w:rPr>
          <w:lang w:val="en-GB"/>
        </w:rPr>
        <w:fldChar w:fldCharType="end"/>
      </w:r>
      <w:r w:rsidRPr="009B767E">
        <w:rPr>
          <w:lang w:val="en-GB"/>
        </w:rPr>
        <w:t xml:space="preserve"> shows the countries visited during the evaluation. </w:t>
      </w:r>
    </w:p>
    <w:p w:rsidR="00F766E8" w:rsidRPr="009B767E" w:rsidRDefault="00F766E8" w:rsidP="00F766E8">
      <w:pPr>
        <w:pStyle w:val="ListParagraph"/>
        <w:numPr>
          <w:ilvl w:val="0"/>
          <w:numId w:val="3"/>
        </w:numPr>
        <w:ind w:left="1134" w:hanging="567"/>
        <w:rPr>
          <w:lang w:val="en-GB"/>
        </w:rPr>
      </w:pPr>
      <w:r w:rsidRPr="009B767E">
        <w:rPr>
          <w:u w:val="single"/>
          <w:lang w:val="en-GB"/>
        </w:rPr>
        <w:t>Interviews</w:t>
      </w:r>
      <w:r w:rsidRPr="009B767E">
        <w:rPr>
          <w:lang w:val="en-GB"/>
        </w:rPr>
        <w:t xml:space="preserve"> with a number of other stakeholders such as; staff and management of the CTF Secretariat, staff and management of the FAO Codex Alimentarius Secretariat</w:t>
      </w:r>
      <w:r>
        <w:rPr>
          <w:lang w:val="en-GB"/>
        </w:rPr>
        <w:t xml:space="preserve"> and the FAO Nutrition and Consumer Protection Division</w:t>
      </w:r>
      <w:r w:rsidRPr="009B767E">
        <w:rPr>
          <w:lang w:val="en-GB"/>
        </w:rPr>
        <w:t>, Chairs of a select number of Codex Alimentarius Committees, representatives of donors to the CTF (as well as of some “potential” donors that have not yet committed any funds to CTF). Annex 2 presents the list of persons interviewed in the course of the evaluation, including during the country visits. In total we have interviewed 1</w:t>
      </w:r>
      <w:r w:rsidR="0044711F">
        <w:rPr>
          <w:lang w:val="en-GB"/>
        </w:rPr>
        <w:t xml:space="preserve">89 </w:t>
      </w:r>
      <w:r w:rsidRPr="009B767E">
        <w:rPr>
          <w:lang w:val="en-GB"/>
        </w:rPr>
        <w:t xml:space="preserve">persons. The evaluation used an open but structured format for interviewing and the interview guidelines are presented in Annex </w:t>
      </w:r>
      <w:r w:rsidR="009E1D70">
        <w:rPr>
          <w:lang w:val="en-GB"/>
        </w:rPr>
        <w:t>4</w:t>
      </w:r>
      <w:r w:rsidRPr="009B767E">
        <w:rPr>
          <w:lang w:val="en-GB"/>
        </w:rPr>
        <w:t xml:space="preserve">. </w:t>
      </w:r>
    </w:p>
    <w:p w:rsidR="00F766E8" w:rsidRPr="009B767E" w:rsidRDefault="00F766E8" w:rsidP="00F766E8">
      <w:pPr>
        <w:pStyle w:val="ListParagraph"/>
        <w:numPr>
          <w:ilvl w:val="0"/>
          <w:numId w:val="3"/>
        </w:numPr>
        <w:ind w:left="1134" w:hanging="567"/>
        <w:rPr>
          <w:lang w:val="en-GB"/>
        </w:rPr>
      </w:pPr>
      <w:r w:rsidRPr="009B767E">
        <w:rPr>
          <w:u w:val="single"/>
          <w:lang w:val="en-GB"/>
        </w:rPr>
        <w:t>Surveys</w:t>
      </w:r>
      <w:r w:rsidRPr="009B767E">
        <w:rPr>
          <w:lang w:val="en-GB"/>
        </w:rPr>
        <w:t xml:space="preserve"> were sent out to CCPs and to a randomly selected number of beneficiaries. As we did not visit more than 12 countries, we needed an instrument to collect more widely spread opinions on the operations of the CTF as well as on the experiences of results (or lack of results) in other countries. The response rate to the CCP survey was slightly above 50%, and the response rate from beneficiaries slightly lower. The results of the survey are presented in the analysis below, where they shed light on various issues. Annex 4 contains the survey questionnaires. </w:t>
      </w:r>
    </w:p>
    <w:p w:rsidR="00F766E8" w:rsidRPr="009B767E" w:rsidRDefault="00F766E8" w:rsidP="00F766E8">
      <w:pPr>
        <w:rPr>
          <w:lang w:val="en-GB"/>
        </w:rPr>
      </w:pPr>
      <w:r w:rsidRPr="009B767E">
        <w:rPr>
          <w:lang w:val="en-GB"/>
        </w:rPr>
        <w:lastRenderedPageBreak/>
        <w:t xml:space="preserve">The evaluation has also used a number of documents that helped to understand the CTF, for example the applications and reports back from beneficiaries, program proposals, strategic planning exercises, the CTF reports to donors, and the studies/evaluations that were commissioned in the past. </w:t>
      </w:r>
    </w:p>
    <w:p w:rsidR="00F766E8" w:rsidRPr="009B767E" w:rsidRDefault="00F766E8" w:rsidP="00F766E8">
      <w:pPr>
        <w:pStyle w:val="Caption"/>
        <w:keepNext/>
        <w:rPr>
          <w:lang w:val="en-GB"/>
        </w:rPr>
      </w:pPr>
      <w:bookmarkStart w:id="13" w:name="_Ref256760681"/>
      <w:bookmarkStart w:id="14" w:name="_Toc133376102"/>
      <w:bookmarkStart w:id="15" w:name="_Toc260036736"/>
      <w:r w:rsidRPr="009B767E">
        <w:rPr>
          <w:lang w:val="en-GB"/>
        </w:rPr>
        <w:t xml:space="preserve">Table </w:t>
      </w:r>
      <w:r w:rsidR="00AE227F" w:rsidRPr="009B767E">
        <w:rPr>
          <w:lang w:val="en-GB"/>
        </w:rPr>
        <w:fldChar w:fldCharType="begin"/>
      </w:r>
      <w:r w:rsidRPr="009B767E">
        <w:rPr>
          <w:lang w:val="en-GB"/>
        </w:rPr>
        <w:instrText xml:space="preserve"> SEQ Table \* ARABIC </w:instrText>
      </w:r>
      <w:r w:rsidR="00AE227F" w:rsidRPr="009B767E">
        <w:rPr>
          <w:lang w:val="en-GB"/>
        </w:rPr>
        <w:fldChar w:fldCharType="separate"/>
      </w:r>
      <w:r w:rsidR="004F08A8">
        <w:rPr>
          <w:noProof/>
          <w:lang w:val="en-GB"/>
        </w:rPr>
        <w:t>1</w:t>
      </w:r>
      <w:r w:rsidR="00AE227F" w:rsidRPr="009B767E">
        <w:rPr>
          <w:lang w:val="en-GB"/>
        </w:rPr>
        <w:fldChar w:fldCharType="end"/>
      </w:r>
      <w:bookmarkEnd w:id="13"/>
      <w:r w:rsidRPr="009B767E">
        <w:rPr>
          <w:lang w:val="en-GB"/>
        </w:rPr>
        <w:t xml:space="preserve"> List of countries visited in the course of the mid-term review</w:t>
      </w:r>
      <w:bookmarkEnd w:id="14"/>
      <w:bookmarkEnd w:id="15"/>
    </w:p>
    <w:tbl>
      <w:tblPr>
        <w:tblW w:w="0" w:type="auto"/>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020" w:firstRow="1" w:lastRow="0" w:firstColumn="0" w:lastColumn="0" w:noHBand="0" w:noVBand="0"/>
      </w:tblPr>
      <w:tblGrid>
        <w:gridCol w:w="2390"/>
        <w:gridCol w:w="3388"/>
        <w:gridCol w:w="3402"/>
      </w:tblGrid>
      <w:tr w:rsidR="00F766E8" w:rsidRPr="00B75C62">
        <w:tc>
          <w:tcPr>
            <w:tcW w:w="2390" w:type="dxa"/>
            <w:tcBorders>
              <w:top w:val="single" w:sz="8" w:space="0" w:color="FFFFFF"/>
              <w:bottom w:val="single" w:sz="24" w:space="0" w:color="FFFFFF"/>
              <w:right w:val="single" w:sz="8" w:space="0" w:color="FFFFFF"/>
            </w:tcBorders>
            <w:shd w:val="clear" w:color="auto" w:fill="4F81BD"/>
          </w:tcPr>
          <w:p w:rsidR="00F766E8" w:rsidRPr="009B767E" w:rsidRDefault="00F766E8" w:rsidP="00F766E8">
            <w:pPr>
              <w:spacing w:after="0"/>
              <w:rPr>
                <w:b/>
                <w:bCs/>
                <w:color w:val="FFFFFF"/>
                <w:sz w:val="20"/>
                <w:lang w:val="en-GB"/>
              </w:rPr>
            </w:pPr>
            <w:r w:rsidRPr="009B767E">
              <w:rPr>
                <w:b/>
                <w:bCs/>
                <w:color w:val="FFFFFF"/>
                <w:sz w:val="20"/>
                <w:lang w:val="en-GB"/>
              </w:rPr>
              <w:t>Region</w:t>
            </w:r>
          </w:p>
        </w:tc>
        <w:tc>
          <w:tcPr>
            <w:tcW w:w="3388" w:type="dxa"/>
            <w:tcBorders>
              <w:top w:val="single" w:sz="8" w:space="0" w:color="FFFFFF"/>
              <w:left w:val="single" w:sz="8" w:space="0" w:color="FFFFFF"/>
              <w:bottom w:val="single" w:sz="24" w:space="0" w:color="FFFFFF"/>
              <w:right w:val="single" w:sz="8" w:space="0" w:color="FFFFFF"/>
            </w:tcBorders>
            <w:shd w:val="clear" w:color="auto" w:fill="4F81BD"/>
          </w:tcPr>
          <w:p w:rsidR="00F766E8" w:rsidRPr="009B767E" w:rsidRDefault="00F766E8" w:rsidP="00F766E8">
            <w:pPr>
              <w:spacing w:after="0"/>
              <w:rPr>
                <w:b/>
                <w:bCs/>
                <w:color w:val="FFFFFF"/>
                <w:sz w:val="20"/>
                <w:lang w:val="en-GB"/>
              </w:rPr>
            </w:pPr>
            <w:r w:rsidRPr="009B767E">
              <w:rPr>
                <w:b/>
                <w:bCs/>
                <w:color w:val="FFFFFF"/>
                <w:sz w:val="20"/>
                <w:lang w:val="en-GB"/>
              </w:rPr>
              <w:t>Countries currently benefitting from the CTF</w:t>
            </w:r>
          </w:p>
        </w:tc>
        <w:tc>
          <w:tcPr>
            <w:tcW w:w="3402" w:type="dxa"/>
            <w:tcBorders>
              <w:top w:val="single" w:sz="8" w:space="0" w:color="FFFFFF"/>
              <w:left w:val="single" w:sz="8" w:space="0" w:color="FFFFFF"/>
              <w:bottom w:val="single" w:sz="24" w:space="0" w:color="FFFFFF"/>
            </w:tcBorders>
            <w:shd w:val="clear" w:color="auto" w:fill="4F81BD"/>
          </w:tcPr>
          <w:p w:rsidR="00F766E8" w:rsidRPr="009B767E" w:rsidRDefault="00F766E8" w:rsidP="00F766E8">
            <w:pPr>
              <w:spacing w:after="0"/>
              <w:rPr>
                <w:b/>
                <w:bCs/>
                <w:color w:val="FFFFFF"/>
                <w:sz w:val="20"/>
                <w:lang w:val="en-GB"/>
              </w:rPr>
            </w:pPr>
            <w:r w:rsidRPr="009B767E">
              <w:rPr>
                <w:b/>
                <w:bCs/>
                <w:color w:val="FFFFFF"/>
                <w:sz w:val="20"/>
                <w:lang w:val="en-GB"/>
              </w:rPr>
              <w:t>Countries that graduated from the CTF</w:t>
            </w:r>
          </w:p>
        </w:tc>
      </w:tr>
      <w:tr w:rsidR="00F766E8" w:rsidRPr="009B767E">
        <w:tc>
          <w:tcPr>
            <w:tcW w:w="2390" w:type="dxa"/>
            <w:shd w:val="clear" w:color="auto" w:fill="D3DFEE"/>
          </w:tcPr>
          <w:p w:rsidR="00F766E8" w:rsidRPr="009B767E" w:rsidRDefault="00F766E8" w:rsidP="00F766E8">
            <w:pPr>
              <w:spacing w:after="0"/>
              <w:rPr>
                <w:sz w:val="20"/>
                <w:lang w:val="en-GB"/>
              </w:rPr>
            </w:pPr>
            <w:r w:rsidRPr="009B767E">
              <w:rPr>
                <w:sz w:val="20"/>
                <w:lang w:val="en-GB"/>
              </w:rPr>
              <w:t>Africa</w:t>
            </w:r>
          </w:p>
        </w:tc>
        <w:tc>
          <w:tcPr>
            <w:tcW w:w="3388" w:type="dxa"/>
            <w:shd w:val="clear" w:color="auto" w:fill="D3DFEE"/>
          </w:tcPr>
          <w:p w:rsidR="00F766E8" w:rsidRPr="009B767E" w:rsidRDefault="00F766E8" w:rsidP="00F766E8">
            <w:pPr>
              <w:spacing w:after="0"/>
              <w:rPr>
                <w:sz w:val="20"/>
                <w:lang w:val="en-GB"/>
              </w:rPr>
            </w:pPr>
            <w:r w:rsidRPr="009B767E">
              <w:rPr>
                <w:sz w:val="20"/>
                <w:lang w:val="en-GB"/>
              </w:rPr>
              <w:t>Ghana, Malawi, Mali, Tanzania</w:t>
            </w:r>
          </w:p>
        </w:tc>
        <w:tc>
          <w:tcPr>
            <w:tcW w:w="3402" w:type="dxa"/>
            <w:shd w:val="clear" w:color="auto" w:fill="D3DFEE"/>
          </w:tcPr>
          <w:p w:rsidR="00F766E8" w:rsidRPr="009B767E" w:rsidRDefault="00F766E8" w:rsidP="00F766E8">
            <w:pPr>
              <w:spacing w:after="0"/>
              <w:rPr>
                <w:sz w:val="20"/>
                <w:lang w:val="en-GB"/>
              </w:rPr>
            </w:pPr>
          </w:p>
        </w:tc>
      </w:tr>
      <w:tr w:rsidR="00F766E8" w:rsidRPr="009B767E">
        <w:tc>
          <w:tcPr>
            <w:tcW w:w="2390" w:type="dxa"/>
            <w:shd w:val="clear" w:color="auto" w:fill="D3DFEE"/>
          </w:tcPr>
          <w:p w:rsidR="00F766E8" w:rsidRPr="009B767E" w:rsidRDefault="00F766E8" w:rsidP="00F766E8">
            <w:pPr>
              <w:spacing w:after="0"/>
              <w:rPr>
                <w:sz w:val="20"/>
                <w:lang w:val="en-GB"/>
              </w:rPr>
            </w:pPr>
            <w:r w:rsidRPr="009B767E">
              <w:rPr>
                <w:sz w:val="20"/>
                <w:lang w:val="en-GB"/>
              </w:rPr>
              <w:t>Asia</w:t>
            </w:r>
          </w:p>
        </w:tc>
        <w:tc>
          <w:tcPr>
            <w:tcW w:w="3388" w:type="dxa"/>
            <w:shd w:val="clear" w:color="auto" w:fill="D3DFEE"/>
          </w:tcPr>
          <w:p w:rsidR="00F766E8" w:rsidRPr="009B767E" w:rsidRDefault="00F766E8" w:rsidP="00F766E8">
            <w:pPr>
              <w:spacing w:after="0"/>
              <w:rPr>
                <w:sz w:val="20"/>
                <w:lang w:val="en-GB"/>
              </w:rPr>
            </w:pPr>
            <w:r w:rsidRPr="009B767E">
              <w:rPr>
                <w:sz w:val="20"/>
                <w:lang w:val="en-GB"/>
              </w:rPr>
              <w:t>Laos</w:t>
            </w:r>
            <w:r w:rsidR="005F0255">
              <w:rPr>
                <w:sz w:val="20"/>
                <w:lang w:val="en-GB"/>
              </w:rPr>
              <w:t>, Indonesia</w:t>
            </w:r>
          </w:p>
        </w:tc>
        <w:tc>
          <w:tcPr>
            <w:tcW w:w="3402" w:type="dxa"/>
            <w:shd w:val="clear" w:color="auto" w:fill="D3DFEE"/>
          </w:tcPr>
          <w:p w:rsidR="00F766E8" w:rsidRPr="009B767E" w:rsidRDefault="00F766E8" w:rsidP="00F766E8">
            <w:pPr>
              <w:spacing w:after="0"/>
              <w:rPr>
                <w:sz w:val="20"/>
                <w:lang w:val="en-GB"/>
              </w:rPr>
            </w:pPr>
          </w:p>
        </w:tc>
      </w:tr>
      <w:tr w:rsidR="00F766E8" w:rsidRPr="009B767E">
        <w:tc>
          <w:tcPr>
            <w:tcW w:w="2390" w:type="dxa"/>
            <w:shd w:val="clear" w:color="auto" w:fill="D3DFEE"/>
          </w:tcPr>
          <w:p w:rsidR="00F766E8" w:rsidRPr="009B767E" w:rsidRDefault="00F766E8" w:rsidP="00F766E8">
            <w:pPr>
              <w:spacing w:after="0"/>
              <w:rPr>
                <w:sz w:val="20"/>
                <w:lang w:val="en-GB"/>
              </w:rPr>
            </w:pPr>
            <w:r w:rsidRPr="009B767E">
              <w:rPr>
                <w:sz w:val="20"/>
                <w:lang w:val="en-GB"/>
              </w:rPr>
              <w:t>Europe</w:t>
            </w:r>
          </w:p>
        </w:tc>
        <w:tc>
          <w:tcPr>
            <w:tcW w:w="3388" w:type="dxa"/>
            <w:shd w:val="clear" w:color="auto" w:fill="D3DFEE"/>
          </w:tcPr>
          <w:p w:rsidR="00F766E8" w:rsidRPr="009B767E" w:rsidRDefault="005F0255" w:rsidP="00F766E8">
            <w:pPr>
              <w:spacing w:after="0"/>
              <w:rPr>
                <w:sz w:val="20"/>
                <w:lang w:val="en-GB"/>
              </w:rPr>
            </w:pPr>
            <w:r w:rsidRPr="009B767E">
              <w:rPr>
                <w:sz w:val="20"/>
                <w:lang w:val="en-GB"/>
              </w:rPr>
              <w:t>Armenia, Serbia</w:t>
            </w:r>
          </w:p>
        </w:tc>
        <w:tc>
          <w:tcPr>
            <w:tcW w:w="3402" w:type="dxa"/>
            <w:shd w:val="clear" w:color="auto" w:fill="D3DFEE"/>
          </w:tcPr>
          <w:p w:rsidR="00F766E8" w:rsidRPr="009B767E" w:rsidRDefault="00F766E8" w:rsidP="00F766E8">
            <w:pPr>
              <w:spacing w:after="0"/>
              <w:rPr>
                <w:sz w:val="20"/>
                <w:lang w:val="en-GB"/>
              </w:rPr>
            </w:pPr>
          </w:p>
        </w:tc>
      </w:tr>
      <w:tr w:rsidR="00F766E8" w:rsidRPr="009B767E">
        <w:tc>
          <w:tcPr>
            <w:tcW w:w="2390" w:type="dxa"/>
            <w:shd w:val="clear" w:color="auto" w:fill="D3DFEE"/>
          </w:tcPr>
          <w:p w:rsidR="00F766E8" w:rsidRPr="009B767E" w:rsidRDefault="00F766E8" w:rsidP="00F766E8">
            <w:pPr>
              <w:spacing w:after="0"/>
              <w:rPr>
                <w:sz w:val="20"/>
                <w:lang w:val="en-GB"/>
              </w:rPr>
            </w:pPr>
            <w:r w:rsidRPr="009B767E">
              <w:rPr>
                <w:sz w:val="20"/>
                <w:lang w:val="en-GB"/>
              </w:rPr>
              <w:t>Latin America</w:t>
            </w:r>
          </w:p>
        </w:tc>
        <w:tc>
          <w:tcPr>
            <w:tcW w:w="3388" w:type="dxa"/>
            <w:shd w:val="clear" w:color="auto" w:fill="D3DFEE"/>
          </w:tcPr>
          <w:p w:rsidR="00F766E8" w:rsidRPr="009B767E" w:rsidRDefault="00F766E8" w:rsidP="00F766E8">
            <w:pPr>
              <w:spacing w:after="0"/>
              <w:rPr>
                <w:sz w:val="20"/>
                <w:lang w:val="en-GB"/>
              </w:rPr>
            </w:pPr>
          </w:p>
        </w:tc>
        <w:tc>
          <w:tcPr>
            <w:tcW w:w="3402" w:type="dxa"/>
            <w:shd w:val="clear" w:color="auto" w:fill="D3DFEE"/>
          </w:tcPr>
          <w:p w:rsidR="00F766E8" w:rsidRPr="009B767E" w:rsidRDefault="00F766E8" w:rsidP="00F766E8">
            <w:pPr>
              <w:spacing w:after="0"/>
              <w:rPr>
                <w:sz w:val="20"/>
                <w:lang w:val="en-GB"/>
              </w:rPr>
            </w:pPr>
            <w:r w:rsidRPr="009B767E">
              <w:rPr>
                <w:sz w:val="20"/>
                <w:lang w:val="en-GB"/>
              </w:rPr>
              <w:t>Argentina, Bolivia</w:t>
            </w:r>
          </w:p>
        </w:tc>
      </w:tr>
      <w:tr w:rsidR="00F766E8" w:rsidRPr="009B767E">
        <w:tc>
          <w:tcPr>
            <w:tcW w:w="2390" w:type="dxa"/>
            <w:tcBorders>
              <w:bottom w:val="single" w:sz="8" w:space="0" w:color="FFFFFF"/>
            </w:tcBorders>
            <w:shd w:val="clear" w:color="auto" w:fill="D3DFEE"/>
          </w:tcPr>
          <w:p w:rsidR="00F766E8" w:rsidRPr="009B767E" w:rsidRDefault="00F766E8" w:rsidP="00F766E8">
            <w:pPr>
              <w:spacing w:after="0"/>
              <w:rPr>
                <w:sz w:val="20"/>
                <w:lang w:val="en-GB"/>
              </w:rPr>
            </w:pPr>
            <w:r w:rsidRPr="009B767E">
              <w:rPr>
                <w:sz w:val="20"/>
                <w:lang w:val="en-GB"/>
              </w:rPr>
              <w:t>Near East</w:t>
            </w:r>
          </w:p>
        </w:tc>
        <w:tc>
          <w:tcPr>
            <w:tcW w:w="3388" w:type="dxa"/>
            <w:tcBorders>
              <w:bottom w:val="single" w:sz="8" w:space="0" w:color="FFFFFF"/>
            </w:tcBorders>
            <w:shd w:val="clear" w:color="auto" w:fill="D3DFEE"/>
          </w:tcPr>
          <w:p w:rsidR="00F766E8" w:rsidRPr="009B767E" w:rsidRDefault="005F0255" w:rsidP="00F766E8">
            <w:pPr>
              <w:spacing w:after="0"/>
              <w:rPr>
                <w:sz w:val="20"/>
                <w:lang w:val="en-GB"/>
              </w:rPr>
            </w:pPr>
            <w:r>
              <w:rPr>
                <w:sz w:val="20"/>
                <w:lang w:val="en-GB"/>
              </w:rPr>
              <w:t>Jordan</w:t>
            </w:r>
          </w:p>
        </w:tc>
        <w:tc>
          <w:tcPr>
            <w:tcW w:w="3402" w:type="dxa"/>
            <w:tcBorders>
              <w:bottom w:val="single" w:sz="8" w:space="0" w:color="FFFFFF"/>
            </w:tcBorders>
            <w:shd w:val="clear" w:color="auto" w:fill="D3DFEE"/>
          </w:tcPr>
          <w:p w:rsidR="00F766E8" w:rsidRPr="009B767E" w:rsidRDefault="00F766E8" w:rsidP="005F0255">
            <w:pPr>
              <w:spacing w:after="0"/>
              <w:rPr>
                <w:sz w:val="20"/>
                <w:lang w:val="en-GB"/>
              </w:rPr>
            </w:pPr>
            <w:r w:rsidRPr="009B767E">
              <w:rPr>
                <w:sz w:val="20"/>
                <w:lang w:val="en-GB"/>
              </w:rPr>
              <w:t>Tunisia</w:t>
            </w:r>
          </w:p>
        </w:tc>
      </w:tr>
    </w:tbl>
    <w:p w:rsidR="00F766E8" w:rsidRPr="009B767E" w:rsidRDefault="00F766E8" w:rsidP="00F766E8">
      <w:pPr>
        <w:rPr>
          <w:lang w:val="en-GB"/>
        </w:rPr>
      </w:pPr>
    </w:p>
    <w:p w:rsidR="00F766E8" w:rsidRPr="009B767E" w:rsidRDefault="00F766E8" w:rsidP="00F766E8">
      <w:pPr>
        <w:pStyle w:val="Heading2"/>
        <w:rPr>
          <w:lang w:val="en-GB"/>
        </w:rPr>
      </w:pPr>
      <w:bookmarkStart w:id="16" w:name="_Toc133376088"/>
      <w:bookmarkStart w:id="17" w:name="_Toc260389719"/>
      <w:r w:rsidRPr="009B767E">
        <w:rPr>
          <w:lang w:val="en-GB"/>
        </w:rPr>
        <w:t>Can the Evaluation Findings be Trusted?</w:t>
      </w:r>
      <w:bookmarkEnd w:id="16"/>
      <w:bookmarkEnd w:id="17"/>
      <w:r w:rsidRPr="009B767E">
        <w:rPr>
          <w:lang w:val="en-GB"/>
        </w:rPr>
        <w:tab/>
      </w:r>
    </w:p>
    <w:p w:rsidR="00F766E8" w:rsidRPr="009B767E" w:rsidRDefault="00F766E8" w:rsidP="00F766E8">
      <w:pPr>
        <w:rPr>
          <w:lang w:val="en-GB"/>
        </w:rPr>
      </w:pPr>
      <w:r w:rsidRPr="009B767E">
        <w:rPr>
          <w:lang w:val="en-GB"/>
        </w:rPr>
        <w:t>There are different problems concerning validity and reliability</w:t>
      </w:r>
      <w:r w:rsidR="009E1D70">
        <w:rPr>
          <w:rStyle w:val="FootnoteReference"/>
          <w:lang w:val="en-GB"/>
        </w:rPr>
        <w:footnoteReference w:id="3"/>
      </w:r>
      <w:r w:rsidRPr="009B767E">
        <w:rPr>
          <w:lang w:val="en-GB"/>
        </w:rPr>
        <w:t xml:space="preserve"> in different parts of the evaluation. When we discuss impact of participation in the CTF, the reader must bear in mind that we have only visited 12 countries, less than 10% of the countries that have benefitted from support provided through the CTF. Having completed the country studies, we were surprised to find a much higher level of institutional development on Codex work than we had expected. We will treat impact in the next Chapter, but we can already say that we found that many things were happening in relation to Codex work in all the 12 countries. But what does it look like in other countries? Surely the rate of progress cannot be as high everywhere else as it has been in these countries? We have probably ended up with a positive bias in our sample of countries; it would be prudent to keep that in mind when looking at results. </w:t>
      </w:r>
    </w:p>
    <w:p w:rsidR="00F766E8" w:rsidRPr="009B767E" w:rsidRDefault="00F766E8" w:rsidP="00F766E8">
      <w:pPr>
        <w:rPr>
          <w:lang w:val="en-GB"/>
        </w:rPr>
      </w:pPr>
      <w:r w:rsidRPr="009B767E">
        <w:rPr>
          <w:lang w:val="en-GB"/>
        </w:rPr>
        <w:t xml:space="preserve">The main problem when analysing results and impact at country and regional level has been to assess the contribution of the CTF. In many cases there has been much progress on Codex work, national committees established, policies formulated, contributions to the Codex committees, comments on draft standards, development and adaptation of Codex standards to national standards, etc. There has been a noticeable and well documented development of capacities. The problem is that many actors have contributed to this. There was technical assistance from other specialised agencies, not least FAO. Many bilateral programs support capacity development, and in some cases there were huge investment programmes financed by World Bank loans that financed both physical infrastructure (research facilities) and human resource development. The CTF played a role, but was it catalyst of other activities, did it initiate events, or how important was it in the causal chain? The question of attribution and/or contribution is addressed in the next Chapter, but we point to it here as a major methodological issue. </w:t>
      </w:r>
    </w:p>
    <w:p w:rsidR="00F766E8" w:rsidRPr="009B767E" w:rsidRDefault="00F766E8" w:rsidP="00F766E8">
      <w:pPr>
        <w:rPr>
          <w:lang w:val="en-GB"/>
        </w:rPr>
      </w:pPr>
      <w:r w:rsidRPr="009B767E">
        <w:rPr>
          <w:lang w:val="en-GB"/>
        </w:rPr>
        <w:t xml:space="preserve">The focus of our discussion of results and impact lies on events at country and regional levels. While we have tried to get an understanding of the working of different committees, we have not really been able to analyse the full range of changes that may have happened as a result of the increased participation. This means that the accumulated inputs to the negotiating process in terms of scientific evidence as well as political and commercial interests remain a black box. We have not assessed the negotiation, coalition-building and voting patterns either, and hence we have no data on real changes in Codex standards nor on whose interests such changes serve.  </w:t>
      </w:r>
    </w:p>
    <w:p w:rsidR="00F766E8" w:rsidRPr="009B767E" w:rsidRDefault="00F766E8" w:rsidP="00F766E8">
      <w:pPr>
        <w:rPr>
          <w:lang w:val="en-GB"/>
        </w:rPr>
      </w:pPr>
      <w:r w:rsidRPr="009B767E">
        <w:rPr>
          <w:lang w:val="en-GB"/>
        </w:rPr>
        <w:lastRenderedPageBreak/>
        <w:t xml:space="preserve">Another difficult assessment relates to the efficiency of the CTF. In most circumstances efficiency is assessed by defining the ratio between output and costs. The first criterion is that this ratio should appear reasonable and positive and that is usually arrived at through benchmarking. However, there is no similar operation anywhere and hence there is no obvious benchmark. Our analysis of efficiency builds on tentative comparisons, but it is weak and must be interpreted with great care. </w:t>
      </w:r>
    </w:p>
    <w:p w:rsidR="00F766E8" w:rsidRPr="009B767E" w:rsidRDefault="00F766E8" w:rsidP="00F766E8">
      <w:pPr>
        <w:rPr>
          <w:lang w:val="en-GB"/>
        </w:rPr>
      </w:pPr>
      <w:r w:rsidRPr="009B767E">
        <w:rPr>
          <w:lang w:val="en-GB"/>
        </w:rPr>
        <w:t xml:space="preserve">With these shortcomings in mind, there is still quite a lot that can be said about the CTF. There is a surprising degree of correspondence between our different sources of data. The surveys confirm the conclusions that arise out of the country studies and the interviews (although at times on other topics) tend to point in the same direction. The reliability of the evaluation therefore is quite high, but for the reasons mentioned, validity is more problematic and must be interpreted cautiously. </w:t>
      </w:r>
    </w:p>
    <w:p w:rsidR="00F766E8" w:rsidRPr="009B767E" w:rsidRDefault="00F766E8" w:rsidP="00F766E8">
      <w:pPr>
        <w:pStyle w:val="Heading2"/>
        <w:rPr>
          <w:lang w:val="en-GB"/>
        </w:rPr>
      </w:pPr>
      <w:bookmarkStart w:id="18" w:name="_Toc133376089"/>
      <w:bookmarkStart w:id="19" w:name="_Toc260389720"/>
      <w:r w:rsidRPr="009B767E">
        <w:rPr>
          <w:lang w:val="en-GB"/>
        </w:rPr>
        <w:t>Guide to the reader</w:t>
      </w:r>
      <w:bookmarkEnd w:id="18"/>
      <w:bookmarkEnd w:id="19"/>
      <w:r w:rsidRPr="009B767E">
        <w:rPr>
          <w:lang w:val="en-GB"/>
        </w:rPr>
        <w:t xml:space="preserve"> </w:t>
      </w:r>
    </w:p>
    <w:p w:rsidR="00F766E8" w:rsidRPr="009B767E" w:rsidRDefault="00F766E8" w:rsidP="00F766E8">
      <w:pPr>
        <w:spacing w:after="0"/>
        <w:rPr>
          <w:lang w:val="en-GB"/>
        </w:rPr>
      </w:pPr>
      <w:r w:rsidRPr="009B767E">
        <w:rPr>
          <w:lang w:val="en-GB"/>
        </w:rPr>
        <w:t xml:space="preserve">This report follows a simple logic. We start with the </w:t>
      </w:r>
      <w:r>
        <w:rPr>
          <w:lang w:val="en-GB"/>
        </w:rPr>
        <w:t>overall impact at country level</w:t>
      </w:r>
      <w:r w:rsidRPr="009B767E">
        <w:rPr>
          <w:lang w:val="en-GB"/>
        </w:rPr>
        <w:t xml:space="preserve"> as we think that is the most interesting subject and the one where there is the least of prior knowledge. The analysis of </w:t>
      </w:r>
      <w:r>
        <w:rPr>
          <w:lang w:val="en-GB"/>
        </w:rPr>
        <w:t>impact</w:t>
      </w:r>
      <w:r w:rsidRPr="009B767E">
        <w:rPr>
          <w:lang w:val="en-GB"/>
        </w:rPr>
        <w:t xml:space="preserve"> also indicates where the focus should be when tackling the subjects of how the CTF has been set up, what the goals and objectives were, what programme logic it follows and what the strengths and weaknesses in the operation are. There is thus a logic of “if it ain’t broke, don’t fix it” and that means that it is necessary to start looking at </w:t>
      </w:r>
      <w:r>
        <w:rPr>
          <w:lang w:val="en-GB"/>
        </w:rPr>
        <w:t>impact</w:t>
      </w:r>
      <w:r w:rsidRPr="009B767E">
        <w:rPr>
          <w:lang w:val="en-GB"/>
        </w:rPr>
        <w:t xml:space="preserve"> before analysing what can be “fixed”. The recommendations depend not only on evidence of </w:t>
      </w:r>
      <w:r>
        <w:rPr>
          <w:lang w:val="en-GB"/>
        </w:rPr>
        <w:t>impact</w:t>
      </w:r>
      <w:r w:rsidRPr="009B767E">
        <w:rPr>
          <w:lang w:val="en-GB"/>
        </w:rPr>
        <w:t>, though, but also on potential for collaboration with other agencies, the expectation of partn</w:t>
      </w:r>
      <w:r>
        <w:rPr>
          <w:lang w:val="en-GB"/>
        </w:rPr>
        <w:t>ers, etc. and hence the latter C</w:t>
      </w:r>
      <w:r w:rsidRPr="009B767E">
        <w:rPr>
          <w:lang w:val="en-GB"/>
        </w:rPr>
        <w:t xml:space="preserve">hapters bring in the data collected from these interviews. The final Chapter concludes on the evidence of results and impact and presents recommendations in respect of, (1) refining and adjusting the operations of the CTF for the remaining 6 years, and (2) whether there might be a need for continued activities after that. </w:t>
      </w:r>
    </w:p>
    <w:p w:rsidR="00F766E8" w:rsidRPr="009B767E" w:rsidRDefault="00F766E8" w:rsidP="00F766E8">
      <w:pPr>
        <w:spacing w:after="0"/>
        <w:rPr>
          <w:lang w:val="en-GB"/>
        </w:rPr>
      </w:pPr>
    </w:p>
    <w:p w:rsidR="00F766E8" w:rsidRPr="009B767E" w:rsidRDefault="00F766E8" w:rsidP="00F766E8">
      <w:pPr>
        <w:spacing w:after="0"/>
        <w:rPr>
          <w:lang w:val="en-GB"/>
        </w:rPr>
      </w:pPr>
    </w:p>
    <w:p w:rsidR="00F766E8" w:rsidRPr="009B767E" w:rsidRDefault="00F766E8" w:rsidP="00F766E8">
      <w:pPr>
        <w:spacing w:after="0"/>
        <w:rPr>
          <w:lang w:val="en-GB"/>
        </w:rPr>
      </w:pPr>
    </w:p>
    <w:p w:rsidR="00F766E8" w:rsidRPr="009B767E" w:rsidRDefault="00F766E8" w:rsidP="00F766E8">
      <w:pPr>
        <w:spacing w:after="0"/>
        <w:rPr>
          <w:lang w:val="en-GB"/>
        </w:rPr>
      </w:pPr>
    </w:p>
    <w:p w:rsidR="00F766E8" w:rsidRPr="009B767E" w:rsidRDefault="00F766E8" w:rsidP="00F766E8">
      <w:pPr>
        <w:pStyle w:val="Heading1"/>
        <w:rPr>
          <w:lang w:val="en-GB"/>
        </w:rPr>
      </w:pPr>
      <w:r w:rsidRPr="009B767E">
        <w:rPr>
          <w:lang w:val="en-GB"/>
        </w:rPr>
        <w:br w:type="page"/>
      </w:r>
      <w:bookmarkStart w:id="20" w:name="_Toc133376090"/>
      <w:bookmarkStart w:id="21" w:name="_Toc260389721"/>
      <w:r w:rsidRPr="009B767E">
        <w:rPr>
          <w:lang w:val="en-GB"/>
        </w:rPr>
        <w:lastRenderedPageBreak/>
        <w:t xml:space="preserve">Chapter 2. </w:t>
      </w:r>
      <w:r>
        <w:rPr>
          <w:lang w:val="en-GB"/>
        </w:rPr>
        <w:t>Impact</w:t>
      </w:r>
      <w:r w:rsidRPr="009B767E">
        <w:rPr>
          <w:lang w:val="en-GB"/>
        </w:rPr>
        <w:t xml:space="preserve"> at Country level</w:t>
      </w:r>
      <w:bookmarkEnd w:id="20"/>
      <w:bookmarkEnd w:id="21"/>
    </w:p>
    <w:p w:rsidR="00F766E8" w:rsidRPr="009B767E" w:rsidRDefault="00F766E8" w:rsidP="00F766E8">
      <w:pPr>
        <w:rPr>
          <w:lang w:val="en-GB"/>
        </w:rPr>
      </w:pPr>
    </w:p>
    <w:p w:rsidR="00F766E8" w:rsidRPr="009B767E" w:rsidRDefault="00F766E8" w:rsidP="00F766E8">
      <w:pPr>
        <w:pStyle w:val="Heading2"/>
        <w:rPr>
          <w:lang w:val="en-GB"/>
        </w:rPr>
      </w:pPr>
      <w:bookmarkStart w:id="22" w:name="_Toc133376091"/>
      <w:bookmarkStart w:id="23" w:name="_Toc260389722"/>
      <w:r w:rsidRPr="009B767E">
        <w:rPr>
          <w:lang w:val="en-GB"/>
        </w:rPr>
        <w:t>Impact of the Trust Fund Activities</w:t>
      </w:r>
      <w:bookmarkEnd w:id="22"/>
      <w:bookmarkEnd w:id="23"/>
    </w:p>
    <w:p w:rsidR="00F766E8" w:rsidRPr="009B767E" w:rsidRDefault="00F766E8" w:rsidP="00F766E8">
      <w:pPr>
        <w:rPr>
          <w:lang w:val="en-GB"/>
        </w:rPr>
      </w:pPr>
      <w:r w:rsidRPr="009B767E">
        <w:rPr>
          <w:lang w:val="en-GB"/>
        </w:rPr>
        <w:t>The question of impact</w:t>
      </w:r>
      <w:r w:rsidRPr="009B767E">
        <w:rPr>
          <w:rStyle w:val="FootnoteReference"/>
          <w:rFonts w:eastAsia="SimSun"/>
          <w:lang w:val="en-GB"/>
        </w:rPr>
        <w:footnoteReference w:id="4"/>
      </w:r>
      <w:r>
        <w:rPr>
          <w:lang w:val="en-GB"/>
        </w:rPr>
        <w:t xml:space="preserve"> is complex but</w:t>
      </w:r>
      <w:r w:rsidRPr="009B767E">
        <w:rPr>
          <w:lang w:val="en-GB"/>
        </w:rPr>
        <w:t xml:space="preserve"> knowledge of impact is a key dimension of any assessment of a programme. During the country visits, in particular in the meetings with stakeholders in governments and industries, the evaluation gathered much evidence on the nature of impact, the difficulties in creating an impact, and the diversity of impacts. </w:t>
      </w:r>
    </w:p>
    <w:p w:rsidR="00F766E8" w:rsidRPr="009B767E" w:rsidRDefault="00F766E8" w:rsidP="00F766E8">
      <w:pPr>
        <w:pStyle w:val="BodyText2"/>
        <w:spacing w:line="240" w:lineRule="auto"/>
        <w:rPr>
          <w:lang w:val="en-GB"/>
        </w:rPr>
      </w:pPr>
      <w:r w:rsidRPr="009B767E">
        <w:rPr>
          <w:lang w:val="en-GB"/>
        </w:rPr>
        <w:t xml:space="preserve">The Terms of Reference for this evaluation asks three questions about impact: What has happened as a result of the project? What has been the impact at the country/regional levels? Can changes be observed in beneficiary countries? In the course of the evaluation the question has often been raised, and people often asked whether it is possible to measure impact. The answer to that question is; “Yes, of course”. But that does not necessarily mean that it is a useful exercise. Impact can be measured but one must remember that measurement presupposes a scale. The question is rather, what kind of a scale and what does it mean to assign values on a scale. In research, several scales are used, from simple ordinal scales to ratio scales. A ratio scale requires very precise data. An ordinal scale is more basic and can use qualitative data and would consist of categories that rank activities, such as these: </w:t>
      </w:r>
    </w:p>
    <w:p w:rsidR="00F766E8" w:rsidRPr="009B767E" w:rsidRDefault="00F766E8" w:rsidP="00F766E8">
      <w:pPr>
        <w:pStyle w:val="ListParagraph"/>
        <w:numPr>
          <w:ilvl w:val="0"/>
          <w:numId w:val="4"/>
        </w:numPr>
        <w:spacing w:before="0" w:after="0"/>
        <w:rPr>
          <w:lang w:val="en-GB"/>
        </w:rPr>
      </w:pPr>
      <w:r w:rsidRPr="009B767E">
        <w:rPr>
          <w:lang w:val="en-GB"/>
        </w:rPr>
        <w:t>Highly satisfactory</w:t>
      </w:r>
    </w:p>
    <w:p w:rsidR="00F766E8" w:rsidRPr="009B767E" w:rsidRDefault="00F766E8" w:rsidP="00F766E8">
      <w:pPr>
        <w:pStyle w:val="ListParagraph"/>
        <w:numPr>
          <w:ilvl w:val="0"/>
          <w:numId w:val="4"/>
        </w:numPr>
        <w:spacing w:before="0" w:after="0"/>
        <w:rPr>
          <w:lang w:val="en-GB"/>
        </w:rPr>
      </w:pPr>
      <w:r w:rsidRPr="009B767E">
        <w:rPr>
          <w:lang w:val="en-GB"/>
        </w:rPr>
        <w:t>Satisfactory</w:t>
      </w:r>
    </w:p>
    <w:p w:rsidR="00F766E8" w:rsidRPr="009B767E" w:rsidRDefault="00F766E8" w:rsidP="00F766E8">
      <w:pPr>
        <w:pStyle w:val="ListParagraph"/>
        <w:numPr>
          <w:ilvl w:val="0"/>
          <w:numId w:val="4"/>
        </w:numPr>
        <w:spacing w:before="0" w:after="0"/>
        <w:rPr>
          <w:lang w:val="en-GB"/>
        </w:rPr>
      </w:pPr>
      <w:r w:rsidRPr="009B767E">
        <w:rPr>
          <w:lang w:val="en-GB"/>
        </w:rPr>
        <w:t>Unsatisfactory</w:t>
      </w:r>
    </w:p>
    <w:p w:rsidR="00F766E8" w:rsidRPr="009B767E" w:rsidRDefault="00F766E8" w:rsidP="00F766E8">
      <w:pPr>
        <w:pStyle w:val="ListParagraph"/>
        <w:numPr>
          <w:ilvl w:val="0"/>
          <w:numId w:val="4"/>
        </w:numPr>
        <w:spacing w:before="0" w:after="0"/>
        <w:rPr>
          <w:lang w:val="en-GB"/>
        </w:rPr>
      </w:pPr>
      <w:r w:rsidRPr="009B767E">
        <w:rPr>
          <w:lang w:val="en-GB"/>
        </w:rPr>
        <w:t>Highly unsatisfactory</w:t>
      </w:r>
    </w:p>
    <w:p w:rsidR="00F766E8" w:rsidRPr="009B767E" w:rsidRDefault="00F766E8" w:rsidP="00F766E8">
      <w:pPr>
        <w:spacing w:after="0"/>
        <w:rPr>
          <w:lang w:val="en-GB"/>
        </w:rPr>
      </w:pPr>
    </w:p>
    <w:p w:rsidR="00F766E8" w:rsidRPr="009B767E" w:rsidRDefault="00F766E8" w:rsidP="00F766E8">
      <w:pPr>
        <w:pStyle w:val="BodyText2"/>
        <w:spacing w:after="240" w:line="240" w:lineRule="auto"/>
        <w:rPr>
          <w:lang w:val="en-GB"/>
        </w:rPr>
      </w:pPr>
      <w:r w:rsidRPr="009B767E">
        <w:rPr>
          <w:lang w:val="en-GB"/>
        </w:rPr>
        <w:t xml:space="preserve">Many agencies in development cooperation use such ranking scales when they assess impact (the World Bank, to mention one). In the course of this evaluation we have observed several activities by the National Codex Committees and other organisations. We could surely have rated our observations on that scale. The question is whether that information would be of much interest and relevance? </w:t>
      </w:r>
    </w:p>
    <w:p w:rsidR="00F766E8" w:rsidRPr="009B767E" w:rsidRDefault="00F766E8" w:rsidP="00F766E8">
      <w:pPr>
        <w:pStyle w:val="BodyText2"/>
        <w:spacing w:after="240" w:line="240" w:lineRule="auto"/>
        <w:rPr>
          <w:lang w:val="en-GB"/>
        </w:rPr>
      </w:pPr>
      <w:r w:rsidRPr="009B767E">
        <w:rPr>
          <w:lang w:val="en-GB"/>
        </w:rPr>
        <w:t>The value judgement that such measures are based on is subjective. The problem is, whose judgement would be used to measure and what kind of empirical data would support the measurement? There are different kinds of impact, with a variety of potential consequences, and it is difficult to say, for example, that offering a training programme of a day on the Codex Alimentarius and its committees will lead to effective participation, or whether interaction in a twinning programme would yield the same results. There is no objective way to judge one to be better than the other, nor even to pronounce them equally good, which might come to be implied on a scale such as the one illustrated above.</w:t>
      </w:r>
    </w:p>
    <w:p w:rsidR="00F766E8" w:rsidRPr="009B767E" w:rsidRDefault="00F766E8" w:rsidP="00F766E8">
      <w:pPr>
        <w:pStyle w:val="BodyText2"/>
        <w:spacing w:after="240" w:line="240" w:lineRule="auto"/>
        <w:rPr>
          <w:lang w:val="en-GB"/>
        </w:rPr>
      </w:pPr>
      <w:r w:rsidRPr="009B767E">
        <w:rPr>
          <w:lang w:val="en-GB"/>
        </w:rPr>
        <w:t xml:space="preserve">In order to </w:t>
      </w:r>
      <w:r w:rsidRPr="009B767E">
        <w:rPr>
          <w:u w:val="single"/>
          <w:lang w:val="en-GB"/>
        </w:rPr>
        <w:t>measure</w:t>
      </w:r>
      <w:r w:rsidRPr="009B767E">
        <w:rPr>
          <w:lang w:val="en-GB"/>
        </w:rPr>
        <w:t xml:space="preserve"> impact, it is also necessary to study the universal population. This would necessitate a classical application of causality, that is, to find out whether the project is both necessary and sufficient for the impact to be observed. We have never, during the conduct of this evaluation, encountered any such causal links. The CTF has often had a role to play, but it has always been one contributing factor among others. The idea of </w:t>
      </w:r>
      <w:r w:rsidRPr="009B767E">
        <w:rPr>
          <w:u w:val="single"/>
          <w:lang w:val="en-GB"/>
        </w:rPr>
        <w:t>measuring</w:t>
      </w:r>
      <w:r w:rsidRPr="009B767E">
        <w:rPr>
          <w:lang w:val="en-GB"/>
        </w:rPr>
        <w:t xml:space="preserve"> impact should thus be </w:t>
      </w:r>
      <w:r w:rsidRPr="009B767E">
        <w:rPr>
          <w:lang w:val="en-GB"/>
        </w:rPr>
        <w:lastRenderedPageBreak/>
        <w:t xml:space="preserve">abandoned. It could be done, but it would neither be relevant nor interesting. It would be a costly and impractical exercise, yielding little of valuable information. It is better to use the resources to </w:t>
      </w:r>
      <w:r w:rsidRPr="009B767E">
        <w:rPr>
          <w:u w:val="single"/>
          <w:lang w:val="en-GB"/>
        </w:rPr>
        <w:t>assess</w:t>
      </w:r>
      <w:r w:rsidRPr="009B767E">
        <w:rPr>
          <w:lang w:val="en-GB"/>
        </w:rPr>
        <w:t xml:space="preserve"> impact. </w:t>
      </w:r>
    </w:p>
    <w:p w:rsidR="00F766E8" w:rsidRPr="009B767E" w:rsidRDefault="00F766E8" w:rsidP="00F766E8">
      <w:pPr>
        <w:pStyle w:val="Heading2"/>
        <w:rPr>
          <w:lang w:val="en-GB"/>
        </w:rPr>
      </w:pPr>
      <w:bookmarkStart w:id="24" w:name="_Toc471267949"/>
      <w:bookmarkStart w:id="25" w:name="_Toc471357413"/>
      <w:bookmarkStart w:id="26" w:name="_Toc25298046"/>
      <w:bookmarkStart w:id="27" w:name="_Toc133376092"/>
      <w:bookmarkStart w:id="28" w:name="_Toc260389723"/>
      <w:r w:rsidRPr="009B767E">
        <w:rPr>
          <w:lang w:val="en-GB"/>
        </w:rPr>
        <w:t>Assessment of impact</w:t>
      </w:r>
      <w:bookmarkEnd w:id="24"/>
      <w:bookmarkEnd w:id="25"/>
      <w:bookmarkEnd w:id="26"/>
      <w:bookmarkEnd w:id="27"/>
      <w:bookmarkEnd w:id="28"/>
    </w:p>
    <w:p w:rsidR="00F766E8" w:rsidRPr="009B767E" w:rsidRDefault="00F766E8" w:rsidP="00F766E8">
      <w:pPr>
        <w:pStyle w:val="BodyText2"/>
        <w:spacing w:after="0" w:line="240" w:lineRule="auto"/>
        <w:rPr>
          <w:lang w:val="en-GB"/>
        </w:rPr>
      </w:pPr>
      <w:r w:rsidRPr="009B767E">
        <w:rPr>
          <w:lang w:val="en-GB"/>
        </w:rPr>
        <w:t>Instead of measuring impact, we can describe impact and based on this description we can assess it and make a conclusion on its worth and merit</w:t>
      </w:r>
      <w:r w:rsidRPr="009B767E">
        <w:rPr>
          <w:rStyle w:val="FootnoteReference"/>
          <w:lang w:val="en-GB"/>
        </w:rPr>
        <w:footnoteReference w:id="5"/>
      </w:r>
      <w:r w:rsidRPr="009B767E">
        <w:rPr>
          <w:lang w:val="en-GB"/>
        </w:rPr>
        <w:t>. Information and knowledge are effectively contained and disseminated in narrative form. By providing concrete and critically examined examples of how project activities affect Codex work it is possible to discuss whether that impact is high or not, whether it has been achieved at a reasonable cost, what the obstacles were, and how it can be sustained or increased. That is a far more interesting discussion than to present measures on a scale.</w:t>
      </w:r>
    </w:p>
    <w:p w:rsidR="00F766E8" w:rsidRPr="009B767E" w:rsidRDefault="00F766E8" w:rsidP="00F766E8">
      <w:pPr>
        <w:spacing w:after="0"/>
        <w:rPr>
          <w:lang w:val="en-GB"/>
        </w:rPr>
      </w:pPr>
    </w:p>
    <w:p w:rsidR="00F766E8" w:rsidRPr="009B767E" w:rsidRDefault="00F766E8" w:rsidP="00F766E8">
      <w:pPr>
        <w:rPr>
          <w:lang w:val="en-GB"/>
        </w:rPr>
      </w:pPr>
      <w:r w:rsidRPr="009B767E">
        <w:rPr>
          <w:lang w:val="en-GB"/>
        </w:rPr>
        <w:t>Let us give an example of how impact can be assessed. One person from Bolivia took part twice in the Codex Committee on Milk and Milk Products (2005 and 2008). Before the first meeting, a national position on the issues to be discussed was developed. In between the first and second participation, Bolivia corresponded with the Committee</w:t>
      </w:r>
      <w:r w:rsidR="005F0255">
        <w:rPr>
          <w:lang w:val="en-GB"/>
        </w:rPr>
        <w:t xml:space="preserve"> and</w:t>
      </w:r>
      <w:r w:rsidRPr="009B767E">
        <w:rPr>
          <w:lang w:val="en-GB"/>
        </w:rPr>
        <w:t xml:space="preserve"> forwarded the Bolivian position on proposals to be discussed in meetings. After the participation in 2008, the sub-committee of the Bolivian National Codex Committee chaired the work of analysing standards from the Codex Committee, followed up with research and developed adapted proposals for national Bolivian standards. Five such standards were adopted in 2008 and 2009. </w:t>
      </w:r>
    </w:p>
    <w:p w:rsidR="00F766E8" w:rsidRPr="009B767E" w:rsidRDefault="00F766E8" w:rsidP="00F766E8">
      <w:pPr>
        <w:rPr>
          <w:lang w:val="en-GB"/>
        </w:rPr>
      </w:pPr>
      <w:r w:rsidRPr="009B767E">
        <w:rPr>
          <w:lang w:val="en-GB"/>
        </w:rPr>
        <w:t xml:space="preserve">As this example shows, impact is observed as a case that can be revealing and instructive. It is described as a short story. It should not be frowned upon as anecdotal - stories form the stepping stones of knowledge, and case studies can be observed and recounted systematically, objectively and with scientific rigor. Stories have always been effective and efficient means of communication and such cases can be vehicles to convey information on how impact is created and how it can be supported. </w:t>
      </w:r>
    </w:p>
    <w:p w:rsidR="00F766E8" w:rsidRPr="009B767E" w:rsidRDefault="00F766E8" w:rsidP="00F766E8">
      <w:pPr>
        <w:rPr>
          <w:lang w:val="en-GB"/>
        </w:rPr>
      </w:pPr>
      <w:r w:rsidRPr="009B767E">
        <w:rPr>
          <w:lang w:val="en-GB"/>
        </w:rPr>
        <w:t xml:space="preserve">The most difficult question to answer here is whether the development of Bolivian standards should be attributed to the CTF. Our response would be “certainly not!” First, if we look at the total effort involved in creating these five standards it is quite clear that most of the work occurs in the Bolivian environment, in the national Codex committees, in research institutes, in the ministries of Health and Agriculture, and so on. The CTF contribution to the participation in the two Codex meetings amount to some USD 20.000 at the maximum. The national Bolivian inputs would be valued much higher. Nevertheless, the participation appears to have enhanced the work in Bolivia, motivated the staff, and gave concrete inputs to the work. Without those inputs, the standards development might have occurred anyway, but in all likelihood later and perhaps not as extensively. When the counterfactual situation was discussed with various experts in Bolivia, that’s what they suggest. The CTF participation has </w:t>
      </w:r>
      <w:r w:rsidRPr="009B767E">
        <w:rPr>
          <w:u w:val="single"/>
          <w:lang w:val="en-GB"/>
        </w:rPr>
        <w:t>contributed</w:t>
      </w:r>
      <w:r w:rsidRPr="009B767E">
        <w:rPr>
          <w:lang w:val="en-GB"/>
        </w:rPr>
        <w:t xml:space="preserve"> to the development of standards for milk products in Bolivia, but the change in standards and the subsequent changes in, for example, prevalence of infant formulae and their contents cannot be </w:t>
      </w:r>
      <w:r w:rsidRPr="009B767E">
        <w:rPr>
          <w:u w:val="single"/>
          <w:lang w:val="en-GB"/>
        </w:rPr>
        <w:t>attributed</w:t>
      </w:r>
      <w:r w:rsidRPr="009B767E">
        <w:rPr>
          <w:lang w:val="en-GB"/>
        </w:rPr>
        <w:t xml:space="preserve"> to the CTF participation. The difference here lies in the two words attribution and contribution, where the former denotes a classical causality mechanism and the latter multiple causality. In the following, we are dealing with contribution. </w:t>
      </w:r>
    </w:p>
    <w:p w:rsidR="00F766E8" w:rsidRPr="009B767E" w:rsidRDefault="00F766E8" w:rsidP="00F766E8">
      <w:pPr>
        <w:pStyle w:val="Heading2"/>
        <w:rPr>
          <w:lang w:val="en-GB"/>
        </w:rPr>
      </w:pPr>
      <w:bookmarkStart w:id="29" w:name="_Toc471267950"/>
      <w:bookmarkStart w:id="30" w:name="_Toc471357414"/>
      <w:bookmarkStart w:id="31" w:name="_Toc25298047"/>
      <w:bookmarkStart w:id="32" w:name="_Toc133376093"/>
      <w:bookmarkStart w:id="33" w:name="_Toc260389724"/>
      <w:r w:rsidRPr="009B767E">
        <w:rPr>
          <w:lang w:val="en-GB"/>
        </w:rPr>
        <w:t>Main types of impact</w:t>
      </w:r>
      <w:bookmarkEnd w:id="29"/>
      <w:bookmarkEnd w:id="30"/>
      <w:bookmarkEnd w:id="31"/>
      <w:bookmarkEnd w:id="32"/>
      <w:bookmarkEnd w:id="33"/>
    </w:p>
    <w:p w:rsidR="00F766E8" w:rsidRPr="009B767E" w:rsidRDefault="00F766E8" w:rsidP="00F766E8">
      <w:pPr>
        <w:rPr>
          <w:lang w:val="en-GB"/>
        </w:rPr>
      </w:pPr>
      <w:r w:rsidRPr="009B767E">
        <w:rPr>
          <w:lang w:val="en-GB"/>
        </w:rPr>
        <w:t xml:space="preserve">Before proceeding to the analysis of impact, it is necessary to unpack the concept. The word impact is deceptively simple, but it covers a wide variety of empirical facts. In order to analyse </w:t>
      </w:r>
      <w:r w:rsidRPr="009B767E">
        <w:rPr>
          <w:lang w:val="en-GB"/>
        </w:rPr>
        <w:lastRenderedPageBreak/>
        <w:t xml:space="preserve">and discuss impact, we found it necessary to </w:t>
      </w:r>
      <w:r w:rsidR="005F0255">
        <w:rPr>
          <w:lang w:val="en-GB"/>
        </w:rPr>
        <w:t>structure</w:t>
      </w:r>
      <w:r w:rsidR="005F0255" w:rsidRPr="009B767E">
        <w:rPr>
          <w:lang w:val="en-GB"/>
        </w:rPr>
        <w:t xml:space="preserve"> </w:t>
      </w:r>
      <w:r w:rsidRPr="009B767E">
        <w:rPr>
          <w:lang w:val="en-GB"/>
        </w:rPr>
        <w:t xml:space="preserve">the discussion </w:t>
      </w:r>
      <w:r w:rsidR="005F0255">
        <w:rPr>
          <w:lang w:val="en-GB"/>
        </w:rPr>
        <w:t>according to</w:t>
      </w:r>
      <w:r w:rsidR="005F0255" w:rsidRPr="009B767E">
        <w:rPr>
          <w:lang w:val="en-GB"/>
        </w:rPr>
        <w:t xml:space="preserve"> </w:t>
      </w:r>
      <w:r w:rsidRPr="009B767E">
        <w:rPr>
          <w:lang w:val="en-GB"/>
        </w:rPr>
        <w:t xml:space="preserve">different categories. The question of impact can be approached by looking at the CTF project document. The outputs that are provided don’t give much guidance, but the overall goals and purpose serve as a starting point. They explain what is meant to happen as a result of participation in Codex meetings and that, by definition, is the same as impact. The project document says that; “The long-term goal is; </w:t>
      </w:r>
      <w:r w:rsidRPr="009B767E">
        <w:rPr>
          <w:i/>
          <w:lang w:val="en-GB"/>
        </w:rPr>
        <w:t>to further the improvement of global public health and food security by promoting the provision of safer and more nutritious food and contributing to a reduction in foodborne diseases.</w:t>
      </w:r>
      <w:r w:rsidRPr="009B767E">
        <w:rPr>
          <w:lang w:val="en-GB"/>
        </w:rPr>
        <w:t xml:space="preserve"> Its purpose is; </w:t>
      </w:r>
      <w:r w:rsidRPr="009B767E">
        <w:rPr>
          <w:i/>
          <w:lang w:val="en-GB"/>
        </w:rPr>
        <w:t>to help developing countries and those with economies in transition to enhance their level of effective participation in the development of global food safety and quality standards by the Codex Alimentarius Commission</w:t>
      </w:r>
      <w:r w:rsidRPr="009B767E">
        <w:rPr>
          <w:lang w:val="en-GB"/>
        </w:rPr>
        <w:t xml:space="preserve">.” </w:t>
      </w:r>
    </w:p>
    <w:p w:rsidR="00F766E8" w:rsidRPr="009B767E" w:rsidRDefault="00F766E8" w:rsidP="00F766E8">
      <w:pPr>
        <w:rPr>
          <w:lang w:val="en-GB"/>
        </w:rPr>
      </w:pPr>
      <w:r w:rsidRPr="009B767E">
        <w:rPr>
          <w:lang w:val="en-GB"/>
        </w:rPr>
        <w:t>If we were able to find that there is an improvement in public health and in food security, that food is safer and more nu</w:t>
      </w:r>
      <w:r>
        <w:rPr>
          <w:lang w:val="en-GB"/>
        </w:rPr>
        <w:t>tritious and that foodborne</w:t>
      </w:r>
      <w:r w:rsidRPr="009B767E">
        <w:rPr>
          <w:lang w:val="en-GB"/>
        </w:rPr>
        <w:t xml:space="preserve"> diseases are reduced, and if that can credibly be linked to the development of standards and to participation in Codex, that would be a strong argument for impact. While that is probably the case in the long run, it is certainly a process of development that takes more than 5 to 6 years to happen. We have not been able to document any real improvement in either public health or food safety that could be connected to participation in Codex meetings (but the Bolivian example above points to a probable link). But we have seen examples of the development and adaptation of standards in connection to participation in Codex meeting and that is a critical link along the way to improved food security.</w:t>
      </w:r>
    </w:p>
    <w:p w:rsidR="00F766E8" w:rsidRPr="009B767E" w:rsidRDefault="00F766E8" w:rsidP="00F766E8">
      <w:pPr>
        <w:rPr>
          <w:lang w:val="en-GB"/>
        </w:rPr>
      </w:pPr>
      <w:r w:rsidRPr="009B767E">
        <w:rPr>
          <w:lang w:val="en-GB"/>
        </w:rPr>
        <w:t>It is more fruitful to look at the purpose of the CTF. An impact of increased and strengthened participation (cf. the project outputs) could be that countries more effectively participate in the development of global food safety and quality standards by the CAC. Such effective participation would be connected to a number of process and structure issues; for example, the submission of proposals to the Codex committees, comments on proposals, using global standards to develop national standards, building organisational structures through which these activities take place, and developing national policies to guide these processes. In the following we will thus start by analysing the development of institutions in the countries that were visited in the course of the evaluation</w:t>
      </w:r>
      <w:r>
        <w:rPr>
          <w:rStyle w:val="FootnoteReference"/>
          <w:lang w:val="en-GB"/>
        </w:rPr>
        <w:footnoteReference w:id="6"/>
      </w:r>
      <w:r w:rsidRPr="009B767E">
        <w:rPr>
          <w:lang w:val="en-GB"/>
        </w:rPr>
        <w:t xml:space="preserve">. </w:t>
      </w:r>
    </w:p>
    <w:p w:rsidR="00F766E8" w:rsidRPr="009B767E" w:rsidRDefault="00F766E8" w:rsidP="00F766E8">
      <w:pPr>
        <w:pStyle w:val="Heading3"/>
        <w:rPr>
          <w:lang w:val="en-GB"/>
        </w:rPr>
      </w:pPr>
      <w:bookmarkStart w:id="34" w:name="_Toc133376094"/>
      <w:r w:rsidRPr="009B767E">
        <w:rPr>
          <w:lang w:val="en-GB"/>
        </w:rPr>
        <w:t>Changing Framework of the National Codex Activities</w:t>
      </w:r>
      <w:bookmarkEnd w:id="34"/>
    </w:p>
    <w:p w:rsidR="00F766E8" w:rsidRPr="009B767E" w:rsidRDefault="00F766E8" w:rsidP="00F766E8">
      <w:pPr>
        <w:rPr>
          <w:lang w:val="en-GB"/>
        </w:rPr>
      </w:pPr>
      <w:r w:rsidRPr="009B767E">
        <w:rPr>
          <w:lang w:val="en-GB"/>
        </w:rPr>
        <w:t xml:space="preserve">The first question is thus what structures have been put in place to develop food standards. </w:t>
      </w:r>
      <w:r w:rsidR="00AE227F" w:rsidRPr="009B767E">
        <w:rPr>
          <w:lang w:val="en-GB"/>
        </w:rPr>
        <w:fldChar w:fldCharType="begin"/>
      </w:r>
      <w:r w:rsidRPr="009B767E">
        <w:rPr>
          <w:lang w:val="en-GB"/>
        </w:rPr>
        <w:instrText xml:space="preserve"> REF _Ref256760772 \h </w:instrText>
      </w:r>
      <w:r w:rsidR="00AE227F" w:rsidRPr="009B767E">
        <w:rPr>
          <w:lang w:val="en-GB"/>
        </w:rPr>
      </w:r>
      <w:r w:rsidR="00AE227F" w:rsidRPr="009B767E">
        <w:rPr>
          <w:lang w:val="en-GB"/>
        </w:rPr>
        <w:fldChar w:fldCharType="separate"/>
      </w:r>
      <w:r w:rsidR="004F08A8" w:rsidRPr="009B767E">
        <w:rPr>
          <w:lang w:val="en-GB"/>
        </w:rPr>
        <w:t xml:space="preserve">Table </w:t>
      </w:r>
      <w:r w:rsidR="004F08A8">
        <w:rPr>
          <w:noProof/>
          <w:lang w:val="en-GB"/>
        </w:rPr>
        <w:t>2</w:t>
      </w:r>
      <w:r w:rsidR="00AE227F" w:rsidRPr="009B767E">
        <w:rPr>
          <w:lang w:val="en-GB"/>
        </w:rPr>
        <w:fldChar w:fldCharType="end"/>
      </w:r>
      <w:r w:rsidRPr="009B767E">
        <w:rPr>
          <w:lang w:val="en-GB"/>
        </w:rPr>
        <w:t xml:space="preserve"> sums up the experience in the 12 countries visited. The table summarises some basic data; year of joining Codex and establishing some institutional framework, and connection to government ministries. In more detail, we could point to the example of Ghana which is interesting because it has a long history </w:t>
      </w:r>
      <w:r w:rsidR="005F0255">
        <w:rPr>
          <w:lang w:val="en-GB"/>
        </w:rPr>
        <w:t>of</w:t>
      </w:r>
      <w:r w:rsidR="005F0255" w:rsidRPr="009B767E">
        <w:rPr>
          <w:lang w:val="en-GB"/>
        </w:rPr>
        <w:t xml:space="preserve"> </w:t>
      </w:r>
      <w:r w:rsidRPr="009B767E">
        <w:rPr>
          <w:lang w:val="en-GB"/>
        </w:rPr>
        <w:t xml:space="preserve">varied involvement </w:t>
      </w:r>
      <w:r w:rsidR="005F0255">
        <w:rPr>
          <w:lang w:val="en-GB"/>
        </w:rPr>
        <w:t xml:space="preserve">in Codex </w:t>
      </w:r>
      <w:r w:rsidRPr="009B767E">
        <w:rPr>
          <w:lang w:val="en-GB"/>
        </w:rPr>
        <w:t>over the years. Ghana was the first African Country to host the Codex Coordinating Committee for Africa (CCAFRICA) in Accra in 1975, after the first meeting of the Coordinating Committee, which was held in Rome in 1973. Ghana’s participation slowed down and eventually Ghana had very minimal, if any</w:t>
      </w:r>
      <w:r w:rsidR="005F0255">
        <w:rPr>
          <w:lang w:val="en-GB"/>
        </w:rPr>
        <w:t>,</w:t>
      </w:r>
      <w:r w:rsidRPr="009B767E">
        <w:rPr>
          <w:lang w:val="en-GB"/>
        </w:rPr>
        <w:t xml:space="preserve"> involvement in Codex activities. Following a hiatus of some 15 years, 1996 saw efforts to reactivate the Codex Contact Point. Ghana revived its interest in Codex and now has a National Codex Committee (re-inaugurated in 2003), which comprises 22 members. Under the NCC are the Shadow Codex Sub-Committees, which handle Codex standards work, including preparation for Codex meetings as well as developing a draft national position. A library of Codex documents and materials has </w:t>
      </w:r>
      <w:r w:rsidRPr="009B767E">
        <w:rPr>
          <w:lang w:val="en-GB"/>
        </w:rPr>
        <w:lastRenderedPageBreak/>
        <w:t xml:space="preserve">been built up. Ghana has a Strategic Plan for Codex and has a </w:t>
      </w:r>
      <w:r w:rsidR="00500F6D">
        <w:rPr>
          <w:lang w:val="en-GB"/>
        </w:rPr>
        <w:t>b</w:t>
      </w:r>
      <w:r w:rsidRPr="009B767E">
        <w:rPr>
          <w:lang w:val="en-GB"/>
        </w:rPr>
        <w:t xml:space="preserve">ank </w:t>
      </w:r>
      <w:r w:rsidR="00500F6D">
        <w:rPr>
          <w:lang w:val="en-GB"/>
        </w:rPr>
        <w:t>a</w:t>
      </w:r>
      <w:r w:rsidRPr="009B767E">
        <w:rPr>
          <w:lang w:val="en-GB"/>
        </w:rPr>
        <w:t xml:space="preserve">ccount opened and operational for purpose of Codex work. The Strategic Plan is funded by five line Ministries, which are expected to donate into the </w:t>
      </w:r>
      <w:r w:rsidR="00500F6D">
        <w:rPr>
          <w:lang w:val="en-GB"/>
        </w:rPr>
        <w:t>a</w:t>
      </w:r>
      <w:r w:rsidRPr="009B767E">
        <w:rPr>
          <w:lang w:val="en-GB"/>
        </w:rPr>
        <w:t xml:space="preserve">ccount equally, but at the moment some Ministries do not comply.  The </w:t>
      </w:r>
      <w:r w:rsidR="00500F6D">
        <w:rPr>
          <w:lang w:val="en-GB"/>
        </w:rPr>
        <w:t>a</w:t>
      </w:r>
      <w:r w:rsidRPr="009B767E">
        <w:rPr>
          <w:lang w:val="en-GB"/>
        </w:rPr>
        <w:t xml:space="preserve">ccount has funded some delegates to Codex meetings or projects. In a longer perspective the past 15 years have thus seen a strong development of institutions in the field of food safety and health, including institutional networks. Participation in Codex meetings with CTF funding had an important role to play as the international exposure provides strong incentives and intellectual inputs to the work done in Ghana. </w:t>
      </w:r>
    </w:p>
    <w:p w:rsidR="00F766E8" w:rsidRPr="009B767E" w:rsidRDefault="00F766E8" w:rsidP="00F766E8">
      <w:pPr>
        <w:pStyle w:val="Caption"/>
        <w:keepNext/>
        <w:rPr>
          <w:lang w:val="en-GB"/>
        </w:rPr>
      </w:pPr>
      <w:bookmarkStart w:id="35" w:name="_Ref256760772"/>
      <w:bookmarkStart w:id="36" w:name="_Toc133376103"/>
      <w:bookmarkStart w:id="37" w:name="_Toc260036737"/>
      <w:r w:rsidRPr="009B767E">
        <w:rPr>
          <w:lang w:val="en-GB"/>
        </w:rPr>
        <w:t xml:space="preserve">Table </w:t>
      </w:r>
      <w:r w:rsidR="00AE227F" w:rsidRPr="009B767E">
        <w:rPr>
          <w:lang w:val="en-GB"/>
        </w:rPr>
        <w:fldChar w:fldCharType="begin"/>
      </w:r>
      <w:r w:rsidRPr="009B767E">
        <w:rPr>
          <w:lang w:val="en-GB"/>
        </w:rPr>
        <w:instrText xml:space="preserve"> SEQ Table \* ARABIC </w:instrText>
      </w:r>
      <w:r w:rsidR="00AE227F" w:rsidRPr="009B767E">
        <w:rPr>
          <w:lang w:val="en-GB"/>
        </w:rPr>
        <w:fldChar w:fldCharType="separate"/>
      </w:r>
      <w:r w:rsidR="004F08A8">
        <w:rPr>
          <w:noProof/>
          <w:lang w:val="en-GB"/>
        </w:rPr>
        <w:t>2</w:t>
      </w:r>
      <w:r w:rsidR="00AE227F" w:rsidRPr="009B767E">
        <w:rPr>
          <w:lang w:val="en-GB"/>
        </w:rPr>
        <w:fldChar w:fldCharType="end"/>
      </w:r>
      <w:bookmarkEnd w:id="35"/>
      <w:r w:rsidRPr="009B767E">
        <w:rPr>
          <w:lang w:val="en-GB"/>
        </w:rPr>
        <w:t xml:space="preserve"> Codex institutions in countries visited during the evaluation</w:t>
      </w:r>
      <w:bookmarkEnd w:id="36"/>
      <w:bookmarkEnd w:id="37"/>
    </w:p>
    <w:tbl>
      <w:tblPr>
        <w:tblW w:w="0" w:type="auto"/>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020" w:firstRow="1" w:lastRow="0" w:firstColumn="0" w:lastColumn="0" w:noHBand="0" w:noVBand="0"/>
      </w:tblPr>
      <w:tblGrid>
        <w:gridCol w:w="1951"/>
        <w:gridCol w:w="2829"/>
        <w:gridCol w:w="4400"/>
      </w:tblGrid>
      <w:tr w:rsidR="00F766E8" w:rsidRPr="009B767E">
        <w:tc>
          <w:tcPr>
            <w:tcW w:w="1951" w:type="dxa"/>
            <w:tcBorders>
              <w:top w:val="single" w:sz="8" w:space="0" w:color="FFFFFF"/>
              <w:bottom w:val="single" w:sz="24" w:space="0" w:color="FFFFFF"/>
              <w:right w:val="single" w:sz="8" w:space="0" w:color="FFFFFF"/>
            </w:tcBorders>
            <w:shd w:val="clear" w:color="auto" w:fill="4F81BD"/>
          </w:tcPr>
          <w:p w:rsidR="00F766E8" w:rsidRPr="009B767E" w:rsidRDefault="00F766E8" w:rsidP="00F766E8">
            <w:pPr>
              <w:spacing w:after="120"/>
              <w:rPr>
                <w:rFonts w:ascii="Cambria" w:hAnsi="Cambria"/>
                <w:b/>
                <w:bCs/>
                <w:color w:val="FFFFFF"/>
                <w:sz w:val="20"/>
                <w:szCs w:val="20"/>
                <w:lang w:val="en-GB"/>
              </w:rPr>
            </w:pPr>
            <w:r w:rsidRPr="009B767E">
              <w:rPr>
                <w:rFonts w:ascii="Cambria" w:hAnsi="Cambria"/>
                <w:b/>
                <w:bCs/>
                <w:color w:val="FFFFFF"/>
                <w:sz w:val="20"/>
                <w:szCs w:val="20"/>
                <w:lang w:val="en-GB"/>
              </w:rPr>
              <w:t>Country</w:t>
            </w:r>
          </w:p>
        </w:tc>
        <w:tc>
          <w:tcPr>
            <w:tcW w:w="2829" w:type="dxa"/>
            <w:tcBorders>
              <w:top w:val="single" w:sz="8" w:space="0" w:color="FFFFFF"/>
              <w:left w:val="single" w:sz="8" w:space="0" w:color="FFFFFF"/>
              <w:bottom w:val="single" w:sz="24" w:space="0" w:color="FFFFFF"/>
              <w:right w:val="single" w:sz="8" w:space="0" w:color="FFFFFF"/>
            </w:tcBorders>
            <w:shd w:val="clear" w:color="auto" w:fill="4F81BD"/>
          </w:tcPr>
          <w:p w:rsidR="00F766E8" w:rsidRPr="009B767E" w:rsidRDefault="00F766E8" w:rsidP="00F766E8">
            <w:pPr>
              <w:spacing w:after="120"/>
              <w:rPr>
                <w:rFonts w:ascii="Cambria" w:hAnsi="Cambria"/>
                <w:b/>
                <w:bCs/>
                <w:color w:val="FFFFFF"/>
                <w:sz w:val="20"/>
                <w:szCs w:val="20"/>
                <w:lang w:val="en-GB"/>
              </w:rPr>
            </w:pPr>
            <w:r w:rsidRPr="009B767E">
              <w:rPr>
                <w:rFonts w:ascii="Cambria" w:hAnsi="Cambria"/>
                <w:b/>
                <w:bCs/>
                <w:color w:val="FFFFFF"/>
                <w:sz w:val="20"/>
                <w:szCs w:val="20"/>
                <w:lang w:val="en-GB"/>
              </w:rPr>
              <w:t>Year of origin of NCC</w:t>
            </w:r>
          </w:p>
        </w:tc>
        <w:tc>
          <w:tcPr>
            <w:tcW w:w="4400" w:type="dxa"/>
            <w:tcBorders>
              <w:top w:val="single" w:sz="8" w:space="0" w:color="FFFFFF"/>
              <w:left w:val="single" w:sz="8" w:space="0" w:color="FFFFFF"/>
              <w:bottom w:val="single" w:sz="24" w:space="0" w:color="FFFFFF"/>
            </w:tcBorders>
            <w:shd w:val="clear" w:color="auto" w:fill="4F81BD"/>
          </w:tcPr>
          <w:p w:rsidR="00F766E8" w:rsidRPr="009B767E" w:rsidRDefault="00F766E8" w:rsidP="00F766E8">
            <w:pPr>
              <w:spacing w:after="120"/>
              <w:rPr>
                <w:rFonts w:ascii="Cambria" w:hAnsi="Cambria"/>
                <w:b/>
                <w:bCs/>
                <w:color w:val="FFFFFF"/>
                <w:sz w:val="20"/>
                <w:szCs w:val="20"/>
                <w:lang w:val="en-GB"/>
              </w:rPr>
            </w:pPr>
            <w:r w:rsidRPr="009B767E">
              <w:rPr>
                <w:rFonts w:ascii="Cambria" w:hAnsi="Cambria"/>
                <w:b/>
                <w:bCs/>
                <w:color w:val="FFFFFF"/>
                <w:sz w:val="20"/>
                <w:szCs w:val="20"/>
                <w:lang w:val="en-GB"/>
              </w:rPr>
              <w:t>Comments</w:t>
            </w:r>
          </w:p>
        </w:tc>
      </w:tr>
      <w:tr w:rsidR="00F766E8" w:rsidRPr="009B767E">
        <w:tc>
          <w:tcPr>
            <w:tcW w:w="1951" w:type="dxa"/>
            <w:shd w:val="clear" w:color="auto" w:fill="D3DFEE"/>
          </w:tcPr>
          <w:p w:rsidR="00F766E8" w:rsidRPr="009B767E" w:rsidRDefault="00F766E8" w:rsidP="00F766E8">
            <w:pPr>
              <w:spacing w:after="0"/>
              <w:rPr>
                <w:rFonts w:ascii="Cambria" w:hAnsi="Cambria"/>
                <w:sz w:val="20"/>
                <w:szCs w:val="20"/>
                <w:lang w:val="en-GB"/>
              </w:rPr>
            </w:pPr>
            <w:r w:rsidRPr="009B767E">
              <w:rPr>
                <w:rFonts w:ascii="Cambria" w:hAnsi="Cambria"/>
                <w:sz w:val="20"/>
                <w:szCs w:val="20"/>
                <w:lang w:val="en-GB"/>
              </w:rPr>
              <w:t>Armenia</w:t>
            </w:r>
          </w:p>
        </w:tc>
        <w:tc>
          <w:tcPr>
            <w:tcW w:w="2829" w:type="dxa"/>
            <w:shd w:val="clear" w:color="auto" w:fill="D3DFEE"/>
          </w:tcPr>
          <w:p w:rsidR="00F766E8" w:rsidRPr="009B767E" w:rsidRDefault="00F766E8" w:rsidP="00F766E8">
            <w:pPr>
              <w:spacing w:after="0"/>
              <w:rPr>
                <w:rFonts w:ascii="Cambria" w:hAnsi="Cambria"/>
                <w:sz w:val="20"/>
                <w:szCs w:val="20"/>
                <w:lang w:val="en-GB"/>
              </w:rPr>
            </w:pPr>
            <w:r w:rsidRPr="009B767E">
              <w:rPr>
                <w:rFonts w:ascii="Cambria" w:hAnsi="Cambria"/>
                <w:sz w:val="20"/>
                <w:szCs w:val="20"/>
                <w:lang w:val="en-GB"/>
              </w:rPr>
              <w:t>1994</w:t>
            </w:r>
          </w:p>
        </w:tc>
        <w:tc>
          <w:tcPr>
            <w:tcW w:w="4400" w:type="dxa"/>
            <w:shd w:val="clear" w:color="auto" w:fill="D3DFEE"/>
          </w:tcPr>
          <w:p w:rsidR="00F766E8" w:rsidRPr="009B767E" w:rsidRDefault="00F766E8" w:rsidP="00F766E8">
            <w:pPr>
              <w:spacing w:after="0"/>
              <w:rPr>
                <w:rFonts w:ascii="Cambria" w:hAnsi="Cambria"/>
                <w:sz w:val="20"/>
                <w:szCs w:val="20"/>
                <w:lang w:val="en-GB"/>
              </w:rPr>
            </w:pPr>
            <w:r w:rsidRPr="009B767E">
              <w:rPr>
                <w:rFonts w:ascii="Cambria" w:hAnsi="Cambria"/>
                <w:sz w:val="20"/>
                <w:szCs w:val="20"/>
                <w:lang w:val="en-GB"/>
              </w:rPr>
              <w:t xml:space="preserve">Member of Codex since 1994, no NCC, CCP since 2007. Ministry of Agriculture </w:t>
            </w:r>
          </w:p>
        </w:tc>
      </w:tr>
      <w:tr w:rsidR="00F766E8" w:rsidRPr="009B767E">
        <w:tc>
          <w:tcPr>
            <w:tcW w:w="1951" w:type="dxa"/>
            <w:shd w:val="clear" w:color="auto" w:fill="D3DFEE"/>
          </w:tcPr>
          <w:p w:rsidR="00F766E8" w:rsidRPr="009B767E" w:rsidRDefault="00F766E8" w:rsidP="00F766E8">
            <w:pPr>
              <w:spacing w:after="0"/>
              <w:rPr>
                <w:rFonts w:ascii="Cambria" w:hAnsi="Cambria"/>
                <w:sz w:val="20"/>
                <w:szCs w:val="20"/>
                <w:lang w:val="en-GB"/>
              </w:rPr>
            </w:pPr>
            <w:r w:rsidRPr="009B767E">
              <w:rPr>
                <w:rFonts w:ascii="Cambria" w:hAnsi="Cambria"/>
                <w:sz w:val="20"/>
                <w:szCs w:val="20"/>
                <w:lang w:val="en-GB"/>
              </w:rPr>
              <w:t>Argentina</w:t>
            </w:r>
          </w:p>
        </w:tc>
        <w:tc>
          <w:tcPr>
            <w:tcW w:w="2829" w:type="dxa"/>
            <w:shd w:val="clear" w:color="auto" w:fill="D3DFEE"/>
          </w:tcPr>
          <w:p w:rsidR="00F766E8" w:rsidRPr="009B767E" w:rsidRDefault="00F766E8" w:rsidP="00F766E8">
            <w:pPr>
              <w:spacing w:after="0"/>
              <w:rPr>
                <w:rFonts w:ascii="Cambria" w:hAnsi="Cambria"/>
                <w:sz w:val="20"/>
                <w:szCs w:val="20"/>
                <w:lang w:val="en-GB"/>
              </w:rPr>
            </w:pPr>
            <w:r w:rsidRPr="009B767E">
              <w:rPr>
                <w:rFonts w:ascii="Cambria" w:hAnsi="Cambria"/>
                <w:sz w:val="20"/>
                <w:szCs w:val="20"/>
                <w:lang w:val="en-GB"/>
              </w:rPr>
              <w:t>1973</w:t>
            </w:r>
          </w:p>
        </w:tc>
        <w:tc>
          <w:tcPr>
            <w:tcW w:w="4400" w:type="dxa"/>
            <w:shd w:val="clear" w:color="auto" w:fill="D3DFEE"/>
          </w:tcPr>
          <w:p w:rsidR="00F766E8" w:rsidRPr="009B767E" w:rsidRDefault="00F766E8" w:rsidP="00F766E8">
            <w:pPr>
              <w:spacing w:after="0"/>
              <w:rPr>
                <w:rFonts w:ascii="Cambria" w:hAnsi="Cambria"/>
                <w:sz w:val="20"/>
                <w:szCs w:val="20"/>
                <w:lang w:val="en-GB"/>
              </w:rPr>
            </w:pPr>
            <w:r w:rsidRPr="009B767E">
              <w:rPr>
                <w:rFonts w:ascii="Cambria" w:hAnsi="Cambria"/>
                <w:sz w:val="20"/>
                <w:szCs w:val="20"/>
                <w:lang w:val="en-GB"/>
              </w:rPr>
              <w:t>Participated through government agencies at first, NCC developed in 2000. Ministry of Agriculture leading</w:t>
            </w:r>
          </w:p>
        </w:tc>
      </w:tr>
      <w:tr w:rsidR="00F766E8" w:rsidRPr="00B75C62">
        <w:tc>
          <w:tcPr>
            <w:tcW w:w="1951" w:type="dxa"/>
            <w:shd w:val="clear" w:color="auto" w:fill="D3DFEE"/>
          </w:tcPr>
          <w:p w:rsidR="00F766E8" w:rsidRPr="009B767E" w:rsidRDefault="00F766E8" w:rsidP="00F766E8">
            <w:pPr>
              <w:spacing w:after="0"/>
              <w:rPr>
                <w:rFonts w:ascii="Cambria" w:hAnsi="Cambria"/>
                <w:sz w:val="20"/>
                <w:szCs w:val="20"/>
                <w:lang w:val="en-GB"/>
              </w:rPr>
            </w:pPr>
            <w:r w:rsidRPr="009B767E">
              <w:rPr>
                <w:rFonts w:ascii="Cambria" w:hAnsi="Cambria"/>
                <w:sz w:val="20"/>
                <w:szCs w:val="20"/>
                <w:lang w:val="en-GB"/>
              </w:rPr>
              <w:t>Bolivia</w:t>
            </w:r>
          </w:p>
        </w:tc>
        <w:tc>
          <w:tcPr>
            <w:tcW w:w="2829" w:type="dxa"/>
            <w:shd w:val="clear" w:color="auto" w:fill="D3DFEE"/>
          </w:tcPr>
          <w:p w:rsidR="00F766E8" w:rsidRPr="009B767E" w:rsidRDefault="00F766E8" w:rsidP="00F766E8">
            <w:pPr>
              <w:spacing w:after="0"/>
              <w:rPr>
                <w:rFonts w:ascii="Cambria" w:hAnsi="Cambria"/>
                <w:sz w:val="20"/>
                <w:szCs w:val="20"/>
                <w:lang w:val="en-GB"/>
              </w:rPr>
            </w:pPr>
            <w:r w:rsidRPr="009B767E">
              <w:rPr>
                <w:rFonts w:ascii="Cambria" w:hAnsi="Cambria"/>
                <w:sz w:val="20"/>
                <w:szCs w:val="20"/>
                <w:lang w:val="en-GB"/>
              </w:rPr>
              <w:t>1997</w:t>
            </w:r>
          </w:p>
        </w:tc>
        <w:tc>
          <w:tcPr>
            <w:tcW w:w="4400" w:type="dxa"/>
            <w:shd w:val="clear" w:color="auto" w:fill="D3DFEE"/>
          </w:tcPr>
          <w:p w:rsidR="00F766E8" w:rsidRPr="009B767E" w:rsidRDefault="00F766E8" w:rsidP="00F766E8">
            <w:pPr>
              <w:spacing w:after="0"/>
              <w:rPr>
                <w:rFonts w:ascii="Cambria" w:hAnsi="Cambria"/>
                <w:sz w:val="20"/>
                <w:szCs w:val="20"/>
                <w:lang w:val="en-GB"/>
              </w:rPr>
            </w:pPr>
            <w:r w:rsidRPr="009B767E">
              <w:rPr>
                <w:rFonts w:ascii="Cambria" w:hAnsi="Cambria"/>
                <w:sz w:val="20"/>
                <w:szCs w:val="20"/>
                <w:lang w:val="en-GB"/>
              </w:rPr>
              <w:t>Ministries of Health and Agriculture, but Secretariat under standards bureau.</w:t>
            </w:r>
          </w:p>
        </w:tc>
      </w:tr>
      <w:tr w:rsidR="00F766E8" w:rsidRPr="00B75C62">
        <w:tc>
          <w:tcPr>
            <w:tcW w:w="1951" w:type="dxa"/>
            <w:shd w:val="clear" w:color="auto" w:fill="D3DFEE"/>
          </w:tcPr>
          <w:p w:rsidR="00F766E8" w:rsidRPr="009B767E" w:rsidRDefault="00F766E8" w:rsidP="00F766E8">
            <w:pPr>
              <w:spacing w:after="0"/>
              <w:rPr>
                <w:rFonts w:ascii="Cambria" w:hAnsi="Cambria"/>
                <w:sz w:val="20"/>
                <w:szCs w:val="20"/>
                <w:lang w:val="en-GB"/>
              </w:rPr>
            </w:pPr>
            <w:r w:rsidRPr="009B767E">
              <w:rPr>
                <w:rFonts w:ascii="Cambria" w:hAnsi="Cambria"/>
                <w:sz w:val="20"/>
                <w:szCs w:val="20"/>
                <w:lang w:val="en-GB"/>
              </w:rPr>
              <w:t>Ghana</w:t>
            </w:r>
          </w:p>
        </w:tc>
        <w:tc>
          <w:tcPr>
            <w:tcW w:w="2829" w:type="dxa"/>
            <w:shd w:val="clear" w:color="auto" w:fill="D3DFEE"/>
          </w:tcPr>
          <w:p w:rsidR="00F766E8" w:rsidRPr="009B767E" w:rsidRDefault="00F766E8" w:rsidP="00F766E8">
            <w:pPr>
              <w:spacing w:after="0"/>
              <w:rPr>
                <w:rFonts w:ascii="Cambria" w:hAnsi="Cambria"/>
                <w:sz w:val="20"/>
                <w:szCs w:val="20"/>
                <w:lang w:val="en-GB"/>
              </w:rPr>
            </w:pPr>
            <w:r w:rsidRPr="009B767E">
              <w:rPr>
                <w:rFonts w:ascii="Cambria" w:hAnsi="Cambria"/>
                <w:sz w:val="20"/>
                <w:szCs w:val="20"/>
                <w:lang w:val="en-GB"/>
              </w:rPr>
              <w:t>1973</w:t>
            </w:r>
          </w:p>
        </w:tc>
        <w:tc>
          <w:tcPr>
            <w:tcW w:w="4400" w:type="dxa"/>
            <w:shd w:val="clear" w:color="auto" w:fill="D3DFEE"/>
          </w:tcPr>
          <w:p w:rsidR="00F766E8" w:rsidRPr="009B767E" w:rsidRDefault="00F766E8" w:rsidP="00F766E8">
            <w:pPr>
              <w:spacing w:after="0"/>
              <w:rPr>
                <w:rFonts w:ascii="Cambria" w:hAnsi="Cambria"/>
                <w:sz w:val="20"/>
                <w:szCs w:val="20"/>
                <w:lang w:val="en-GB"/>
              </w:rPr>
            </w:pPr>
            <w:r w:rsidRPr="009B767E">
              <w:rPr>
                <w:rFonts w:ascii="Cambria" w:hAnsi="Cambria"/>
                <w:sz w:val="20"/>
                <w:szCs w:val="20"/>
                <w:lang w:val="en-GB"/>
              </w:rPr>
              <w:t>Codex work revived in early 2000 and Commission recreated 2003</w:t>
            </w:r>
          </w:p>
        </w:tc>
      </w:tr>
      <w:tr w:rsidR="00F766E8" w:rsidRPr="00B75C62">
        <w:tc>
          <w:tcPr>
            <w:tcW w:w="1951" w:type="dxa"/>
            <w:shd w:val="clear" w:color="auto" w:fill="D3DFEE"/>
          </w:tcPr>
          <w:p w:rsidR="00F766E8" w:rsidRPr="009B767E" w:rsidRDefault="00F766E8" w:rsidP="00F766E8">
            <w:pPr>
              <w:spacing w:after="0"/>
              <w:rPr>
                <w:rFonts w:ascii="Cambria" w:hAnsi="Cambria"/>
                <w:sz w:val="20"/>
                <w:szCs w:val="20"/>
                <w:lang w:val="en-GB"/>
              </w:rPr>
            </w:pPr>
            <w:r w:rsidRPr="009B767E">
              <w:rPr>
                <w:rFonts w:ascii="Cambria" w:hAnsi="Cambria"/>
                <w:sz w:val="20"/>
                <w:szCs w:val="20"/>
                <w:lang w:val="en-GB"/>
              </w:rPr>
              <w:t>Indonesia</w:t>
            </w:r>
          </w:p>
        </w:tc>
        <w:tc>
          <w:tcPr>
            <w:tcW w:w="2829" w:type="dxa"/>
            <w:shd w:val="clear" w:color="auto" w:fill="D3DFEE"/>
          </w:tcPr>
          <w:p w:rsidR="00F766E8" w:rsidRPr="009B767E" w:rsidRDefault="00F766E8" w:rsidP="00F766E8">
            <w:pPr>
              <w:spacing w:after="0"/>
              <w:rPr>
                <w:rFonts w:ascii="Cambria" w:hAnsi="Cambria"/>
                <w:sz w:val="20"/>
                <w:szCs w:val="20"/>
                <w:lang w:val="en-GB"/>
              </w:rPr>
            </w:pPr>
            <w:r>
              <w:rPr>
                <w:rFonts w:ascii="Cambria" w:hAnsi="Cambria"/>
                <w:sz w:val="20"/>
                <w:szCs w:val="20"/>
                <w:lang w:val="en-GB"/>
              </w:rPr>
              <w:t>1986</w:t>
            </w:r>
          </w:p>
        </w:tc>
        <w:tc>
          <w:tcPr>
            <w:tcW w:w="4400" w:type="dxa"/>
            <w:shd w:val="clear" w:color="auto" w:fill="D3DFEE"/>
          </w:tcPr>
          <w:p w:rsidR="00F766E8" w:rsidRPr="009B767E" w:rsidRDefault="00F766E8" w:rsidP="00F766E8">
            <w:pPr>
              <w:spacing w:after="0"/>
              <w:rPr>
                <w:rFonts w:ascii="Cambria" w:hAnsi="Cambria"/>
                <w:sz w:val="20"/>
                <w:szCs w:val="20"/>
                <w:lang w:val="en-GB"/>
              </w:rPr>
            </w:pPr>
            <w:r>
              <w:rPr>
                <w:rFonts w:ascii="Cambria" w:hAnsi="Cambria"/>
                <w:sz w:val="20"/>
                <w:szCs w:val="20"/>
                <w:lang w:val="en-GB"/>
              </w:rPr>
              <w:t xml:space="preserve">First CCP in Ministry of Health, transfer to National Standardization Agency in 1998. </w:t>
            </w:r>
          </w:p>
        </w:tc>
      </w:tr>
      <w:tr w:rsidR="00F766E8" w:rsidRPr="009B767E">
        <w:tc>
          <w:tcPr>
            <w:tcW w:w="1951" w:type="dxa"/>
            <w:shd w:val="clear" w:color="auto" w:fill="D3DFEE"/>
          </w:tcPr>
          <w:p w:rsidR="00F766E8" w:rsidRPr="009B767E" w:rsidRDefault="00F766E8" w:rsidP="00F766E8">
            <w:pPr>
              <w:spacing w:after="0"/>
              <w:rPr>
                <w:rFonts w:ascii="Cambria" w:hAnsi="Cambria"/>
                <w:sz w:val="20"/>
                <w:szCs w:val="20"/>
                <w:lang w:val="en-GB"/>
              </w:rPr>
            </w:pPr>
            <w:r w:rsidRPr="009B767E">
              <w:rPr>
                <w:rFonts w:ascii="Cambria" w:hAnsi="Cambria"/>
                <w:sz w:val="20"/>
                <w:szCs w:val="20"/>
                <w:lang w:val="en-GB"/>
              </w:rPr>
              <w:t>Jordan</w:t>
            </w:r>
          </w:p>
        </w:tc>
        <w:tc>
          <w:tcPr>
            <w:tcW w:w="2829" w:type="dxa"/>
            <w:shd w:val="clear" w:color="auto" w:fill="D3DFEE"/>
          </w:tcPr>
          <w:p w:rsidR="00F766E8" w:rsidRPr="009B767E" w:rsidRDefault="005F0255" w:rsidP="00F766E8">
            <w:pPr>
              <w:spacing w:after="0"/>
              <w:rPr>
                <w:rFonts w:ascii="Cambria" w:hAnsi="Cambria"/>
                <w:sz w:val="20"/>
                <w:szCs w:val="20"/>
                <w:lang w:val="en-GB"/>
              </w:rPr>
            </w:pPr>
            <w:r>
              <w:rPr>
                <w:rFonts w:ascii="Cambria" w:hAnsi="Cambria"/>
                <w:sz w:val="20"/>
                <w:szCs w:val="20"/>
                <w:lang w:val="en-GB"/>
              </w:rPr>
              <w:t>NA</w:t>
            </w:r>
          </w:p>
        </w:tc>
        <w:tc>
          <w:tcPr>
            <w:tcW w:w="4400" w:type="dxa"/>
            <w:shd w:val="clear" w:color="auto" w:fill="D3DFEE"/>
          </w:tcPr>
          <w:p w:rsidR="00F766E8" w:rsidRPr="009B767E" w:rsidRDefault="00F766E8" w:rsidP="00F766E8">
            <w:pPr>
              <w:spacing w:after="0"/>
              <w:rPr>
                <w:rFonts w:ascii="Cambria" w:hAnsi="Cambria"/>
                <w:sz w:val="20"/>
                <w:szCs w:val="20"/>
                <w:lang w:val="en-GB"/>
              </w:rPr>
            </w:pPr>
            <w:r w:rsidRPr="009B767E">
              <w:rPr>
                <w:rFonts w:ascii="Cambria" w:hAnsi="Cambria"/>
                <w:sz w:val="20"/>
                <w:szCs w:val="20"/>
                <w:lang w:val="en-GB"/>
              </w:rPr>
              <w:t>JISM created 1972, became independent 1995, current CCP and Chair of NCC. Ministry of Industry and Trade</w:t>
            </w:r>
          </w:p>
        </w:tc>
      </w:tr>
      <w:tr w:rsidR="00F766E8" w:rsidRPr="00B75C62">
        <w:tc>
          <w:tcPr>
            <w:tcW w:w="1951" w:type="dxa"/>
            <w:shd w:val="clear" w:color="auto" w:fill="D3DFEE"/>
          </w:tcPr>
          <w:p w:rsidR="00F766E8" w:rsidRPr="009B767E" w:rsidRDefault="00F766E8" w:rsidP="00F766E8">
            <w:pPr>
              <w:spacing w:after="0"/>
              <w:rPr>
                <w:rFonts w:ascii="Cambria" w:hAnsi="Cambria"/>
                <w:sz w:val="20"/>
                <w:szCs w:val="20"/>
                <w:lang w:val="en-GB"/>
              </w:rPr>
            </w:pPr>
            <w:r w:rsidRPr="009B767E">
              <w:rPr>
                <w:rFonts w:ascii="Cambria" w:hAnsi="Cambria"/>
                <w:sz w:val="20"/>
                <w:szCs w:val="20"/>
                <w:lang w:val="en-GB"/>
              </w:rPr>
              <w:t>Laos</w:t>
            </w:r>
          </w:p>
        </w:tc>
        <w:tc>
          <w:tcPr>
            <w:tcW w:w="2829" w:type="dxa"/>
            <w:shd w:val="clear" w:color="auto" w:fill="D3DFEE"/>
          </w:tcPr>
          <w:p w:rsidR="00F766E8" w:rsidRPr="009B767E" w:rsidRDefault="00F766E8" w:rsidP="00F766E8">
            <w:pPr>
              <w:spacing w:after="0"/>
              <w:rPr>
                <w:rFonts w:ascii="Cambria" w:hAnsi="Cambria"/>
                <w:sz w:val="20"/>
                <w:szCs w:val="20"/>
                <w:lang w:val="en-GB"/>
              </w:rPr>
            </w:pPr>
            <w:r w:rsidRPr="009B767E">
              <w:rPr>
                <w:rFonts w:ascii="Cambria" w:hAnsi="Cambria"/>
                <w:sz w:val="20"/>
                <w:szCs w:val="20"/>
                <w:lang w:val="en-GB"/>
              </w:rPr>
              <w:t>1998</w:t>
            </w:r>
          </w:p>
        </w:tc>
        <w:tc>
          <w:tcPr>
            <w:tcW w:w="4400" w:type="dxa"/>
            <w:shd w:val="clear" w:color="auto" w:fill="D3DFEE"/>
          </w:tcPr>
          <w:p w:rsidR="00F766E8" w:rsidRPr="009B767E" w:rsidRDefault="00F766E8" w:rsidP="00F766E8">
            <w:pPr>
              <w:spacing w:after="0"/>
              <w:rPr>
                <w:rFonts w:ascii="Cambria" w:hAnsi="Cambria"/>
                <w:sz w:val="20"/>
                <w:szCs w:val="20"/>
                <w:lang w:val="en-GB"/>
              </w:rPr>
            </w:pPr>
            <w:r>
              <w:rPr>
                <w:rFonts w:ascii="Cambria" w:hAnsi="Cambria"/>
                <w:sz w:val="20"/>
                <w:szCs w:val="20"/>
                <w:lang w:val="en-GB"/>
              </w:rPr>
              <w:t>CCP and Codex Secretariat based in Ministry of Health.</w:t>
            </w:r>
          </w:p>
        </w:tc>
      </w:tr>
      <w:tr w:rsidR="00F766E8" w:rsidRPr="00B75C62">
        <w:tc>
          <w:tcPr>
            <w:tcW w:w="1951" w:type="dxa"/>
            <w:shd w:val="clear" w:color="auto" w:fill="D3DFEE"/>
          </w:tcPr>
          <w:p w:rsidR="00F766E8" w:rsidRPr="009B767E" w:rsidRDefault="00F766E8" w:rsidP="00F766E8">
            <w:pPr>
              <w:spacing w:after="0"/>
              <w:rPr>
                <w:rFonts w:ascii="Cambria" w:hAnsi="Cambria"/>
                <w:sz w:val="20"/>
                <w:szCs w:val="20"/>
                <w:lang w:val="en-GB"/>
              </w:rPr>
            </w:pPr>
            <w:r w:rsidRPr="009B767E">
              <w:rPr>
                <w:rFonts w:ascii="Cambria" w:hAnsi="Cambria"/>
                <w:sz w:val="20"/>
                <w:szCs w:val="20"/>
                <w:lang w:val="en-GB"/>
              </w:rPr>
              <w:t>Malawi</w:t>
            </w:r>
          </w:p>
        </w:tc>
        <w:tc>
          <w:tcPr>
            <w:tcW w:w="2829" w:type="dxa"/>
            <w:shd w:val="clear" w:color="auto" w:fill="D3DFEE"/>
          </w:tcPr>
          <w:p w:rsidR="00F766E8" w:rsidRPr="009B767E" w:rsidRDefault="00F766E8" w:rsidP="00F766E8">
            <w:pPr>
              <w:spacing w:after="0"/>
              <w:rPr>
                <w:rFonts w:ascii="Cambria" w:hAnsi="Cambria"/>
                <w:sz w:val="20"/>
                <w:szCs w:val="20"/>
                <w:lang w:val="en-GB"/>
              </w:rPr>
            </w:pPr>
            <w:r w:rsidRPr="009B767E">
              <w:rPr>
                <w:rFonts w:ascii="Cambria" w:hAnsi="Cambria"/>
                <w:sz w:val="20"/>
                <w:szCs w:val="20"/>
                <w:lang w:val="en-GB"/>
              </w:rPr>
              <w:t>1996</w:t>
            </w:r>
          </w:p>
        </w:tc>
        <w:tc>
          <w:tcPr>
            <w:tcW w:w="4400" w:type="dxa"/>
            <w:shd w:val="clear" w:color="auto" w:fill="D3DFEE"/>
          </w:tcPr>
          <w:p w:rsidR="00F766E8" w:rsidRPr="009B767E" w:rsidRDefault="00F766E8" w:rsidP="00F766E8">
            <w:pPr>
              <w:spacing w:after="0"/>
              <w:rPr>
                <w:rFonts w:ascii="Cambria" w:hAnsi="Cambria"/>
                <w:sz w:val="20"/>
                <w:szCs w:val="20"/>
                <w:lang w:val="en-GB"/>
              </w:rPr>
            </w:pPr>
            <w:r w:rsidRPr="009B767E">
              <w:rPr>
                <w:rFonts w:ascii="Cambria" w:hAnsi="Cambria"/>
                <w:sz w:val="20"/>
                <w:szCs w:val="20"/>
                <w:lang w:val="en-GB"/>
              </w:rPr>
              <w:t>Technical assistance team financed by FAO</w:t>
            </w:r>
          </w:p>
        </w:tc>
      </w:tr>
      <w:tr w:rsidR="00F766E8" w:rsidRPr="00B75C62">
        <w:tc>
          <w:tcPr>
            <w:tcW w:w="1951" w:type="dxa"/>
            <w:shd w:val="clear" w:color="auto" w:fill="D3DFEE"/>
          </w:tcPr>
          <w:p w:rsidR="00F766E8" w:rsidRPr="009B767E" w:rsidRDefault="00F766E8" w:rsidP="00F766E8">
            <w:pPr>
              <w:spacing w:after="0"/>
              <w:rPr>
                <w:rFonts w:ascii="Cambria" w:hAnsi="Cambria"/>
                <w:sz w:val="20"/>
                <w:szCs w:val="20"/>
                <w:lang w:val="en-GB"/>
              </w:rPr>
            </w:pPr>
            <w:r w:rsidRPr="009B767E">
              <w:rPr>
                <w:rFonts w:ascii="Cambria" w:hAnsi="Cambria"/>
                <w:sz w:val="20"/>
                <w:szCs w:val="20"/>
                <w:lang w:val="en-GB"/>
              </w:rPr>
              <w:t>Mali</w:t>
            </w:r>
          </w:p>
        </w:tc>
        <w:tc>
          <w:tcPr>
            <w:tcW w:w="2829" w:type="dxa"/>
            <w:shd w:val="clear" w:color="auto" w:fill="D3DFEE"/>
          </w:tcPr>
          <w:p w:rsidR="00F766E8" w:rsidRPr="009B767E" w:rsidRDefault="00F766E8" w:rsidP="00F766E8">
            <w:pPr>
              <w:spacing w:after="0"/>
              <w:rPr>
                <w:rFonts w:ascii="Cambria" w:hAnsi="Cambria"/>
                <w:sz w:val="20"/>
                <w:szCs w:val="20"/>
                <w:lang w:val="en-GB"/>
              </w:rPr>
            </w:pPr>
            <w:r w:rsidRPr="009B767E">
              <w:rPr>
                <w:rFonts w:ascii="Cambria" w:hAnsi="Cambria"/>
                <w:sz w:val="20"/>
                <w:szCs w:val="20"/>
                <w:lang w:val="en-GB"/>
              </w:rPr>
              <w:t>2003</w:t>
            </w:r>
          </w:p>
        </w:tc>
        <w:tc>
          <w:tcPr>
            <w:tcW w:w="4400" w:type="dxa"/>
            <w:shd w:val="clear" w:color="auto" w:fill="D3DFEE"/>
          </w:tcPr>
          <w:p w:rsidR="00F766E8" w:rsidRPr="009B767E" w:rsidRDefault="00F766E8" w:rsidP="00F766E8">
            <w:pPr>
              <w:spacing w:after="0"/>
              <w:rPr>
                <w:rFonts w:ascii="Cambria" w:hAnsi="Cambria"/>
                <w:sz w:val="20"/>
                <w:szCs w:val="20"/>
                <w:lang w:val="en-GB"/>
              </w:rPr>
            </w:pPr>
            <w:r w:rsidRPr="009B767E">
              <w:rPr>
                <w:rFonts w:ascii="Cambria" w:hAnsi="Cambria"/>
                <w:sz w:val="20"/>
                <w:szCs w:val="20"/>
                <w:lang w:val="en-GB"/>
              </w:rPr>
              <w:t>14 operational sub-committees. Ministry of Health</w:t>
            </w:r>
          </w:p>
        </w:tc>
      </w:tr>
      <w:tr w:rsidR="00F766E8" w:rsidRPr="00B75C62">
        <w:tc>
          <w:tcPr>
            <w:tcW w:w="1951" w:type="dxa"/>
            <w:shd w:val="clear" w:color="auto" w:fill="D3DFEE"/>
          </w:tcPr>
          <w:p w:rsidR="00F766E8" w:rsidRPr="009B767E" w:rsidRDefault="00F766E8" w:rsidP="00F766E8">
            <w:pPr>
              <w:spacing w:after="0"/>
              <w:rPr>
                <w:rFonts w:ascii="Cambria" w:hAnsi="Cambria"/>
                <w:sz w:val="20"/>
                <w:szCs w:val="20"/>
                <w:lang w:val="en-GB"/>
              </w:rPr>
            </w:pPr>
            <w:r w:rsidRPr="009B767E">
              <w:rPr>
                <w:rFonts w:ascii="Cambria" w:hAnsi="Cambria"/>
                <w:sz w:val="20"/>
                <w:szCs w:val="20"/>
                <w:lang w:val="en-GB"/>
              </w:rPr>
              <w:t>Serbia</w:t>
            </w:r>
          </w:p>
        </w:tc>
        <w:tc>
          <w:tcPr>
            <w:tcW w:w="2829" w:type="dxa"/>
            <w:shd w:val="clear" w:color="auto" w:fill="D3DFEE"/>
          </w:tcPr>
          <w:p w:rsidR="00F766E8" w:rsidRPr="009B767E" w:rsidRDefault="005F0255" w:rsidP="00F766E8">
            <w:pPr>
              <w:spacing w:after="0"/>
              <w:rPr>
                <w:rFonts w:ascii="Cambria" w:hAnsi="Cambria"/>
                <w:sz w:val="20"/>
                <w:szCs w:val="20"/>
                <w:lang w:val="en-GB"/>
              </w:rPr>
            </w:pPr>
            <w:r>
              <w:rPr>
                <w:rFonts w:ascii="Cambria" w:hAnsi="Cambria"/>
                <w:sz w:val="20"/>
                <w:szCs w:val="20"/>
                <w:lang w:val="en-GB"/>
              </w:rPr>
              <w:t>NA</w:t>
            </w:r>
          </w:p>
        </w:tc>
        <w:tc>
          <w:tcPr>
            <w:tcW w:w="4400" w:type="dxa"/>
            <w:shd w:val="clear" w:color="auto" w:fill="D3DFEE"/>
          </w:tcPr>
          <w:p w:rsidR="00F766E8" w:rsidRPr="009B767E" w:rsidRDefault="00F766E8" w:rsidP="00F766E8">
            <w:pPr>
              <w:spacing w:after="0"/>
              <w:rPr>
                <w:rFonts w:ascii="Cambria" w:hAnsi="Cambria"/>
                <w:sz w:val="20"/>
                <w:szCs w:val="20"/>
                <w:lang w:val="en-GB"/>
              </w:rPr>
            </w:pPr>
            <w:r w:rsidRPr="009B767E">
              <w:rPr>
                <w:rFonts w:ascii="Cambria" w:hAnsi="Cambria"/>
                <w:sz w:val="20"/>
                <w:szCs w:val="20"/>
                <w:lang w:val="en-GB"/>
              </w:rPr>
              <w:t>Codex in Yugoslavia since the 70’s but disrupted in the 90’s, Serbia starts from scratch, no NCC</w:t>
            </w:r>
          </w:p>
        </w:tc>
      </w:tr>
      <w:tr w:rsidR="00F766E8" w:rsidRPr="00B75C62">
        <w:tc>
          <w:tcPr>
            <w:tcW w:w="1951" w:type="dxa"/>
            <w:shd w:val="clear" w:color="auto" w:fill="D3DFEE"/>
          </w:tcPr>
          <w:p w:rsidR="00F766E8" w:rsidRPr="009B767E" w:rsidRDefault="00F766E8" w:rsidP="00F766E8">
            <w:pPr>
              <w:spacing w:after="0"/>
              <w:rPr>
                <w:rFonts w:ascii="Cambria" w:hAnsi="Cambria"/>
                <w:bCs/>
                <w:sz w:val="20"/>
                <w:szCs w:val="20"/>
                <w:lang w:val="en-GB"/>
              </w:rPr>
            </w:pPr>
            <w:r w:rsidRPr="009B767E">
              <w:rPr>
                <w:rFonts w:ascii="Cambria" w:hAnsi="Cambria"/>
                <w:bCs/>
                <w:sz w:val="20"/>
                <w:szCs w:val="20"/>
                <w:lang w:val="en-GB"/>
              </w:rPr>
              <w:t>Tanzania</w:t>
            </w:r>
          </w:p>
        </w:tc>
        <w:tc>
          <w:tcPr>
            <w:tcW w:w="2829" w:type="dxa"/>
            <w:shd w:val="clear" w:color="auto" w:fill="D3DFEE"/>
          </w:tcPr>
          <w:p w:rsidR="00F766E8" w:rsidRPr="009B767E" w:rsidRDefault="00F766E8" w:rsidP="00F766E8">
            <w:pPr>
              <w:spacing w:after="0"/>
              <w:rPr>
                <w:rFonts w:ascii="Cambria" w:hAnsi="Cambria"/>
                <w:bCs/>
                <w:sz w:val="20"/>
                <w:szCs w:val="20"/>
                <w:lang w:val="en-GB"/>
              </w:rPr>
            </w:pPr>
            <w:r w:rsidRPr="009B767E">
              <w:rPr>
                <w:rFonts w:ascii="Cambria" w:hAnsi="Cambria"/>
                <w:bCs/>
                <w:sz w:val="20"/>
                <w:szCs w:val="20"/>
                <w:lang w:val="en-GB"/>
              </w:rPr>
              <w:t>1974</w:t>
            </w:r>
          </w:p>
        </w:tc>
        <w:tc>
          <w:tcPr>
            <w:tcW w:w="4400" w:type="dxa"/>
            <w:shd w:val="clear" w:color="auto" w:fill="D3DFEE"/>
          </w:tcPr>
          <w:p w:rsidR="00F766E8" w:rsidRPr="009B767E" w:rsidRDefault="00F766E8" w:rsidP="00F766E8">
            <w:pPr>
              <w:spacing w:after="0"/>
              <w:rPr>
                <w:rFonts w:ascii="Cambria" w:hAnsi="Cambria"/>
                <w:bCs/>
                <w:sz w:val="20"/>
                <w:szCs w:val="20"/>
                <w:lang w:val="en-GB"/>
              </w:rPr>
            </w:pPr>
            <w:r w:rsidRPr="009B767E">
              <w:rPr>
                <w:rFonts w:ascii="Cambria" w:hAnsi="Cambria"/>
                <w:bCs/>
                <w:sz w:val="20"/>
                <w:szCs w:val="20"/>
                <w:lang w:val="en-GB"/>
              </w:rPr>
              <w:t>TBS, Ministry of Trade and Industry</w:t>
            </w:r>
          </w:p>
        </w:tc>
      </w:tr>
      <w:tr w:rsidR="00F766E8" w:rsidRPr="00B75C62">
        <w:tc>
          <w:tcPr>
            <w:tcW w:w="1951" w:type="dxa"/>
            <w:tcBorders>
              <w:bottom w:val="single" w:sz="8" w:space="0" w:color="FFFFFF"/>
            </w:tcBorders>
            <w:shd w:val="clear" w:color="auto" w:fill="D3DFEE"/>
          </w:tcPr>
          <w:p w:rsidR="00F766E8" w:rsidRPr="009B767E" w:rsidRDefault="00F766E8" w:rsidP="00F766E8">
            <w:pPr>
              <w:spacing w:after="0"/>
              <w:rPr>
                <w:rFonts w:ascii="Cambria" w:hAnsi="Cambria"/>
                <w:bCs/>
                <w:sz w:val="20"/>
                <w:szCs w:val="20"/>
                <w:lang w:val="en-GB"/>
              </w:rPr>
            </w:pPr>
            <w:r w:rsidRPr="009B767E">
              <w:rPr>
                <w:rFonts w:ascii="Cambria" w:hAnsi="Cambria"/>
                <w:bCs/>
                <w:sz w:val="20"/>
                <w:szCs w:val="20"/>
                <w:lang w:val="en-GB"/>
              </w:rPr>
              <w:t>Tunisia</w:t>
            </w:r>
          </w:p>
        </w:tc>
        <w:tc>
          <w:tcPr>
            <w:tcW w:w="2829" w:type="dxa"/>
            <w:tcBorders>
              <w:bottom w:val="single" w:sz="8" w:space="0" w:color="FFFFFF"/>
            </w:tcBorders>
            <w:shd w:val="clear" w:color="auto" w:fill="D3DFEE"/>
          </w:tcPr>
          <w:p w:rsidR="00F766E8" w:rsidRPr="009B767E" w:rsidRDefault="00F766E8" w:rsidP="00F766E8">
            <w:pPr>
              <w:spacing w:after="0"/>
              <w:rPr>
                <w:rFonts w:ascii="Cambria" w:hAnsi="Cambria"/>
                <w:bCs/>
                <w:sz w:val="20"/>
                <w:szCs w:val="20"/>
                <w:lang w:val="en-GB"/>
              </w:rPr>
            </w:pPr>
            <w:r w:rsidRPr="009B767E">
              <w:rPr>
                <w:rFonts w:ascii="Cambria" w:hAnsi="Cambria"/>
                <w:bCs/>
                <w:sz w:val="20"/>
                <w:szCs w:val="20"/>
                <w:lang w:val="en-GB"/>
              </w:rPr>
              <w:t>2000</w:t>
            </w:r>
          </w:p>
        </w:tc>
        <w:tc>
          <w:tcPr>
            <w:tcW w:w="4400" w:type="dxa"/>
            <w:tcBorders>
              <w:bottom w:val="single" w:sz="8" w:space="0" w:color="FFFFFF"/>
            </w:tcBorders>
            <w:shd w:val="clear" w:color="auto" w:fill="D3DFEE"/>
          </w:tcPr>
          <w:p w:rsidR="00F766E8" w:rsidRPr="009B767E" w:rsidRDefault="00F766E8" w:rsidP="00F766E8">
            <w:pPr>
              <w:spacing w:after="0"/>
              <w:rPr>
                <w:rFonts w:ascii="Cambria" w:hAnsi="Cambria"/>
                <w:bCs/>
                <w:sz w:val="20"/>
                <w:szCs w:val="20"/>
                <w:lang w:val="en-GB"/>
              </w:rPr>
            </w:pPr>
            <w:r w:rsidRPr="009B767E">
              <w:rPr>
                <w:rFonts w:ascii="Cambria" w:hAnsi="Cambria"/>
                <w:bCs/>
                <w:sz w:val="20"/>
                <w:szCs w:val="20"/>
                <w:lang w:val="en-GB"/>
              </w:rPr>
              <w:t>Commission under Ministry of Industries, CCP with CTAA, bilateral and multilateral TC</w:t>
            </w:r>
          </w:p>
        </w:tc>
      </w:tr>
    </w:tbl>
    <w:p w:rsidR="00F766E8" w:rsidRPr="009B767E" w:rsidRDefault="00F766E8" w:rsidP="00F766E8">
      <w:pPr>
        <w:spacing w:after="120"/>
        <w:rPr>
          <w:sz w:val="25"/>
          <w:szCs w:val="25"/>
          <w:lang w:val="en-GB"/>
        </w:rPr>
      </w:pPr>
    </w:p>
    <w:p w:rsidR="00F766E8" w:rsidRPr="009B767E" w:rsidRDefault="00F766E8" w:rsidP="00F766E8">
      <w:pPr>
        <w:spacing w:after="120"/>
        <w:rPr>
          <w:sz w:val="25"/>
          <w:szCs w:val="25"/>
          <w:lang w:val="en-GB"/>
        </w:rPr>
      </w:pPr>
    </w:p>
    <w:p w:rsidR="00F766E8" w:rsidRPr="009B767E" w:rsidRDefault="00F766E8" w:rsidP="00F766E8">
      <w:pPr>
        <w:rPr>
          <w:lang w:val="en-GB"/>
        </w:rPr>
      </w:pPr>
      <w:r w:rsidRPr="009B767E">
        <w:rPr>
          <w:lang w:val="en-GB"/>
        </w:rPr>
        <w:t xml:space="preserve">Another pattern of development could be seen in Tanzania. The Tanzania Bureau of Standards (TBS) and the Tanzania Food and Drugs Administration (TFDA) are the lead agencies for food safety (control and regulation) in Tanzania and they have a high degree of cooperation with specific non overlapping mandates.  The standards setting, including Codex standards, is conducted within technical committees established in TBS, and which are composed of representatives from government ministries, institutions, academia, industry, consumers, experts and other stakeholders. TFDA is the lead agency on matters of </w:t>
      </w:r>
      <w:r w:rsidR="00500F6D">
        <w:rPr>
          <w:lang w:val="en-GB"/>
        </w:rPr>
        <w:t>f</w:t>
      </w:r>
      <w:r w:rsidRPr="009B767E">
        <w:rPr>
          <w:lang w:val="en-GB"/>
        </w:rPr>
        <w:t xml:space="preserve">ood </w:t>
      </w:r>
      <w:r w:rsidR="00500F6D">
        <w:rPr>
          <w:lang w:val="en-GB"/>
        </w:rPr>
        <w:t>c</w:t>
      </w:r>
      <w:r w:rsidRPr="009B767E">
        <w:rPr>
          <w:lang w:val="en-GB"/>
        </w:rPr>
        <w:t xml:space="preserve">ontrol and </w:t>
      </w:r>
      <w:r w:rsidR="00500F6D">
        <w:rPr>
          <w:lang w:val="en-GB"/>
        </w:rPr>
        <w:t>r</w:t>
      </w:r>
      <w:r w:rsidRPr="009B767E">
        <w:rPr>
          <w:lang w:val="en-GB"/>
        </w:rPr>
        <w:t xml:space="preserve">egulation. The CCP and Codex Secretariat are under the Agriculture and Food Standards Section of TBS, which is responsible for development of food standards. The Codex Committees are also under this section. Work from the Codex Committees is fed into the main national technical committees for processing into national standards or developing a position to input into global Codex work. Both TBS and TFDA have various technical departments, analytical laboratories and inspection/certification (conformity assessment) responsibilities. </w:t>
      </w:r>
      <w:r w:rsidR="005F0255">
        <w:rPr>
          <w:lang w:val="en-GB"/>
        </w:rPr>
        <w:t>Both</w:t>
      </w:r>
      <w:r w:rsidR="005F0255" w:rsidRPr="009B767E">
        <w:rPr>
          <w:lang w:val="en-GB"/>
        </w:rPr>
        <w:t xml:space="preserve"> </w:t>
      </w:r>
      <w:r w:rsidRPr="009B767E">
        <w:rPr>
          <w:lang w:val="en-GB"/>
        </w:rPr>
        <w:t xml:space="preserve">of these organisations date back to the 1970s and they were built with technical cooperation of both bilateral and multilateral agencies. The present CTF assistance thus fits into an institutional structure that has been in </w:t>
      </w:r>
      <w:r w:rsidRPr="009B767E">
        <w:rPr>
          <w:lang w:val="en-GB"/>
        </w:rPr>
        <w:lastRenderedPageBreak/>
        <w:t>place for decades and while it contributes to its functioning, the contribution is small in comparison to other programmes</w:t>
      </w:r>
      <w:r w:rsidR="005F0255">
        <w:rPr>
          <w:lang w:val="en-GB"/>
        </w:rPr>
        <w:t xml:space="preserve"> of technical assistance</w:t>
      </w:r>
      <w:r w:rsidRPr="009B767E">
        <w:rPr>
          <w:lang w:val="en-GB"/>
        </w:rPr>
        <w:t xml:space="preserve">. </w:t>
      </w:r>
    </w:p>
    <w:p w:rsidR="00F766E8" w:rsidRPr="009B767E" w:rsidRDefault="00F766E8" w:rsidP="00F766E8">
      <w:pPr>
        <w:rPr>
          <w:lang w:val="en-GB"/>
        </w:rPr>
      </w:pPr>
      <w:r w:rsidRPr="009B767E">
        <w:rPr>
          <w:lang w:val="en-GB"/>
        </w:rPr>
        <w:t xml:space="preserve">While these two African examples point to a rather small contribution from the CTF, it could be argued to have played a more significant role as a catalyst in Armenia. Armenia was not very active in Codex work until 2007, when the responsibility for the CCP was transferred to the Ministry of Agriculture. The key reason seems to have been that the Ministry of Agriculture was given the responsibility for food safety in the new food safety law. This should also be seen in a context where FAO was implementing a larger food safety programme in Armenia and Georgia, including organising a workshop on setting up a NCC (requested by the CCP and with CTF sponsored participation). This was well attended by relevant stakeholders. After that a draft proposal for a NCC was produced and it is now awaiting prime-minister decision since the NCC is inter-institutional. The combination of participation in Codex meetings and having technical cooperation projects produced quicker developments in the field.  </w:t>
      </w:r>
    </w:p>
    <w:p w:rsidR="00F766E8" w:rsidRPr="009B767E" w:rsidRDefault="00F766E8" w:rsidP="00F766E8">
      <w:pPr>
        <w:rPr>
          <w:lang w:val="en-GB"/>
        </w:rPr>
      </w:pPr>
      <w:r w:rsidRPr="009B767E">
        <w:rPr>
          <w:lang w:val="en-GB"/>
        </w:rPr>
        <w:t xml:space="preserve">Jordan has also developed Codex work quickly, but the decisive moment was when Jordan became member of WTO </w:t>
      </w:r>
      <w:r w:rsidR="005F0255">
        <w:rPr>
          <w:lang w:val="en-GB"/>
        </w:rPr>
        <w:t xml:space="preserve">in </w:t>
      </w:r>
      <w:r w:rsidRPr="009B767E">
        <w:rPr>
          <w:lang w:val="en-GB"/>
        </w:rPr>
        <w:t>2000. This led to the creation of the NCC, in order to comply with the WTO agreement on Sanitary and phytosanitary measures (SPS), which mentions Codex. The NCC became effective in 2003, when Jordan became regional coordinator for the Near East. According to some stakeholders the NCC seems to have become more or less ineffective from 2007, when the role of regional coordinator was transferred to Tunisia. Jordan is also unique in the region by having created a national food and drug administration, which could be expected to take over responsibility for Codex issues in the future.</w:t>
      </w:r>
      <w:r w:rsidR="005F0255">
        <w:rPr>
          <w:lang w:val="en-GB"/>
        </w:rPr>
        <w:t xml:space="preserve"> Overall, the contribution of the CTF in Jordan has been minimal.</w:t>
      </w:r>
    </w:p>
    <w:p w:rsidR="00F766E8" w:rsidRPr="009B767E" w:rsidRDefault="00F766E8" w:rsidP="00F766E8">
      <w:pPr>
        <w:rPr>
          <w:lang w:val="en-GB"/>
        </w:rPr>
      </w:pPr>
      <w:r w:rsidRPr="009B767E">
        <w:rPr>
          <w:lang w:val="en-GB"/>
        </w:rPr>
        <w:t xml:space="preserve">Indonesia has several institutions dealing with food safety and regulation. The CCP was located in Ministry of Health under the unit responsible for </w:t>
      </w:r>
      <w:r w:rsidR="00500F6D">
        <w:rPr>
          <w:lang w:val="en-GB"/>
        </w:rPr>
        <w:t>d</w:t>
      </w:r>
      <w:r w:rsidRPr="009B767E">
        <w:rPr>
          <w:lang w:val="en-GB"/>
        </w:rPr>
        <w:t xml:space="preserve">rugs and </w:t>
      </w:r>
      <w:r w:rsidR="00500F6D">
        <w:rPr>
          <w:lang w:val="en-GB"/>
        </w:rPr>
        <w:t>f</w:t>
      </w:r>
      <w:r w:rsidRPr="009B767E">
        <w:rPr>
          <w:lang w:val="en-GB"/>
        </w:rPr>
        <w:t xml:space="preserve">ood control, but it was transferred to the National Standardization Agency of Indonesia (BSN) in 1998. The CCP Secretariat coordinates the Codex work in Indonesia, manages all arrangements, communication, document circulation, meetings and monitoring. The Codex work is mainstreamed into the overall national standard development process for food standards. Indonesia has Codex Committees, which are mirrors of the global Codex Committees.  However, the development of food standards based on Codex is decentralized into the Technical Codex Committees assigned to the various core government Ministries/Agencies responsible for the particular regulation or food control. The Codex institutions in Indonesia were in place prior to the CTF and their changes are attributed to existing national policies. </w:t>
      </w:r>
    </w:p>
    <w:p w:rsidR="00F766E8" w:rsidRPr="009B767E" w:rsidRDefault="00F766E8" w:rsidP="00F766E8">
      <w:pPr>
        <w:rPr>
          <w:lang w:val="en-GB"/>
        </w:rPr>
      </w:pPr>
      <w:r w:rsidRPr="009B767E">
        <w:rPr>
          <w:lang w:val="en-GB"/>
        </w:rPr>
        <w:t xml:space="preserve">The NCC in Laos was set up in 1998, but it is during the last 5 years that is has become active with a clear membership and holding of national Codex meetings. Despite the limited capacity for testing and analysis, since 2008 the county is starting to collect scientific data for pesticide residues levels for use in determining maximum residue limits. There are also studies on some aspects of microbiological contaminants in foods. The Lao Ministry of Agriculture is focusing on developing a national </w:t>
      </w:r>
      <w:r>
        <w:rPr>
          <w:lang w:val="en-GB"/>
        </w:rPr>
        <w:t>Good Agricultural Practice (</w:t>
      </w:r>
      <w:r w:rsidRPr="009B767E">
        <w:rPr>
          <w:lang w:val="en-GB"/>
        </w:rPr>
        <w:t>GAP</w:t>
      </w:r>
      <w:r>
        <w:rPr>
          <w:lang w:val="en-GB"/>
        </w:rPr>
        <w:t>)</w:t>
      </w:r>
      <w:r w:rsidRPr="009B767E">
        <w:rPr>
          <w:lang w:val="en-GB"/>
        </w:rPr>
        <w:t xml:space="preserve">, much as a result of the awareness created after members from the Ministry attended CCPR. The Director </w:t>
      </w:r>
      <w:r w:rsidR="00500F6D">
        <w:rPr>
          <w:lang w:val="en-GB"/>
        </w:rPr>
        <w:t xml:space="preserve">of the </w:t>
      </w:r>
      <w:r w:rsidRPr="009B767E">
        <w:rPr>
          <w:lang w:val="en-GB"/>
        </w:rPr>
        <w:t xml:space="preserve">Regulatory Division in the Ministry spearheaded the review of Pesticide Regulations after attending a CCPR meeting in Beijing in 2009.  Officers in Ministry of Agriculture talk about a movement from </w:t>
      </w:r>
      <w:r w:rsidR="00500F6D">
        <w:rPr>
          <w:lang w:val="en-GB"/>
        </w:rPr>
        <w:t>q</w:t>
      </w:r>
      <w:r w:rsidRPr="009B767E">
        <w:rPr>
          <w:lang w:val="en-GB"/>
        </w:rPr>
        <w:t xml:space="preserve">uantity to </w:t>
      </w:r>
      <w:r w:rsidR="00500F6D">
        <w:rPr>
          <w:lang w:val="en-GB"/>
        </w:rPr>
        <w:t>q</w:t>
      </w:r>
      <w:r w:rsidRPr="009B767E">
        <w:rPr>
          <w:lang w:val="en-GB"/>
        </w:rPr>
        <w:t xml:space="preserve">uality, for example, strengthening Nutrition and Food Safety issues. </w:t>
      </w:r>
    </w:p>
    <w:p w:rsidR="00F766E8" w:rsidRPr="009B767E" w:rsidRDefault="00F766E8" w:rsidP="00F766E8">
      <w:pPr>
        <w:rPr>
          <w:lang w:val="en-GB"/>
        </w:rPr>
      </w:pPr>
      <w:r w:rsidRPr="009B767E">
        <w:rPr>
          <w:lang w:val="en-GB"/>
        </w:rPr>
        <w:t xml:space="preserve">In sum, the overall picture is one of significant development of the institutions dealing with food safety; during the past decade there has been a significant development of new institutions, institutional changes, and recreation of institutions that had declined since the 1970s or 1980s. There are many driving forces behind these changes and most significant may be the growth of </w:t>
      </w:r>
      <w:r w:rsidRPr="009B767E">
        <w:rPr>
          <w:lang w:val="en-GB"/>
        </w:rPr>
        <w:lastRenderedPageBreak/>
        <w:t xml:space="preserve">international trade and the WTO framework for trade negotiations which forces countries to apply standards of food safety. However, domestic concerns for food safety have also triggered the development of Codex work. The CTF has been a welcome addition in this development and many who have participated in Codex meetings have returned to a dynamic environment of institutional change and development, where it has been possible to work practically with standards development. </w:t>
      </w:r>
    </w:p>
    <w:p w:rsidR="00F766E8" w:rsidRPr="009B767E" w:rsidRDefault="00F766E8" w:rsidP="00F766E8">
      <w:pPr>
        <w:pStyle w:val="Heading3"/>
        <w:rPr>
          <w:lang w:val="en-GB"/>
        </w:rPr>
      </w:pPr>
      <w:bookmarkStart w:id="38" w:name="_Toc133376095"/>
      <w:r w:rsidRPr="009B767E">
        <w:rPr>
          <w:lang w:val="en-GB"/>
        </w:rPr>
        <w:t>Development of National Policies</w:t>
      </w:r>
      <w:bookmarkEnd w:id="38"/>
    </w:p>
    <w:p w:rsidR="00F766E8" w:rsidRPr="009B767E" w:rsidRDefault="00F766E8" w:rsidP="00F766E8">
      <w:pPr>
        <w:rPr>
          <w:lang w:val="en-GB"/>
        </w:rPr>
      </w:pPr>
      <w:r w:rsidRPr="009B767E">
        <w:rPr>
          <w:lang w:val="en-GB"/>
        </w:rPr>
        <w:t xml:space="preserve">The institutional framework is one thing, the national policies another. Some countries have a strong policy framework which is formalised in policies for food safety in the country and in respect of the country’s participation in Codex. In other countries the institutions are in place but there are no formalised policies guiding their work. In some cases the policy content could be seen to evolve within the institutional framework without necessarily being formalised. It is also possible that institutions are strong and policies weak, or for that matter, that both are weak.  This section reviews what the evaluation found about policies during the country visits. </w:t>
      </w:r>
    </w:p>
    <w:p w:rsidR="00F766E8" w:rsidRPr="009B767E" w:rsidRDefault="00F766E8" w:rsidP="00F766E8">
      <w:pPr>
        <w:rPr>
          <w:lang w:val="en-GB"/>
        </w:rPr>
      </w:pPr>
      <w:r w:rsidRPr="009B767E">
        <w:rPr>
          <w:lang w:val="en-GB"/>
        </w:rPr>
        <w:t xml:space="preserve">Bolivia is an interesting case as there is no national policy for Codex. On the other hand, Codex is connected to other policy objectives; in particular the achievement of zero malnutrition. Codex norms and standards enter that policy objective by providing standards – in particular in respect of infant formulae. What we see here is that important policies that give significance to Codex work may not be specific Codex policies, but could be formulated in terms of broader health or social objectives. Addressing malnutrition is the policy objective, and Codex is important as long as it has a bearing on that policy objective – which it obviously has. The low level of political attention to Codex may reflect the technical and instrumental character of the work done and may not be a problem in its own right. Even if Bolivia has no formalised national Codex policy, there is a coherent approach to Codex work with stable funding, an institutional framework and lively networks between organisations. </w:t>
      </w:r>
    </w:p>
    <w:p w:rsidR="00F766E8" w:rsidRPr="009B767E" w:rsidRDefault="00F766E8" w:rsidP="00F766E8">
      <w:pPr>
        <w:rPr>
          <w:lang w:val="en-GB"/>
        </w:rPr>
      </w:pPr>
      <w:r w:rsidRPr="009B767E">
        <w:rPr>
          <w:lang w:val="en-GB"/>
        </w:rPr>
        <w:t xml:space="preserve">The situation is different in other countries. Ghana has taken a more formalised route and is preparing a National Food Safety Policy with technical support from WHO. Malawi has a National Standards Law, which encompasses food standards. But in both these countries there is no formal national policy on Codex work. In another African country, Mali adopted a National Policy for </w:t>
      </w:r>
      <w:r w:rsidR="001905F3">
        <w:rPr>
          <w:lang w:val="en-GB"/>
        </w:rPr>
        <w:t>F</w:t>
      </w:r>
      <w:r w:rsidRPr="009B767E">
        <w:rPr>
          <w:lang w:val="en-GB"/>
        </w:rPr>
        <w:t xml:space="preserve">ood Safety in 2003. The </w:t>
      </w:r>
      <w:r>
        <w:rPr>
          <w:lang w:val="en-GB"/>
        </w:rPr>
        <w:t>National Food Safety Agency (</w:t>
      </w:r>
      <w:r w:rsidRPr="009B767E">
        <w:rPr>
          <w:lang w:val="en-GB"/>
        </w:rPr>
        <w:t>ANSSA</w:t>
      </w:r>
      <w:r>
        <w:rPr>
          <w:lang w:val="en-GB"/>
        </w:rPr>
        <w:t>)</w:t>
      </w:r>
      <w:r w:rsidRPr="009B767E">
        <w:rPr>
          <w:lang w:val="en-GB"/>
        </w:rPr>
        <w:t xml:space="preserve"> was created by Law of December 30, 2003, to implement the Policy for Food Safety. The </w:t>
      </w:r>
      <w:r w:rsidR="005F0255">
        <w:rPr>
          <w:lang w:val="en-GB"/>
        </w:rPr>
        <w:t xml:space="preserve">establishment of a </w:t>
      </w:r>
      <w:r w:rsidRPr="009B767E">
        <w:rPr>
          <w:lang w:val="en-GB"/>
        </w:rPr>
        <w:t xml:space="preserve">NCC was based on a Decree by the Minister of Health and there is aspiration to include it in a law, with a clear emphasis on Codex and provision of a budget for Codex work. </w:t>
      </w:r>
    </w:p>
    <w:p w:rsidR="00F766E8" w:rsidRPr="009B767E" w:rsidRDefault="00F766E8" w:rsidP="00F766E8">
      <w:pPr>
        <w:rPr>
          <w:lang w:val="en-GB"/>
        </w:rPr>
      </w:pPr>
      <w:r w:rsidRPr="009B767E">
        <w:rPr>
          <w:lang w:val="en-GB"/>
        </w:rPr>
        <w:t>Jordan has an Agriculture Law and a Food Control Law. The latter was recently developed within a twinning project between JFDA and the Danish Veterinarian and Food Administration that lasted for 30 months. It is similar to EU standards and is very similar to the Danish law, including issues such as consumer awareness, auto</w:t>
      </w:r>
      <w:r>
        <w:rPr>
          <w:lang w:val="en-GB"/>
        </w:rPr>
        <w:t xml:space="preserve"> </w:t>
      </w:r>
      <w:r w:rsidRPr="009B767E">
        <w:rPr>
          <w:lang w:val="en-GB"/>
        </w:rPr>
        <w:t xml:space="preserve">control etc. It is also the first law in the region that is risk based.  The national society for consumer protection has been promoting a law on consumer protection for 15 years and has been promised that it will be passed in 2010. </w:t>
      </w:r>
    </w:p>
    <w:p w:rsidR="00F766E8" w:rsidRPr="009B767E" w:rsidRDefault="00F766E8" w:rsidP="00F766E8">
      <w:pPr>
        <w:rPr>
          <w:lang w:val="en-GB"/>
        </w:rPr>
      </w:pPr>
      <w:r w:rsidRPr="009B767E">
        <w:rPr>
          <w:lang w:val="en-GB"/>
        </w:rPr>
        <w:t xml:space="preserve">The </w:t>
      </w:r>
      <w:r w:rsidR="005F0255">
        <w:rPr>
          <w:lang w:val="en-GB"/>
        </w:rPr>
        <w:t>cases</w:t>
      </w:r>
      <w:r w:rsidR="005F0255" w:rsidRPr="009B767E">
        <w:rPr>
          <w:lang w:val="en-GB"/>
        </w:rPr>
        <w:t xml:space="preserve"> </w:t>
      </w:r>
      <w:r w:rsidRPr="009B767E">
        <w:rPr>
          <w:lang w:val="en-GB"/>
        </w:rPr>
        <w:t xml:space="preserve">show that there is a swift legal development in many countries. In Serbia a range of laws has been adopted lately and last year a Food Law was finalised (which was approved by the EU). In earlier drafts it included the establishment of an independent Food Agency, but in the final version the responsibility was instead shared between the ministries of agriculture and health, with the Ministry of Agriculture given the main responsibility for food safety in collaboration with the Ministry of Health. The latter ministry is given responsible for nine types of food, including children's food, salt, water, dietary supplements and additives. The law is an </w:t>
      </w:r>
      <w:r w:rsidRPr="009B767E">
        <w:rPr>
          <w:lang w:val="en-GB"/>
        </w:rPr>
        <w:lastRenderedPageBreak/>
        <w:t xml:space="preserve">improvement, since previously there was overlap between the two ministries and producers were visited by several inspectors. Now, division of labour is clearer. </w:t>
      </w:r>
    </w:p>
    <w:p w:rsidR="00F766E8" w:rsidRPr="009B767E" w:rsidRDefault="00F766E8" w:rsidP="00F766E8">
      <w:pPr>
        <w:rPr>
          <w:lang w:val="en-GB"/>
        </w:rPr>
      </w:pPr>
      <w:r w:rsidRPr="009B767E">
        <w:rPr>
          <w:lang w:val="en-GB"/>
        </w:rPr>
        <w:t xml:space="preserve">Laos also has a National Food Policy and a National Food Law. Codex is reflected in both documents as a reference. However, lack of mechanisms and resources for implementation of food safety pose a significant hurdle.  A national high level policy body, the National Food Safety Commission exists for food safety matters. By and large, these concerns resonate in all countries. Legislation and the setting of standards are the first stepping stones and what comes after in terms of supervision and control requires more effort. </w:t>
      </w:r>
    </w:p>
    <w:p w:rsidR="00F766E8" w:rsidRPr="009B767E" w:rsidRDefault="00F766E8" w:rsidP="00F766E8">
      <w:pPr>
        <w:rPr>
          <w:lang w:val="en-GB"/>
        </w:rPr>
      </w:pPr>
      <w:r w:rsidRPr="009B767E">
        <w:rPr>
          <w:lang w:val="en-GB"/>
        </w:rPr>
        <w:t xml:space="preserve">Like Bolivia that was mentioned initially, Tunisia is a country that has clear priorities for its participation in Codex work but which has not formalised a policy for Codex work as such. The policy content is that Tunisia takes part in some horizontal committees of general interest (hygiene, food additives </w:t>
      </w:r>
      <w:r w:rsidR="005F0255" w:rsidRPr="009B767E">
        <w:rPr>
          <w:lang w:val="en-GB"/>
        </w:rPr>
        <w:t>and inspection</w:t>
      </w:r>
      <w:r w:rsidRPr="009B767E">
        <w:rPr>
          <w:lang w:val="en-GB"/>
        </w:rPr>
        <w:t xml:space="preserve"> systems) and two others (oils and fats, and fruits and vegetables). These committees reflect the priorities of the Tunisian export industry and public</w:t>
      </w:r>
      <w:r w:rsidR="005F0255">
        <w:rPr>
          <w:lang w:val="en-GB"/>
        </w:rPr>
        <w:t xml:space="preserve"> concern of </w:t>
      </w:r>
      <w:r w:rsidRPr="009B767E">
        <w:rPr>
          <w:lang w:val="en-GB"/>
        </w:rPr>
        <w:t>food health and safety. It sets a clear line of responsibilities and it also matches institutional structures in the country. It is only recently that a national policy is emerging and in fact, it is not really a full national policy on Codex work. But there are several elements to such a policy:</w:t>
      </w:r>
    </w:p>
    <w:p w:rsidR="00F766E8" w:rsidRPr="009B767E" w:rsidRDefault="00F766E8" w:rsidP="00F766E8">
      <w:pPr>
        <w:pStyle w:val="ListParagraph"/>
        <w:numPr>
          <w:ilvl w:val="0"/>
          <w:numId w:val="7"/>
        </w:numPr>
        <w:rPr>
          <w:lang w:val="en-GB"/>
        </w:rPr>
      </w:pPr>
      <w:r w:rsidRPr="009B767E">
        <w:rPr>
          <w:lang w:val="en-GB"/>
        </w:rPr>
        <w:t xml:space="preserve">there is a clear priority in respect of which Codex committees are most important to Tunisian interest and where the country will participate – with or without personnel actually going to meetings. </w:t>
      </w:r>
    </w:p>
    <w:p w:rsidR="00F766E8" w:rsidRPr="009B767E" w:rsidRDefault="00F766E8" w:rsidP="00F766E8">
      <w:pPr>
        <w:pStyle w:val="ListParagraph"/>
        <w:numPr>
          <w:ilvl w:val="0"/>
          <w:numId w:val="7"/>
        </w:numPr>
        <w:rPr>
          <w:lang w:val="en-GB"/>
        </w:rPr>
      </w:pPr>
      <w:r w:rsidRPr="009B767E">
        <w:rPr>
          <w:lang w:val="en-GB"/>
        </w:rPr>
        <w:t>there are the occasions when a national policy has been taken on a specific issue. That has happened on three occasions; on genetically modified crops, on the composition of olive oil, and an issue relating to sorghum.</w:t>
      </w:r>
    </w:p>
    <w:p w:rsidR="00F766E8" w:rsidRPr="009B767E" w:rsidRDefault="00F766E8" w:rsidP="00F766E8">
      <w:pPr>
        <w:pStyle w:val="ListParagraph"/>
        <w:numPr>
          <w:ilvl w:val="0"/>
          <w:numId w:val="7"/>
        </w:numPr>
        <w:rPr>
          <w:lang w:val="en-GB"/>
        </w:rPr>
      </w:pPr>
      <w:r w:rsidRPr="009B767E">
        <w:rPr>
          <w:lang w:val="en-GB"/>
        </w:rPr>
        <w:t xml:space="preserve">Tunisia agreed to become the regional coordinator and thus has accepted a higher degree of responsibility and commitment. </w:t>
      </w:r>
    </w:p>
    <w:p w:rsidR="00F766E8" w:rsidRPr="009B767E" w:rsidRDefault="00F766E8" w:rsidP="00F766E8">
      <w:pPr>
        <w:rPr>
          <w:lang w:val="en-GB"/>
        </w:rPr>
      </w:pPr>
      <w:r w:rsidRPr="009B767E">
        <w:rPr>
          <w:lang w:val="en-GB"/>
        </w:rPr>
        <w:t>To what extent can these policy developments be related to the CTF and is it at all meaningful to discuss them in terms of impact? It is meaningful in the context of the formulation of purpose for the CTF; “</w:t>
      </w:r>
      <w:r w:rsidRPr="009B767E">
        <w:rPr>
          <w:i/>
          <w:lang w:val="en-GB"/>
        </w:rPr>
        <w:t>to help developing countries and those with economies in transition to enhance their level of effective participation in the development of global food safety and quality standards by the Codex Alimentarius Commission</w:t>
      </w:r>
      <w:r w:rsidRPr="009B767E">
        <w:rPr>
          <w:lang w:val="en-GB"/>
        </w:rPr>
        <w:t xml:space="preserve">” and to the extent that formulating a national policy for food safety, as well as a national policy for Codex, are stepping stones in that direction. But how has the CTF contributed to these policies? In many cases not at all, as the policies were either fully formulated or the process had started before the CTF was created. But in other cases the participation in Codex meeting has necessitated countries to reconsider the status of polices. Exchanges with delegations from other countries highlight the need for policies, and the application process – which implies both an institutional and policy framework – encourage thinking and efforts. The contribution of CTF is marginal but also in some cases catalytic, </w:t>
      </w:r>
      <w:r w:rsidR="005F0255">
        <w:rPr>
          <w:lang w:val="en-GB"/>
        </w:rPr>
        <w:t>but</w:t>
      </w:r>
      <w:r w:rsidR="005F0255" w:rsidRPr="009B767E">
        <w:rPr>
          <w:lang w:val="en-GB"/>
        </w:rPr>
        <w:t xml:space="preserve"> </w:t>
      </w:r>
      <w:r w:rsidRPr="009B767E">
        <w:rPr>
          <w:lang w:val="en-GB"/>
        </w:rPr>
        <w:t xml:space="preserve">it would always be a small contribution. </w:t>
      </w:r>
    </w:p>
    <w:p w:rsidR="00F766E8" w:rsidRPr="009B767E" w:rsidRDefault="00F766E8" w:rsidP="00F766E8">
      <w:pPr>
        <w:pStyle w:val="Heading3"/>
        <w:spacing w:before="240"/>
        <w:rPr>
          <w:lang w:val="en-GB"/>
        </w:rPr>
      </w:pPr>
      <w:bookmarkStart w:id="39" w:name="_Toc133376096"/>
      <w:r w:rsidRPr="009B767E">
        <w:rPr>
          <w:lang w:val="en-GB"/>
        </w:rPr>
        <w:t>Changing Work Conditions of Codex Contact Points</w:t>
      </w:r>
      <w:bookmarkEnd w:id="39"/>
    </w:p>
    <w:p w:rsidR="00F766E8" w:rsidRPr="009B767E" w:rsidRDefault="00F766E8" w:rsidP="00F766E8">
      <w:pPr>
        <w:rPr>
          <w:color w:val="000000"/>
          <w:sz w:val="25"/>
          <w:szCs w:val="25"/>
          <w:lang w:val="en-GB"/>
        </w:rPr>
      </w:pPr>
      <w:r w:rsidRPr="009B767E">
        <w:rPr>
          <w:color w:val="000000"/>
          <w:sz w:val="25"/>
          <w:szCs w:val="25"/>
          <w:lang w:val="en-GB"/>
        </w:rPr>
        <w:t>The Codex Contact Point is a key feature of the institutional development of Codex work in countries and it is through the CCP that much of the practical work to benefit from the CTF is channel</w:t>
      </w:r>
      <w:r>
        <w:rPr>
          <w:color w:val="000000"/>
          <w:sz w:val="25"/>
          <w:szCs w:val="25"/>
          <w:lang w:val="en-GB"/>
        </w:rPr>
        <w:t>l</w:t>
      </w:r>
      <w:r w:rsidRPr="009B767E">
        <w:rPr>
          <w:color w:val="000000"/>
          <w:sz w:val="25"/>
          <w:szCs w:val="25"/>
          <w:lang w:val="en-GB"/>
        </w:rPr>
        <w:t xml:space="preserve">ed. In this section we review how the CCP is set up, how it evolves and what the constraints in the office are, with selected examples from country visits. </w:t>
      </w:r>
    </w:p>
    <w:p w:rsidR="00F766E8" w:rsidRPr="009B767E" w:rsidRDefault="00F766E8" w:rsidP="00F766E8">
      <w:pPr>
        <w:rPr>
          <w:lang w:val="en-GB"/>
        </w:rPr>
      </w:pPr>
      <w:r w:rsidRPr="009B767E">
        <w:rPr>
          <w:lang w:val="en-GB"/>
        </w:rPr>
        <w:t xml:space="preserve">The first example comes from Malawi. The Malawi Bureau of Standards (MBS) hosts the CCP and Codex Secretariat and is thus the pivotal point in coordinating all concerned parties for </w:t>
      </w:r>
      <w:r w:rsidRPr="009B767E">
        <w:rPr>
          <w:lang w:val="en-GB"/>
        </w:rPr>
        <w:lastRenderedPageBreak/>
        <w:t>Codex work in Malawi. MBS is also responsible for formulation of all Malawi National Food Standards and standardization in all other sectors of the economy, in addition to that of food.  The institution has about 160 employees located at Headquarters offices in Blantyre and 3 districts of Malawi.  MBS is an autonomous body under the parent of Industry, Trade and Private Investment. Under the new Government policy, MBS is supposed to commercialize and generate its own financial resources, which might marginalize Codex work, if Government does not prioritize Codex and allocate a budget for the work.</w:t>
      </w:r>
    </w:p>
    <w:p w:rsidR="00F766E8" w:rsidRPr="009B767E" w:rsidRDefault="00F766E8" w:rsidP="00F766E8">
      <w:pPr>
        <w:rPr>
          <w:lang w:val="en-GB"/>
        </w:rPr>
      </w:pPr>
      <w:r w:rsidRPr="009B767E">
        <w:rPr>
          <w:lang w:val="en-GB"/>
        </w:rPr>
        <w:t xml:space="preserve">In Mali, The National Food Safety Agency (ANSSA) was created by Law No. 03-043 of December 30, 2003, as the main instrument to implement the policy for Food Safety.  The ANSSA is an autonomous Agency with its own budget and Board of Governors under the parent Ministry of Health. Previously, a Food Safety office was established within the Ministry of Health and the office was responsible for the Mali Codex Contact Point (CCP) and Mali’s participation into Codex work. When the ANSSA </w:t>
      </w:r>
      <w:r w:rsidRPr="009B767E">
        <w:rPr>
          <w:sz w:val="28"/>
          <w:lang w:val="en-GB"/>
        </w:rPr>
        <w:t xml:space="preserve">became operational, </w:t>
      </w:r>
      <w:r w:rsidRPr="009B767E">
        <w:rPr>
          <w:lang w:val="en-GB"/>
        </w:rPr>
        <w:t>the CCP was transferred to ANSSA up to today and the Agency also serves as the national Codex Secretariat.</w:t>
      </w:r>
    </w:p>
    <w:p w:rsidR="00F766E8" w:rsidRPr="009B767E" w:rsidRDefault="00F766E8" w:rsidP="00F766E8">
      <w:pPr>
        <w:rPr>
          <w:lang w:val="en-GB"/>
        </w:rPr>
      </w:pPr>
      <w:r w:rsidRPr="009B767E">
        <w:rPr>
          <w:lang w:val="en-GB"/>
        </w:rPr>
        <w:t>In Bolivia</w:t>
      </w:r>
      <w:r w:rsidR="00AB08A6">
        <w:rPr>
          <w:lang w:val="en-GB"/>
        </w:rPr>
        <w:t xml:space="preserve"> the </w:t>
      </w:r>
      <w:r w:rsidRPr="009B767E">
        <w:rPr>
          <w:lang w:val="en-GB"/>
        </w:rPr>
        <w:t xml:space="preserve">CCP was hosted by the Bureau of Standards, but in Tunisia it was hosted by the CTAA, a development agency for agro-industries with an emphasis on applied R&amp;D. In other countries, such as Argentina, the CCP is located in a government Ministry (in that case, the Ministry of Agriculture). However, the actual position of the CCP and the institutional home may matter less, or rather, the most effective solution is in some countries to place it in a ministry, in other countries with the standards organisations and in yet others in R&amp;D, or something else. It would depend on the context and the main thrust of Codex work in that particular country. In Argentina the Codex has always been important and had a high profile, strongly linked to the importance of agro-industries in the country. In Tanzania other solutions were found, closer to standards work, more technical and less politically oriented. There is no ground for saying that the one is better than the other generally speaking. It would take more knowledge of either country to suggest other structures, but that being said, the structures and processes are certainly everywhere gradually changing and evolving. </w:t>
      </w:r>
    </w:p>
    <w:p w:rsidR="00F766E8" w:rsidRPr="009B767E" w:rsidRDefault="00F766E8" w:rsidP="00F766E8">
      <w:pPr>
        <w:rPr>
          <w:lang w:val="en-GB"/>
        </w:rPr>
      </w:pPr>
      <w:r w:rsidRPr="009B767E">
        <w:rPr>
          <w:lang w:val="en-GB"/>
        </w:rPr>
        <w:t>Against that background the impact of the CTF can be discerned. The CTF’s impact on the CCP and the institutionalisation of that office is threefold. First, the presence of the CTF and the opportunities for sponsored participation in meeting that it presents has increased responsibility and thus the visibility of the CCP. It has added a task to the many other coordinating tasks that the CCP has, and it has added a task that conveys power and prestige and a function that is seemed as highly beneficial by many involved in Codex work at national level. That, in itself, strengthens the CCP. Secondly, the participation in meetings gives people an opportunity to exchange experiences of how Codex work is organised in different countries. Participants from Hungary may tell colleagues from Armenia about how their national policies emerge and what the CCP does, and vice versa. All sets the stage for learning and for bringing ideas and knowledge back after meetings. It adds dynamism to the work, and compared to a situation where essentially nobody from either Armenia, Laos, Malawi or Bolivia took part, Codex meetings have a much richer breeding ground for information. Third, the CCPs have also benefitted from the training events funded by the CTF in relation to regional meetings. Regional meetings seem to be a particularly importance venue for networking and learning-by-doing.</w:t>
      </w:r>
    </w:p>
    <w:p w:rsidR="00F766E8" w:rsidRPr="009B767E" w:rsidRDefault="00F766E8" w:rsidP="00F766E8">
      <w:pPr>
        <w:pStyle w:val="Heading3"/>
        <w:rPr>
          <w:lang w:val="en-GB"/>
        </w:rPr>
      </w:pPr>
      <w:bookmarkStart w:id="40" w:name="_Toc133376097"/>
      <w:r w:rsidRPr="009B767E">
        <w:rPr>
          <w:lang w:val="en-GB"/>
        </w:rPr>
        <w:t>Development of Codex-Related Research</w:t>
      </w:r>
      <w:bookmarkEnd w:id="40"/>
    </w:p>
    <w:p w:rsidR="00F766E8" w:rsidRPr="009B767E" w:rsidRDefault="00F766E8" w:rsidP="00F766E8">
      <w:pPr>
        <w:spacing w:after="200"/>
        <w:rPr>
          <w:lang w:val="en-GB"/>
        </w:rPr>
      </w:pPr>
      <w:r w:rsidRPr="009B767E">
        <w:rPr>
          <w:lang w:val="en-GB"/>
        </w:rPr>
        <w:t>The third expected output of the CTF is ”</w:t>
      </w:r>
      <w:r w:rsidRPr="009B767E">
        <w:rPr>
          <w:i/>
          <w:lang w:val="en-GB"/>
        </w:rPr>
        <w:t>Enhancing scientific/technical participation in Codex. The number of countries that are actively providing scientific/technical advice in support of the Codex standard setting process will have increased.</w:t>
      </w:r>
      <w:r w:rsidRPr="009B767E">
        <w:rPr>
          <w:lang w:val="en-GB"/>
        </w:rPr>
        <w:t xml:space="preserve">” Here the issue of research is formulated as an output, but as we will see later, the CTF has not produced any outputs in this category. </w:t>
      </w:r>
      <w:r w:rsidR="00AB08A6">
        <w:rPr>
          <w:lang w:val="en-GB"/>
        </w:rPr>
        <w:t xml:space="preserve">Instead, the discussion may be </w:t>
      </w:r>
      <w:r w:rsidR="00AB08A6">
        <w:rPr>
          <w:lang w:val="en-GB"/>
        </w:rPr>
        <w:lastRenderedPageBreak/>
        <w:t xml:space="preserve">focused on </w:t>
      </w:r>
      <w:r w:rsidR="00AB08A6" w:rsidRPr="009B767E">
        <w:rPr>
          <w:lang w:val="en-GB"/>
        </w:rPr>
        <w:t>the question of an impact, which might have been achieved</w:t>
      </w:r>
      <w:r w:rsidR="00AB08A6">
        <w:rPr>
          <w:lang w:val="en-GB"/>
        </w:rPr>
        <w:t xml:space="preserve">, rather than on </w:t>
      </w:r>
      <w:r w:rsidRPr="009B767E">
        <w:rPr>
          <w:lang w:val="en-GB"/>
        </w:rPr>
        <w:t>question of an output (that was not produced)</w:t>
      </w:r>
      <w:r w:rsidR="00AB08A6">
        <w:rPr>
          <w:lang w:val="en-GB"/>
        </w:rPr>
        <w:t>.</w:t>
      </w:r>
      <w:r w:rsidRPr="009B767E">
        <w:rPr>
          <w:lang w:val="en-GB"/>
        </w:rPr>
        <w:t xml:space="preserve"> ? </w:t>
      </w:r>
    </w:p>
    <w:p w:rsidR="00F766E8" w:rsidRPr="009B767E" w:rsidRDefault="00F766E8" w:rsidP="00F766E8">
      <w:pPr>
        <w:rPr>
          <w:lang w:val="en-GB"/>
        </w:rPr>
      </w:pPr>
      <w:r w:rsidRPr="009B767E">
        <w:rPr>
          <w:lang w:val="en-GB"/>
        </w:rPr>
        <w:t xml:space="preserve">Let us first consider how a country develops a national position. The following outlines the process in Mali: The CCP receives the Codex documents and circular letters. The documents are sent by email to all stakeholders of NCC, Codex Sub-Committees and other stakeholders who are not direct members for Codex meetings.  The original documents are sent to sub-committee members with an invitation to attend a meeting at ANSSA.  At the meeting the Sub-committee develops a draft national position, which is sent to the members of </w:t>
      </w:r>
      <w:r w:rsidR="00AB08A6">
        <w:rPr>
          <w:lang w:val="en-GB"/>
        </w:rPr>
        <w:t xml:space="preserve">the </w:t>
      </w:r>
      <w:r w:rsidRPr="009B767E">
        <w:rPr>
          <w:lang w:val="en-GB"/>
        </w:rPr>
        <w:t xml:space="preserve">NCC and other stakeholders for comments. The comments are integrated into the draft national position, which is sent to the Chair </w:t>
      </w:r>
      <w:r w:rsidR="00AB08A6">
        <w:rPr>
          <w:lang w:val="en-GB"/>
        </w:rPr>
        <w:t xml:space="preserve">of the </w:t>
      </w:r>
      <w:r w:rsidRPr="009B767E">
        <w:rPr>
          <w:lang w:val="en-GB"/>
        </w:rPr>
        <w:t>NCC for final review and approval. After approval</w:t>
      </w:r>
      <w:r w:rsidR="00AB08A6">
        <w:rPr>
          <w:lang w:val="en-GB"/>
        </w:rPr>
        <w:t xml:space="preserve"> the</w:t>
      </w:r>
      <w:r w:rsidRPr="009B767E">
        <w:rPr>
          <w:lang w:val="en-GB"/>
        </w:rPr>
        <w:t xml:space="preserve"> CCP dispatches the position to the corresponding Codex Committee with a copy to the Secretariat in Rome. Research findings could enter the debate when a proposal is submitted, when it is reviewed, and when comments are integrated, and when there is a final review and approval. Hence, participation in Codex meetings triggers relations with research, and it is quite likely that the interaction between research institutes, standardisation agencies and the administration increases with increasing participation in Codex meetings. That being said, it is of course not all participation that leads to development of national positions based on research evidence. However, a substantial part of the interview respondents and also many of the survey responses indicate that this occurs frequently and is rather a rule than an exception. To point at some more detailed examples:</w:t>
      </w:r>
    </w:p>
    <w:p w:rsidR="00F766E8" w:rsidRPr="009B767E" w:rsidRDefault="00F766E8" w:rsidP="00F766E8">
      <w:pPr>
        <w:pStyle w:val="ListParagraph"/>
        <w:numPr>
          <w:ilvl w:val="0"/>
          <w:numId w:val="8"/>
        </w:numPr>
        <w:rPr>
          <w:color w:val="000000"/>
          <w:szCs w:val="25"/>
          <w:lang w:val="en-GB"/>
        </w:rPr>
      </w:pPr>
      <w:r w:rsidRPr="009B767E">
        <w:rPr>
          <w:szCs w:val="25"/>
          <w:lang w:val="en-GB"/>
        </w:rPr>
        <w:t>A delegate sponsored by CTF is carrying out research to measure smoke residue levels in smoked fish as part of the input into a standard being developed to deal with excessive use of wood to smoke fish.</w:t>
      </w:r>
    </w:p>
    <w:p w:rsidR="00F766E8" w:rsidRPr="009B767E" w:rsidRDefault="00F766E8" w:rsidP="00F766E8">
      <w:pPr>
        <w:pStyle w:val="ListParagraph"/>
        <w:numPr>
          <w:ilvl w:val="0"/>
          <w:numId w:val="8"/>
        </w:numPr>
        <w:rPr>
          <w:szCs w:val="25"/>
          <w:lang w:val="en-GB"/>
        </w:rPr>
      </w:pPr>
      <w:r w:rsidRPr="009B767E">
        <w:rPr>
          <w:bCs/>
          <w:lang w:val="en-GB"/>
        </w:rPr>
        <w:t xml:space="preserve">In the course of preparation for a working group on the prevention and reduction of Ochratoxin A in cocoa, </w:t>
      </w:r>
      <w:r w:rsidRPr="009B767E">
        <w:rPr>
          <w:szCs w:val="25"/>
          <w:lang w:val="en-GB"/>
        </w:rPr>
        <w:t>research was being carried out on evaluating pesticides of concern to determine MRLs for Cocoa.</w:t>
      </w:r>
    </w:p>
    <w:p w:rsidR="00F766E8" w:rsidRPr="009B767E" w:rsidRDefault="00F766E8" w:rsidP="00F766E8">
      <w:pPr>
        <w:pStyle w:val="ListParagraph"/>
        <w:numPr>
          <w:ilvl w:val="0"/>
          <w:numId w:val="8"/>
        </w:numPr>
        <w:rPr>
          <w:szCs w:val="25"/>
          <w:lang w:val="en-GB"/>
        </w:rPr>
      </w:pPr>
      <w:r w:rsidRPr="009B767E">
        <w:rPr>
          <w:szCs w:val="25"/>
          <w:lang w:val="en-GB"/>
        </w:rPr>
        <w:t>For Fresh Fruits and Vegetables, Ghana is working on justification for getting some additional varieties of Chili peppers included on the Codex Standard. Ghana is also to submit that taxonomy of Okra (a food under cotton has to be changed to foods and vegetables rather than cucubits).</w:t>
      </w:r>
    </w:p>
    <w:p w:rsidR="00F766E8" w:rsidRPr="00C667F5" w:rsidRDefault="00F766E8" w:rsidP="00F766E8">
      <w:pPr>
        <w:pStyle w:val="ListParagraph"/>
        <w:numPr>
          <w:ilvl w:val="0"/>
          <w:numId w:val="8"/>
        </w:numPr>
        <w:spacing w:after="120"/>
        <w:rPr>
          <w:sz w:val="25"/>
          <w:szCs w:val="25"/>
          <w:lang w:val="en-GB"/>
        </w:rPr>
      </w:pPr>
      <w:r w:rsidRPr="00C667F5">
        <w:rPr>
          <w:szCs w:val="25"/>
          <w:lang w:val="en-GB"/>
        </w:rPr>
        <w:t xml:space="preserve">After CTF sponsorship to the Microbiological Committee that is working on Microbiological quality of poultry in respect of Campylobacter and Salmonella, Ghana was encouraged to take part in an electronic working group of </w:t>
      </w:r>
      <w:r w:rsidR="00AB08A6">
        <w:rPr>
          <w:szCs w:val="25"/>
          <w:lang w:val="en-GB"/>
        </w:rPr>
        <w:t>such</w:t>
      </w:r>
      <w:r w:rsidRPr="00C667F5">
        <w:rPr>
          <w:szCs w:val="25"/>
          <w:lang w:val="en-GB"/>
        </w:rPr>
        <w:t xml:space="preserve"> standard</w:t>
      </w:r>
      <w:r w:rsidR="00AB08A6">
        <w:rPr>
          <w:szCs w:val="25"/>
          <w:lang w:val="en-GB"/>
        </w:rPr>
        <w:t>s</w:t>
      </w:r>
      <w:r w:rsidRPr="00C667F5">
        <w:rPr>
          <w:szCs w:val="25"/>
          <w:lang w:val="en-GB"/>
        </w:rPr>
        <w:t xml:space="preserve">. </w:t>
      </w:r>
    </w:p>
    <w:p w:rsidR="00F766E8" w:rsidRPr="00C667F5" w:rsidRDefault="00F766E8" w:rsidP="00F766E8">
      <w:pPr>
        <w:pStyle w:val="ListParagraph"/>
        <w:spacing w:after="120"/>
        <w:rPr>
          <w:sz w:val="25"/>
          <w:szCs w:val="25"/>
          <w:lang w:val="en-GB"/>
        </w:rPr>
      </w:pPr>
    </w:p>
    <w:p w:rsidR="00F766E8" w:rsidRPr="00C667F5" w:rsidRDefault="00F766E8" w:rsidP="00F766E8">
      <w:pPr>
        <w:spacing w:after="120"/>
        <w:rPr>
          <w:sz w:val="25"/>
          <w:szCs w:val="25"/>
          <w:lang w:val="en-GB"/>
        </w:rPr>
      </w:pPr>
      <w:r w:rsidRPr="00C667F5">
        <w:rPr>
          <w:szCs w:val="25"/>
          <w:lang w:val="en-GB"/>
        </w:rPr>
        <w:t xml:space="preserve">While these examples were all from Ghana, there was similar evidence of progress in other countries that we visited. In particular, Argentina, Bolivia, Jordan, Tunisia, Mali and Indonesia gave many examples of applied research in support of Codex participation. The question is if these research links had been established any way? They are part of a general strengthening of Codex activities in these countries. The research links are reinforced by the institutional development as well as the deepening and widening of policy coverage. Codex participation is an integrated part of this. Would the research activities take place to the same extent even if nobody took part in meetings? It is generally considered futile to submit positions and comments if one is not physically present at Codex meetings, hence it is not so likely that the supporting research would have occurred if people did not participate. In addition, the CTF has funded direct participation of scientists in Codex meetings. This may not only enhance the scientific input to </w:t>
      </w:r>
      <w:r w:rsidRPr="00C667F5">
        <w:rPr>
          <w:szCs w:val="25"/>
          <w:lang w:val="en-GB"/>
        </w:rPr>
        <w:lastRenderedPageBreak/>
        <w:t xml:space="preserve">Codex directly, but also contribute to greater understanding of </w:t>
      </w:r>
      <w:r w:rsidR="00027A1C">
        <w:rPr>
          <w:szCs w:val="25"/>
          <w:lang w:val="en-GB"/>
        </w:rPr>
        <w:t>Codex processes and procedures i</w:t>
      </w:r>
      <w:r w:rsidRPr="00C667F5">
        <w:rPr>
          <w:szCs w:val="25"/>
          <w:lang w:val="en-GB"/>
        </w:rPr>
        <w:t xml:space="preserve">n the scientific community, thus potentially creating potentially long-term dynamic effects.  </w:t>
      </w:r>
    </w:p>
    <w:p w:rsidR="00F766E8" w:rsidRPr="009B767E" w:rsidRDefault="00F766E8" w:rsidP="00F766E8">
      <w:pPr>
        <w:pStyle w:val="Heading3"/>
        <w:rPr>
          <w:lang w:val="en-GB"/>
        </w:rPr>
      </w:pPr>
      <w:bookmarkStart w:id="41" w:name="_Toc133376098"/>
      <w:r w:rsidRPr="009B767E">
        <w:rPr>
          <w:lang w:val="en-GB"/>
        </w:rPr>
        <w:t>Improve</w:t>
      </w:r>
      <w:bookmarkEnd w:id="41"/>
      <w:r>
        <w:rPr>
          <w:lang w:val="en-GB"/>
        </w:rPr>
        <w:t>d National Food Standards</w:t>
      </w:r>
    </w:p>
    <w:p w:rsidR="00F766E8" w:rsidRPr="009B767E" w:rsidRDefault="00F766E8" w:rsidP="00F766E8">
      <w:pPr>
        <w:spacing w:after="0"/>
        <w:rPr>
          <w:color w:val="000000"/>
          <w:szCs w:val="25"/>
          <w:lang w:val="en-GB"/>
        </w:rPr>
      </w:pPr>
      <w:r w:rsidRPr="009B767E">
        <w:rPr>
          <w:color w:val="000000"/>
          <w:szCs w:val="25"/>
          <w:lang w:val="en-GB"/>
        </w:rPr>
        <w:t xml:space="preserve">We have already indicated that six years is a short period of time for the processes of improving food safety to unfold. However, it can also be quick. The Bolivian example that was identified above showed a time span of less than two years from the initiative to develop standards to the adaptation of new Bolivian standards. However, that process occurred within a framework of very high political priorities and little controversial debates around the standards issue. In other cases the standards may be more controversial and the evidence less clear on the safety and health concerns and it takes much longer. </w:t>
      </w:r>
    </w:p>
    <w:p w:rsidR="00F766E8" w:rsidRPr="009B767E" w:rsidRDefault="00F766E8" w:rsidP="00F766E8">
      <w:pPr>
        <w:spacing w:after="0"/>
        <w:rPr>
          <w:color w:val="000000"/>
          <w:szCs w:val="25"/>
          <w:lang w:val="en-GB"/>
        </w:rPr>
      </w:pPr>
    </w:p>
    <w:p w:rsidR="00F766E8" w:rsidRPr="009B767E" w:rsidRDefault="00F766E8" w:rsidP="00F766E8">
      <w:pPr>
        <w:spacing w:after="0"/>
        <w:rPr>
          <w:color w:val="000000"/>
          <w:szCs w:val="25"/>
          <w:lang w:val="en-GB"/>
        </w:rPr>
      </w:pPr>
      <w:r w:rsidRPr="009B767E">
        <w:rPr>
          <w:color w:val="000000"/>
          <w:szCs w:val="25"/>
          <w:lang w:val="en-GB"/>
        </w:rPr>
        <w:t xml:space="preserve">The chain from standards to improved food safety is long and to assess the real impact one would have to look at how standards are followed, what certification processes are put in place and if there are any bottlenecks in that sector, and finally also what the control mechanisms are. During most of our interviews the respondents remarked that control is a weak link in the chain, and there is a risk that standards are developed but not applied. There are many reasons for that, but the key culprit would be understaffed inspection organisations, corruption, and a large informal sector that operate outside any official control. With this in mind, there is probably a point at which it does not really make much sense to develop more and increasingly sophisticated standards if there are no means to control how they are implemented. </w:t>
      </w:r>
    </w:p>
    <w:p w:rsidR="00F766E8" w:rsidRPr="009B767E" w:rsidRDefault="00F766E8" w:rsidP="00F766E8">
      <w:pPr>
        <w:spacing w:after="0"/>
        <w:rPr>
          <w:color w:val="000000"/>
          <w:szCs w:val="25"/>
          <w:lang w:val="en-GB"/>
        </w:rPr>
      </w:pPr>
    </w:p>
    <w:p w:rsidR="00F766E8" w:rsidRPr="009B767E" w:rsidRDefault="00F766E8" w:rsidP="00F766E8">
      <w:pPr>
        <w:spacing w:after="0"/>
        <w:rPr>
          <w:szCs w:val="25"/>
          <w:lang w:val="en-GB"/>
        </w:rPr>
      </w:pPr>
      <w:r w:rsidRPr="009B767E">
        <w:rPr>
          <w:color w:val="000000"/>
          <w:szCs w:val="25"/>
          <w:lang w:val="en-GB"/>
        </w:rPr>
        <w:t>That being said, there are also examples of how the Codex standards are put to use. Malawi uses Codex Standards as reference in matters of food safety enforcement, food import and export certification.  The Malawi National Certification Mark is found on food products displayed in the market place. Malawi has a small, growing Consumer Association, the “Consumer Association of Malawi”, which the MBS assisted and promoted</w:t>
      </w:r>
      <w:r w:rsidRPr="009B767E">
        <w:rPr>
          <w:szCs w:val="25"/>
          <w:lang w:val="en-GB"/>
        </w:rPr>
        <w:t>. The Law requires authorization of food manufacturers, importers and other food enterprises in order to put safe, quality food into the Mal</w:t>
      </w:r>
      <w:r w:rsidR="00AB08A6">
        <w:rPr>
          <w:szCs w:val="25"/>
          <w:lang w:val="en-GB"/>
        </w:rPr>
        <w:t>aw</w:t>
      </w:r>
      <w:r w:rsidRPr="009B767E">
        <w:rPr>
          <w:szCs w:val="25"/>
          <w:lang w:val="en-GB"/>
        </w:rPr>
        <w:t>i</w:t>
      </w:r>
      <w:r w:rsidR="00AB08A6">
        <w:rPr>
          <w:szCs w:val="25"/>
          <w:lang w:val="en-GB"/>
        </w:rPr>
        <w:t>an</w:t>
      </w:r>
      <w:r w:rsidRPr="009B767E">
        <w:rPr>
          <w:szCs w:val="25"/>
          <w:lang w:val="en-GB"/>
        </w:rPr>
        <w:t xml:space="preserve"> market.  The approval of the enterprises is based on compliance with the Codex Code of Hygienic Practice, HACCP and Codex Standards.</w:t>
      </w:r>
    </w:p>
    <w:p w:rsidR="00F766E8" w:rsidRPr="009B767E" w:rsidRDefault="00F766E8" w:rsidP="00F766E8">
      <w:pPr>
        <w:spacing w:after="0"/>
        <w:rPr>
          <w:szCs w:val="25"/>
          <w:lang w:val="en-GB"/>
        </w:rPr>
      </w:pPr>
    </w:p>
    <w:p w:rsidR="00F766E8" w:rsidRPr="009B767E" w:rsidRDefault="00F766E8" w:rsidP="00F766E8">
      <w:pPr>
        <w:spacing w:after="0"/>
        <w:rPr>
          <w:lang w:val="en-GB"/>
        </w:rPr>
      </w:pPr>
      <w:r w:rsidRPr="009B767E">
        <w:rPr>
          <w:lang w:val="en-GB"/>
        </w:rPr>
        <w:t xml:space="preserve">In Jordan, the </w:t>
      </w:r>
      <w:r w:rsidR="00AB08A6" w:rsidRPr="00AB08A6">
        <w:rPr>
          <w:lang w:val="en-GB"/>
        </w:rPr>
        <w:t xml:space="preserve">National Society for Consumer Protection </w:t>
      </w:r>
      <w:r w:rsidR="00AB08A6">
        <w:rPr>
          <w:lang w:val="en-GB"/>
        </w:rPr>
        <w:t>(</w:t>
      </w:r>
      <w:r w:rsidRPr="009B767E">
        <w:rPr>
          <w:lang w:val="en-GB"/>
        </w:rPr>
        <w:t>NSCP</w:t>
      </w:r>
      <w:r w:rsidR="00AB08A6">
        <w:rPr>
          <w:lang w:val="en-GB"/>
        </w:rPr>
        <w:t>)</w:t>
      </w:r>
      <w:r w:rsidRPr="009B767E">
        <w:rPr>
          <w:lang w:val="en-GB"/>
        </w:rPr>
        <w:t xml:space="preserve"> has existed since 1983. It relies on funding from the municipality of Greater Amman and from the Parliament, in addition to very modest membership fees. In conjunction with the law on consumer protection it is hop</w:t>
      </w:r>
      <w:r w:rsidR="00AB08A6">
        <w:rPr>
          <w:lang w:val="en-GB"/>
        </w:rPr>
        <w:t>ed</w:t>
      </w:r>
      <w:r w:rsidRPr="009B767E">
        <w:rPr>
          <w:lang w:val="en-GB"/>
        </w:rPr>
        <w:t xml:space="preserve"> that a special law will be passed for the association that will ensure public funding and representation in policy making. The association describes itself as a watchdog and it does not hesitate to go the media if issues arise. It tries to rely on hard data and produces numerous studies. It also tracks the Jordanian inflation rate to verify the public data and sells these studies to raise revenue. The Association is member of both the higher council for food and the NCC. In Armenia there are several active consumer associations.</w:t>
      </w:r>
    </w:p>
    <w:p w:rsidR="00F766E8" w:rsidRPr="009B767E" w:rsidRDefault="00F766E8" w:rsidP="00F766E8">
      <w:pPr>
        <w:spacing w:after="0"/>
        <w:rPr>
          <w:lang w:val="en-GB"/>
        </w:rPr>
      </w:pPr>
    </w:p>
    <w:p w:rsidR="00F766E8" w:rsidRPr="009B767E" w:rsidRDefault="00F766E8" w:rsidP="00F766E8">
      <w:pPr>
        <w:spacing w:after="0"/>
        <w:rPr>
          <w:szCs w:val="25"/>
          <w:lang w:val="en-GB"/>
        </w:rPr>
      </w:pPr>
      <w:r w:rsidRPr="009B767E">
        <w:rPr>
          <w:szCs w:val="25"/>
          <w:lang w:val="en-GB"/>
        </w:rPr>
        <w:t xml:space="preserve">In other countries the consumer organisations are weak, as for example in Tunisia. However, in that country the export industries are the driving force behind the application of standards. Similarly in Indonesia, the country is a big exporter of a wide range of tropical food products, including coffee, palm oil, cocoa, spices, flavours and also imports many food products. As per international best practice standards, formulation work in Indonesia is conducted under Technical Committees and working groups comprising of concerned public (including private sectors like industries, producer associations, consumer associations, experts and researchers, universities or other institutions of higher learning plus other fields as necessary). Indonesia has a published national “Codex Procedural Manual, Guidelines for Handling Codex in Indonesia, of 2005”. The Manual was agreed by several institutions related to Codex activities in the various Ministries.  All the institutions are committed to playing an important role in Codex work. </w:t>
      </w:r>
      <w:r w:rsidRPr="009B767E">
        <w:rPr>
          <w:szCs w:val="25"/>
          <w:lang w:val="en-GB"/>
        </w:rPr>
        <w:lastRenderedPageBreak/>
        <w:t>Indonesia has a national accreditation body, KAN, which accredits private certification bodies. The certification bodies offer services for independent (third party) certification of food and other products, which comply with Indonesia national standards. Government Regulatory Agencies for food safety control inspect for Hazard Analysis Critical Control Point (HACCP) system and its application is food manufacturing and food service enterprises.</w:t>
      </w:r>
    </w:p>
    <w:p w:rsidR="00F766E8" w:rsidRPr="009B767E" w:rsidRDefault="00F766E8" w:rsidP="00F766E8">
      <w:pPr>
        <w:spacing w:after="0"/>
        <w:rPr>
          <w:lang w:val="en-GB"/>
        </w:rPr>
      </w:pPr>
    </w:p>
    <w:p w:rsidR="00F766E8" w:rsidRPr="009B767E" w:rsidRDefault="00F766E8" w:rsidP="00F766E8">
      <w:pPr>
        <w:rPr>
          <w:szCs w:val="25"/>
          <w:lang w:val="en-GB"/>
        </w:rPr>
      </w:pPr>
      <w:r w:rsidRPr="009B767E">
        <w:rPr>
          <w:lang w:val="en-GB"/>
        </w:rPr>
        <w:t xml:space="preserve">In conclusion, the evaluation points to several examples of how the process of formulating standards has been developed and it also shows that parallel to participating in the international meetings there have also been activities at national levels to create new national standards. It could of course well be argued that physical presence at Codex meetings is not a necessary precondition to access Codex standards and to apply them in any national setting. That would, however, be a rather theoretical approach and in real life people benefit from and are encouraged by interactions, meetings, exchanges of experience with others. The point would rather be that if there is no prior commitment to develop standards, then it is not so likely that participation in Codex meetings will create that impetus. When the commitment was there, then participation served as a stimulus and an incentive – it was catalytic for the continuing process. </w:t>
      </w:r>
    </w:p>
    <w:p w:rsidR="00F766E8" w:rsidRPr="009B767E" w:rsidRDefault="00F766E8" w:rsidP="00F766E8">
      <w:pPr>
        <w:pStyle w:val="Heading3"/>
        <w:rPr>
          <w:lang w:val="en-GB"/>
        </w:rPr>
      </w:pPr>
      <w:bookmarkStart w:id="42" w:name="_Toc133376099"/>
      <w:r w:rsidRPr="009B767E">
        <w:rPr>
          <w:lang w:val="en-GB"/>
        </w:rPr>
        <w:t>Exports, Imports and Domestic Trade</w:t>
      </w:r>
      <w:bookmarkEnd w:id="42"/>
    </w:p>
    <w:p w:rsidR="00F766E8" w:rsidRPr="009B767E" w:rsidRDefault="00F766E8" w:rsidP="00F766E8">
      <w:pPr>
        <w:rPr>
          <w:lang w:val="en-GB"/>
        </w:rPr>
      </w:pPr>
      <w:r w:rsidRPr="009B767E">
        <w:rPr>
          <w:lang w:val="en-GB"/>
        </w:rPr>
        <w:t>Perhaps the clearest example of how participation in Codex supports a country’s export industries comes from Tunisia. The European market have always been the main target for the agro-industries of Tunisia and the development of standards and the certification of export products are absolutely necessary to gain market access.</w:t>
      </w:r>
      <w:r w:rsidRPr="009B767E">
        <w:rPr>
          <w:rStyle w:val="FootnoteReference"/>
          <w:lang w:val="en-GB"/>
        </w:rPr>
        <w:footnoteReference w:id="7"/>
      </w:r>
      <w:r w:rsidRPr="009B767E">
        <w:rPr>
          <w:lang w:val="en-GB"/>
        </w:rPr>
        <w:t xml:space="preserve"> The expected gain to Tunisia can be expressed shortly: to enhance the competitiveness of the country’s agricultural and agribusiness exports. That is the main driving force and it is through this that the institutional networks benefit. The CCP is a senior manager in the CTAA, which is partly financed by government but also generates its own </w:t>
      </w:r>
      <w:r w:rsidR="00AB08A6">
        <w:rPr>
          <w:lang w:val="en-GB"/>
        </w:rPr>
        <w:t>revenues</w:t>
      </w:r>
      <w:r w:rsidR="00AB08A6" w:rsidRPr="009B767E">
        <w:rPr>
          <w:lang w:val="en-GB"/>
        </w:rPr>
        <w:t xml:space="preserve"> </w:t>
      </w:r>
      <w:r w:rsidRPr="009B767E">
        <w:rPr>
          <w:lang w:val="en-GB"/>
        </w:rPr>
        <w:t>(60% of the total turnover). Many of the services being sold relate to Codex work; training on standards, testing that export products fulfil Codex standards, and development of inspections systems close to the production lines of companies. The CTAA therefore has a strong incentive to market and sell its competence and to disseminate information that relate to the development of Codex Alimentarius. Thus, the main role of those who actually attend the committee meetings has been to feed the information into CTAA, who then can take it further in the Tunisian agro-industrial environment, sometimes as information that is free for all, and at other times as information that can be sold. There is a strong monetary incentive to make use of Codex work and that seems to guarantee that the work has an impact.</w:t>
      </w:r>
    </w:p>
    <w:p w:rsidR="00F766E8" w:rsidRPr="009B767E" w:rsidRDefault="00F766E8" w:rsidP="00F766E8">
      <w:pPr>
        <w:rPr>
          <w:lang w:val="en-GB"/>
        </w:rPr>
      </w:pPr>
      <w:r w:rsidRPr="009B767E">
        <w:rPr>
          <w:lang w:val="en-GB"/>
        </w:rPr>
        <w:t xml:space="preserve">There are other countries close to major import markets. The evaluation team visited Serbia as well; most export opportunities in Serbia are in agriculture. Due to conflict and embargo value-added remains low and exports are mainly in raw materials. Producers are still relatively small and transformation industry nascent. The food chain is not well integrated. This causes a problem, since modern food safety standards, and those of the EU in particular, are adapted to highly integrated food chains, with a focus on self-control. Small producers do not have the capacity to perform reliable self-control. So Serbia has to find ways to adapt standards and also work with measures such as grouping producers in associations and cooperatives. But in comparison to Tunisia, it is not yet possible to discern any impact from the participation in Codex. </w:t>
      </w:r>
    </w:p>
    <w:p w:rsidR="00F766E8" w:rsidRPr="009B767E" w:rsidRDefault="00F766E8" w:rsidP="00F766E8">
      <w:pPr>
        <w:rPr>
          <w:lang w:val="en-GB"/>
        </w:rPr>
      </w:pPr>
      <w:r w:rsidRPr="009B767E">
        <w:rPr>
          <w:lang w:val="en-GB"/>
        </w:rPr>
        <w:t>Trade is of course both about exports, imports and domestic trade. The country visit to Tanzania led to discussions around pesticides, mycotoxins, residues of veterinary drugs in food and food hygiene</w:t>
      </w:r>
      <w:r w:rsidR="00AB08A6">
        <w:rPr>
          <w:lang w:val="en-GB"/>
        </w:rPr>
        <w:t>.</w:t>
      </w:r>
      <w:r w:rsidRPr="009B767E">
        <w:rPr>
          <w:lang w:val="en-GB"/>
        </w:rPr>
        <w:t xml:space="preserve"> </w:t>
      </w:r>
      <w:r w:rsidR="00AB08A6">
        <w:rPr>
          <w:lang w:val="en-GB"/>
        </w:rPr>
        <w:t>I</w:t>
      </w:r>
      <w:r w:rsidRPr="009B767E">
        <w:rPr>
          <w:lang w:val="en-GB"/>
        </w:rPr>
        <w:t xml:space="preserve">n addition the application of HACCP in industry are important to the country. </w:t>
      </w:r>
      <w:r w:rsidRPr="009B767E">
        <w:rPr>
          <w:lang w:val="en-GB"/>
        </w:rPr>
        <w:lastRenderedPageBreak/>
        <w:t xml:space="preserve">Rejection of food consignments have occurred in the past. The country’s interest in reaching a stage of complying with international standards for fish and fish products for its fish exports is still to be achieved. </w:t>
      </w:r>
      <w:r w:rsidRPr="009B767E">
        <w:rPr>
          <w:szCs w:val="25"/>
          <w:lang w:val="en-GB"/>
        </w:rPr>
        <w:t>The Tanzanian delegate to the Codex Committee on Fish and Fishery Products noted the importance of the deliberations on the standard for sardines to Tanzania, as a country which produces sardines. There was an initiative to review Tanzanian Regulations in light of new information. In addition, because fish and fishery products are major exports, Tanzania will use the new information obtained from attending the above</w:t>
      </w:r>
      <w:r w:rsidR="00AB08A6">
        <w:rPr>
          <w:szCs w:val="25"/>
          <w:lang w:val="en-GB"/>
        </w:rPr>
        <w:t>-mentioned</w:t>
      </w:r>
      <w:r w:rsidRPr="009B767E">
        <w:rPr>
          <w:szCs w:val="25"/>
          <w:lang w:val="en-GB"/>
        </w:rPr>
        <w:t xml:space="preserve"> Codex Committee to review the National Code of Hygiene for Fish and Fisheries Products.</w:t>
      </w:r>
    </w:p>
    <w:p w:rsidR="00F766E8" w:rsidRPr="009B767E" w:rsidRDefault="00F766E8" w:rsidP="00F766E8">
      <w:pPr>
        <w:rPr>
          <w:lang w:val="en-GB"/>
        </w:rPr>
      </w:pPr>
      <w:r w:rsidRPr="009B767E">
        <w:rPr>
          <w:lang w:val="en-GB"/>
        </w:rPr>
        <w:t xml:space="preserve">Of all the countries visited in the course of the evaluation, Argentina is the one with the largest agro-industries sector and the one for whom international trade is the most important. Argentina has been a member of Codex since the beginning and has well developed institutional infrastructure, comprehensive national policies and legislation, a centrally placed CCP with strong political backing, and close links to the industrial confederations and to many research centres in the country – some of which are world-leading in their areas of focus. However, none of the above relates to the CTF; Argentina has had three participants financed in Codex meetings, but it belonged to country group 3b and graduated very early. It is not meaningful to speak of any impact in Argentina of the CTF financing as the country benefitted so little from the Fund. On the other hand, if the CTF had used more of its funds for the third output (research) then it is likely that Argentina could have had much to offer and experiences of relevance to other developing countries. </w:t>
      </w:r>
    </w:p>
    <w:p w:rsidR="00F766E8" w:rsidRPr="009B767E" w:rsidRDefault="00F766E8" w:rsidP="00F766E8">
      <w:pPr>
        <w:pStyle w:val="Heading3"/>
        <w:rPr>
          <w:lang w:val="en-GB"/>
        </w:rPr>
      </w:pPr>
      <w:bookmarkStart w:id="43" w:name="_Toc133376100"/>
      <w:r w:rsidRPr="009B767E">
        <w:rPr>
          <w:lang w:val="en-GB"/>
        </w:rPr>
        <w:t>Capacity Development</w:t>
      </w:r>
      <w:bookmarkEnd w:id="43"/>
    </w:p>
    <w:p w:rsidR="00F766E8" w:rsidRPr="009B767E" w:rsidRDefault="00F766E8" w:rsidP="00F766E8">
      <w:pPr>
        <w:rPr>
          <w:lang w:val="en-GB"/>
        </w:rPr>
      </w:pPr>
      <w:r w:rsidRPr="009B767E">
        <w:rPr>
          <w:lang w:val="en-GB"/>
        </w:rPr>
        <w:t xml:space="preserve">The changes outlined in the </w:t>
      </w:r>
      <w:r w:rsidR="00AB08A6">
        <w:rPr>
          <w:lang w:val="en-GB"/>
        </w:rPr>
        <w:t>previous</w:t>
      </w:r>
      <w:r w:rsidR="00AB08A6" w:rsidRPr="009B767E">
        <w:rPr>
          <w:lang w:val="en-GB"/>
        </w:rPr>
        <w:t xml:space="preserve"> </w:t>
      </w:r>
      <w:r w:rsidRPr="009B767E">
        <w:rPr>
          <w:lang w:val="en-GB"/>
        </w:rPr>
        <w:t xml:space="preserve">sections point to increased capacities in respect of managing food safety. The development of institutions, networks, and policies are all examples of capacity development. Would it be possible to identify a more direct link between the CTF and capacity building? </w:t>
      </w:r>
      <w:r w:rsidR="00AB08A6">
        <w:rPr>
          <w:lang w:val="en-GB"/>
        </w:rPr>
        <w:t xml:space="preserve"> To the extent that the CTF has not been extensively involved in capacity building, c</w:t>
      </w:r>
      <w:r w:rsidRPr="009B767E">
        <w:rPr>
          <w:lang w:val="en-GB"/>
        </w:rPr>
        <w:t>ould there still be an indirect effect</w:t>
      </w:r>
      <w:r w:rsidR="00AB08A6">
        <w:rPr>
          <w:lang w:val="en-GB"/>
        </w:rPr>
        <w:t xml:space="preserve"> that can be linked to participation</w:t>
      </w:r>
      <w:r w:rsidRPr="009B767E">
        <w:rPr>
          <w:lang w:val="en-GB"/>
        </w:rPr>
        <w:t xml:space="preserve">, or what are the contributing factors behind the growth in capacities that can be seen?  </w:t>
      </w:r>
    </w:p>
    <w:p w:rsidR="00F766E8" w:rsidRPr="009B767E" w:rsidRDefault="00F766E8" w:rsidP="00F766E8">
      <w:pPr>
        <w:rPr>
          <w:lang w:val="en-GB"/>
        </w:rPr>
      </w:pPr>
      <w:r w:rsidRPr="009B767E">
        <w:rPr>
          <w:lang w:val="en-GB"/>
        </w:rPr>
        <w:t xml:space="preserve">The link seemed quite strong in Armenia. The combination of FAO workshops and CTF funded participation has contributed to improving the national Codex structure of Armenia, even though there is some way to go before it is being institutionalised. The initiatives of the CCP have been important and there seems to be a response from stakeholders. An important pre-condition was that the Ministry of Agriculture was given a clear responsibility for food safety. Establishing an NCC is the logical next step. It is possible that the country needs one more “push” in terms of practical experience from other countries. </w:t>
      </w:r>
      <w:r w:rsidR="00AB08A6">
        <w:rPr>
          <w:lang w:val="en-GB"/>
        </w:rPr>
        <w:t xml:space="preserve">Still, </w:t>
      </w:r>
      <w:r w:rsidRPr="009B767E">
        <w:rPr>
          <w:lang w:val="en-GB"/>
        </w:rPr>
        <w:t>Armenia’s own assessment is that it is probably better organised than other post-Soviet Central Asian countries.</w:t>
      </w:r>
    </w:p>
    <w:p w:rsidR="00F766E8" w:rsidRPr="009B767E" w:rsidRDefault="00F766E8" w:rsidP="00F766E8">
      <w:pPr>
        <w:rPr>
          <w:lang w:val="en-GB"/>
        </w:rPr>
      </w:pPr>
      <w:r w:rsidRPr="009B767E">
        <w:rPr>
          <w:lang w:val="en-GB"/>
        </w:rPr>
        <w:t xml:space="preserve">In Serbia, the first application to the CTF was turned down, because a proper consultative process had not taken place, e.g. involving the local WHO office. The next year, a meeting was held with the ministries and </w:t>
      </w:r>
      <w:r w:rsidR="00AB08A6">
        <w:rPr>
          <w:lang w:val="en-GB"/>
        </w:rPr>
        <w:t xml:space="preserve">the local </w:t>
      </w:r>
      <w:r w:rsidRPr="009B767E">
        <w:rPr>
          <w:lang w:val="en-GB"/>
        </w:rPr>
        <w:t xml:space="preserve">WHO </w:t>
      </w:r>
      <w:r w:rsidR="00AB08A6">
        <w:rPr>
          <w:lang w:val="en-GB"/>
        </w:rPr>
        <w:t xml:space="preserve">office </w:t>
      </w:r>
      <w:r w:rsidRPr="009B767E">
        <w:rPr>
          <w:lang w:val="en-GB"/>
        </w:rPr>
        <w:t xml:space="preserve">in order to select committees and participants and this has continued since. The urgent need for a NCC in order to formalize the selection process and develop national positions is now recognized by all parties. The Ministry of Agriculture has sought support from USDA to assist them in setting up the NCC and it seems that work will start during the spring. </w:t>
      </w:r>
    </w:p>
    <w:p w:rsidR="00F766E8" w:rsidRPr="009B767E" w:rsidRDefault="00F766E8" w:rsidP="00F766E8">
      <w:pPr>
        <w:rPr>
          <w:lang w:val="en-GB"/>
        </w:rPr>
      </w:pPr>
      <w:r w:rsidRPr="009B767E">
        <w:rPr>
          <w:lang w:val="en-GB"/>
        </w:rPr>
        <w:t xml:space="preserve">But as the Tunisian example shows, the development of capacities is a long-winding process where many actors play a role. The change towards a more active role can be dated to the late 1990s. The Tunisian Government took the decision to set up a centre on food safety (CTAA) in 1996 and this was developed over the next decade. In the early phases the CTAA received technical support from UNIDO. The CTAA laboratories and new office buildings have partly </w:t>
      </w:r>
      <w:r w:rsidRPr="009B767E">
        <w:rPr>
          <w:lang w:val="en-GB"/>
        </w:rPr>
        <w:lastRenderedPageBreak/>
        <w:t xml:space="preserve">been financed under a World Bank programme to increase the competitiveness of Tunisian industry. The CTAA has taken part in a twinning cooperation with a centre on food safety research in Valencia, Spain, financed by the bilateral Spanish technical cooperation programme. FAO financied technical support to establish the NCC. There are plans for expansion and new investments will be financed under the EU programme for industrial development and quality enhancement in industry. There are thus several bilateral and multilateral donors that have contributed to the strong position of Tunisia in Codex work. </w:t>
      </w:r>
    </w:p>
    <w:p w:rsidR="00F766E8" w:rsidRPr="009B767E" w:rsidRDefault="00F766E8" w:rsidP="00F766E8">
      <w:pPr>
        <w:rPr>
          <w:lang w:val="en-GB"/>
        </w:rPr>
      </w:pPr>
      <w:r w:rsidRPr="009B767E">
        <w:rPr>
          <w:lang w:val="en-GB"/>
        </w:rPr>
        <w:t xml:space="preserve">The conclusion in respect of capacity building is that in some special cases, the participation in the Codex meeting seem to have reinforced the capacity building programmes of FAO and initiated other activities. But we only saw such isolated cases primarily in transition economies during the 12 country visits. In other instances, it is quite clear that national institutions in for example Tanzania, Malawi and Ghana have also had support from bilateral donors, sometimes for many years, and </w:t>
      </w:r>
      <w:r w:rsidR="00203223">
        <w:rPr>
          <w:lang w:val="en-GB"/>
        </w:rPr>
        <w:t xml:space="preserve">the </w:t>
      </w:r>
      <w:r w:rsidRPr="009B767E">
        <w:rPr>
          <w:lang w:val="en-GB"/>
        </w:rPr>
        <w:t>the opportunity to supplement that</w:t>
      </w:r>
      <w:r w:rsidR="00203223">
        <w:rPr>
          <w:lang w:val="en-GB"/>
        </w:rPr>
        <w:t xml:space="preserve"> by</w:t>
      </w:r>
      <w:r w:rsidRPr="009B767E">
        <w:rPr>
          <w:lang w:val="en-GB"/>
        </w:rPr>
        <w:t xml:space="preserve"> tak</w:t>
      </w:r>
      <w:r w:rsidR="00203223">
        <w:rPr>
          <w:lang w:val="en-GB"/>
        </w:rPr>
        <w:t>ing</w:t>
      </w:r>
      <w:r w:rsidRPr="009B767E">
        <w:rPr>
          <w:lang w:val="en-GB"/>
        </w:rPr>
        <w:t xml:space="preserve"> part in </w:t>
      </w:r>
      <w:r w:rsidR="00203223">
        <w:rPr>
          <w:lang w:val="en-GB"/>
        </w:rPr>
        <w:t>international Codex processes</w:t>
      </w:r>
      <w:r w:rsidRPr="009B767E">
        <w:rPr>
          <w:lang w:val="en-GB"/>
        </w:rPr>
        <w:t xml:space="preserve">, would </w:t>
      </w:r>
      <w:r w:rsidR="00203223">
        <w:rPr>
          <w:lang w:val="en-GB"/>
        </w:rPr>
        <w:t>benefit</w:t>
      </w:r>
      <w:r w:rsidR="00203223" w:rsidRPr="009B767E">
        <w:rPr>
          <w:lang w:val="en-GB"/>
        </w:rPr>
        <w:t xml:space="preserve"> </w:t>
      </w:r>
      <w:r w:rsidRPr="009B767E">
        <w:rPr>
          <w:lang w:val="en-GB"/>
        </w:rPr>
        <w:t xml:space="preserve">the long-run capacity development in these countries. With better coordination and sequencing between CTF funded participation and national capacity building programmes there is a potential for greater reinforcing effects and higher overall impact. A basis for such coordination from the perspective of the CTF could be the follow-up of applications in general and the requests for technical assistance that they open up for. This issue is explored further in the following Chapters. </w:t>
      </w:r>
    </w:p>
    <w:p w:rsidR="00F766E8" w:rsidRPr="009B767E" w:rsidRDefault="00F766E8" w:rsidP="00F766E8">
      <w:pPr>
        <w:pStyle w:val="Heading2"/>
        <w:rPr>
          <w:lang w:val="en-GB"/>
        </w:rPr>
      </w:pPr>
      <w:bookmarkStart w:id="44" w:name="_Toc133376101"/>
      <w:bookmarkStart w:id="45" w:name="_Toc260389725"/>
      <w:r w:rsidRPr="009B767E">
        <w:rPr>
          <w:lang w:val="en-GB"/>
        </w:rPr>
        <w:t>Regional Cooperation</w:t>
      </w:r>
      <w:bookmarkEnd w:id="44"/>
      <w:bookmarkEnd w:id="45"/>
    </w:p>
    <w:p w:rsidR="00F766E8" w:rsidRPr="009B767E" w:rsidRDefault="00F766E8" w:rsidP="00F766E8">
      <w:pPr>
        <w:rPr>
          <w:lang w:val="en-GB"/>
        </w:rPr>
      </w:pPr>
      <w:r w:rsidRPr="009B767E">
        <w:rPr>
          <w:lang w:val="en-GB"/>
        </w:rPr>
        <w:t xml:space="preserve">At a first glance it may seem that regional interactions have increased significantly over the last 5 – 10 years. At a concrete and practical level, the evaluation team was informed that in the Mid-Eastern region three regional standards have been developed for hummus with tahina, only tahina and a variety of beans. The region wants these to become global standards, since the consumption of these items is spreading over the world. Jordan has made this suggestion to the regional committee (and it will be forwarded to the CCEXEC, the CAC and eventually to the relevant technical committee). The benefit of participating in the regional committee is to exchange information on all issues related to food safety and control. There are attempts to unify food safety regulation at a regional level. Jordan has bilateral MOUs with Saudi Arabia, Syria, the Gulf countries, Morocco and Tunisia. There is also a regional organisation, the Arabic Industrial Development and Mining Organization (AIDMO), with the aim of unifying procedures for the Arab region. Countries in the Latin American region have also cooperation around standards, for example the quinhoa producing countries of the Andean region have jointly launched standards for the varieties of this product. </w:t>
      </w:r>
    </w:p>
    <w:p w:rsidR="00F766E8" w:rsidRPr="009B767E" w:rsidRDefault="00F766E8" w:rsidP="00F766E8">
      <w:pPr>
        <w:rPr>
          <w:lang w:val="en-GB"/>
        </w:rPr>
      </w:pPr>
      <w:r w:rsidRPr="009B767E">
        <w:rPr>
          <w:lang w:val="en-GB"/>
        </w:rPr>
        <w:t xml:space="preserve">To what extent do these changes (and many others) reflect an impact of the CTF? The link is weak, but there are some connections. First, </w:t>
      </w:r>
      <w:r w:rsidR="00203223">
        <w:rPr>
          <w:lang w:val="en-GB"/>
        </w:rPr>
        <w:t xml:space="preserve">the </w:t>
      </w:r>
      <w:r w:rsidRPr="009B767E">
        <w:rPr>
          <w:lang w:val="en-GB"/>
        </w:rPr>
        <w:t xml:space="preserve">CTF has encouraged regional cooperation, for example by organising regional training workshops. This provides an arena where representatives from the countries in the region can share experiences and define joint activities. The latter requires that they actually meet and get an opportunity to define common interests. </w:t>
      </w:r>
      <w:r w:rsidR="00203223">
        <w:rPr>
          <w:lang w:val="en-GB"/>
        </w:rPr>
        <w:t xml:space="preserve">The </w:t>
      </w:r>
      <w:r w:rsidRPr="009B767E">
        <w:rPr>
          <w:lang w:val="en-GB"/>
        </w:rPr>
        <w:t xml:space="preserve">CTF has helped form such platforms. Second, the regional coordinators are </w:t>
      </w:r>
      <w:r w:rsidR="00203223">
        <w:rPr>
          <w:lang w:val="en-GB"/>
        </w:rPr>
        <w:t xml:space="preserve">given clear responsibilities that positively affect their national Codex activities and interaction within the region. </w:t>
      </w:r>
      <w:r w:rsidRPr="009B767E">
        <w:rPr>
          <w:lang w:val="en-GB"/>
        </w:rPr>
        <w:t xml:space="preserve">Third, the regional meetings </w:t>
      </w:r>
      <w:r>
        <w:rPr>
          <w:lang w:val="en-GB"/>
        </w:rPr>
        <w:t xml:space="preserve">are </w:t>
      </w:r>
      <w:r w:rsidRPr="009B767E">
        <w:rPr>
          <w:lang w:val="en-GB"/>
        </w:rPr>
        <w:t>an opportunity for regional interests to be defined and developed. The meetings at the Codex Committees serve the same purpose. Our interview data indicate that many of the respondent</w:t>
      </w:r>
      <w:r w:rsidR="00203223">
        <w:rPr>
          <w:lang w:val="en-GB"/>
        </w:rPr>
        <w:t>s</w:t>
      </w:r>
      <w:r w:rsidRPr="009B767E">
        <w:rPr>
          <w:lang w:val="en-GB"/>
        </w:rPr>
        <w:t xml:space="preserve"> saw opportunities to act more effectively if they allied themselves to countries of the same region. In the short- and long run, that’s also a way to coordinate presence at the international meetings when it is difficult for countries to finance their own participation. </w:t>
      </w:r>
    </w:p>
    <w:p w:rsidR="00F766E8" w:rsidRDefault="00F766E8" w:rsidP="00F766E8">
      <w:pPr>
        <w:rPr>
          <w:lang w:val="en-GB"/>
        </w:rPr>
      </w:pPr>
      <w:r w:rsidRPr="009B767E">
        <w:rPr>
          <w:lang w:val="en-GB"/>
        </w:rPr>
        <w:t xml:space="preserve">That being said, there are also many other factors that promote regional cooperation and the growth of this phenomena should certainly not be attributed to CTF only. It is the effect of many </w:t>
      </w:r>
      <w:r w:rsidRPr="009B767E">
        <w:rPr>
          <w:lang w:val="en-GB"/>
        </w:rPr>
        <w:lastRenderedPageBreak/>
        <w:t xml:space="preserve">factors and there are also technical assistance programmes that are regional in character, for example the FAO project in Armenia and Georgia that was mentioned above. </w:t>
      </w:r>
    </w:p>
    <w:p w:rsidR="006B5C29" w:rsidRPr="004326B9" w:rsidRDefault="006B5C29" w:rsidP="006B5C29">
      <w:pPr>
        <w:pStyle w:val="Heading2"/>
        <w:rPr>
          <w:lang w:val="en-GB"/>
        </w:rPr>
      </w:pPr>
      <w:bookmarkStart w:id="46" w:name="_Toc260036694"/>
      <w:bookmarkStart w:id="47" w:name="_Toc260389726"/>
      <w:bookmarkStart w:id="48" w:name="_Toc130398752"/>
      <w:r w:rsidRPr="004326B9">
        <w:rPr>
          <w:lang w:val="en-GB"/>
        </w:rPr>
        <w:t>Sustainability</w:t>
      </w:r>
      <w:bookmarkEnd w:id="46"/>
      <w:bookmarkEnd w:id="47"/>
    </w:p>
    <w:p w:rsidR="006B5C29" w:rsidRPr="004326B9" w:rsidRDefault="006B5C29" w:rsidP="006B5C29">
      <w:pPr>
        <w:rPr>
          <w:lang w:val="en-GB"/>
        </w:rPr>
      </w:pPr>
      <w:r>
        <w:rPr>
          <w:lang w:val="en-GB"/>
        </w:rPr>
        <w:t>T</w:t>
      </w:r>
      <w:r w:rsidRPr="004326B9">
        <w:rPr>
          <w:lang w:val="en-GB"/>
        </w:rPr>
        <w:t xml:space="preserve">his chapter has been concerned with the impact of the CTF, not with its outputs. To what extent can the changes documented in this chapter be sustained? There are different threats to sustainability in respect of the different forms of impact. We analysed national policies and described how there were new policies developed and how countries adapted standards. Now, can a National Food Policy be revoked? Can a standard be changed? Yes they can, but not because of any problem with sustainability. Sustainability is simply not an issue, policies remain and new standards can remain as long as they serve a purpose. There would be a problem around enforcement and control, but that is another issue. </w:t>
      </w:r>
    </w:p>
    <w:p w:rsidR="006B5C29" w:rsidRPr="004326B9" w:rsidRDefault="006B5C29" w:rsidP="006B5C29">
      <w:pPr>
        <w:rPr>
          <w:lang w:val="en-GB"/>
        </w:rPr>
      </w:pPr>
      <w:r w:rsidRPr="004326B9">
        <w:rPr>
          <w:lang w:val="en-GB"/>
        </w:rPr>
        <w:t xml:space="preserve">We have also analysed the institutional structures and the CCPs. Can these be sustained? It is important to remember that the changes we have described were initiated by the countries themselves and were for the most part financed under the regular government budget (with some exceptions, such as the institutional network in Tunisia). But looking at Bolivia, the changes brought about since 1997 with the creation of the CCN are by and large sustainable, not least because they are not in themselves huge investments. The structures are </w:t>
      </w:r>
      <w:r>
        <w:rPr>
          <w:lang w:val="en-GB"/>
        </w:rPr>
        <w:t>not complex</w:t>
      </w:r>
      <w:r w:rsidRPr="004326B9">
        <w:rPr>
          <w:lang w:val="en-GB"/>
        </w:rPr>
        <w:t xml:space="preserve"> and not many (compared with, for example, Argentina), but on the other hand they have been sustained without foreign assistance in many years, and there’s no reason they could not be sustainable now. The institutions in Argentina have been created over many years through domestic efforts and there is no dependence on foreign aid to keep them functional. </w:t>
      </w:r>
    </w:p>
    <w:p w:rsidR="006B5C29" w:rsidRPr="00F766E8" w:rsidRDefault="006B5C29" w:rsidP="006B5C29">
      <w:pPr>
        <w:rPr>
          <w:lang w:val="en-GB"/>
        </w:rPr>
      </w:pPr>
      <w:r w:rsidRPr="004326B9">
        <w:rPr>
          <w:lang w:val="en-GB"/>
        </w:rPr>
        <w:t xml:space="preserve">The changes are considerable; they have to a large extent been endogenous and seldom can bilateral or multilateral development cooperation be credited with anything but marginal contribution to these developments. That also means the changes are sustainable as the costs have been within the budgets of the countries and their institutions (private and public). No dependent structures have been created and no investments in capacities that cannot be sustained. </w:t>
      </w:r>
      <w:r w:rsidRPr="00E610C2">
        <w:rPr>
          <w:lang w:val="en-US"/>
        </w:rPr>
        <w:t xml:space="preserve"> </w:t>
      </w:r>
    </w:p>
    <w:bookmarkEnd w:id="48"/>
    <w:p w:rsidR="00E4655B" w:rsidRDefault="00203223">
      <w:pPr>
        <w:tabs>
          <w:tab w:val="left" w:pos="3627"/>
        </w:tabs>
        <w:spacing w:after="120"/>
        <w:rPr>
          <w:lang w:val="en-US"/>
        </w:rPr>
      </w:pPr>
      <w:r>
        <w:rPr>
          <w:lang w:val="en-US"/>
        </w:rPr>
        <w:tab/>
      </w:r>
    </w:p>
    <w:p w:rsidR="00FF23A7" w:rsidRDefault="00FF23A7" w:rsidP="00FF23A7">
      <w:pPr>
        <w:pStyle w:val="Heading1"/>
        <w:rPr>
          <w:lang w:val="en-GB"/>
        </w:rPr>
      </w:pPr>
      <w:r>
        <w:rPr>
          <w:lang w:val="en-GB"/>
        </w:rPr>
        <w:br w:type="page"/>
      </w:r>
      <w:bookmarkStart w:id="49" w:name="_Toc260389727"/>
      <w:r w:rsidR="00A84844">
        <w:rPr>
          <w:lang w:val="en-GB"/>
        </w:rPr>
        <w:lastRenderedPageBreak/>
        <w:t>Chapter</w:t>
      </w:r>
      <w:r w:rsidR="00C709BB">
        <w:rPr>
          <w:lang w:val="en-GB"/>
        </w:rPr>
        <w:t xml:space="preserve"> 3. </w:t>
      </w:r>
      <w:r w:rsidR="00EE6537">
        <w:rPr>
          <w:lang w:val="en-GB"/>
        </w:rPr>
        <w:t>Achieving participation at global level</w:t>
      </w:r>
      <w:bookmarkEnd w:id="49"/>
    </w:p>
    <w:p w:rsidR="00FF23A7" w:rsidRDefault="00FF23A7" w:rsidP="00FF23A7">
      <w:pPr>
        <w:spacing w:after="0"/>
        <w:rPr>
          <w:sz w:val="22"/>
          <w:lang w:val="en-GB"/>
        </w:rPr>
      </w:pPr>
      <w:r>
        <w:rPr>
          <w:lang w:val="en-GB"/>
        </w:rPr>
        <w:tab/>
      </w:r>
    </w:p>
    <w:p w:rsidR="006F7A43" w:rsidRPr="00927CF7" w:rsidRDefault="006F7A43" w:rsidP="00054561">
      <w:pPr>
        <w:pStyle w:val="Heading2"/>
        <w:rPr>
          <w:lang w:val="en-US"/>
        </w:rPr>
      </w:pPr>
      <w:bookmarkStart w:id="50" w:name="_Toc260389728"/>
      <w:r w:rsidRPr="00927CF7">
        <w:rPr>
          <w:lang w:val="en-US"/>
        </w:rPr>
        <w:t>Participation</w:t>
      </w:r>
      <w:r w:rsidR="00C709BB" w:rsidRPr="00927CF7">
        <w:rPr>
          <w:lang w:val="en-US"/>
        </w:rPr>
        <w:t xml:space="preserve"> in Codex Meetings</w:t>
      </w:r>
      <w:bookmarkEnd w:id="50"/>
    </w:p>
    <w:p w:rsidR="00027A1C" w:rsidRDefault="000207AC" w:rsidP="00C709BB">
      <w:pPr>
        <w:rPr>
          <w:lang w:val="en-GB"/>
        </w:rPr>
      </w:pPr>
      <w:r w:rsidRPr="000207AC">
        <w:rPr>
          <w:lang w:val="en-GB"/>
        </w:rPr>
        <w:t>In the previous Chapter we analysed the impact at national level that could be related to the funding of participation through the CTF.</w:t>
      </w:r>
      <w:r w:rsidR="00C709BB" w:rsidRPr="00203223">
        <w:rPr>
          <w:lang w:val="en-GB"/>
        </w:rPr>
        <w:t xml:space="preserve"> However, we did so without really presenting the</w:t>
      </w:r>
      <w:r w:rsidR="00C709BB">
        <w:rPr>
          <w:lang w:val="en-GB"/>
        </w:rPr>
        <w:t xml:space="preserve"> </w:t>
      </w:r>
      <w:r w:rsidR="00203223">
        <w:rPr>
          <w:lang w:val="en-GB"/>
        </w:rPr>
        <w:t xml:space="preserve">actual </w:t>
      </w:r>
      <w:r w:rsidR="00C709BB">
        <w:rPr>
          <w:lang w:val="en-GB"/>
        </w:rPr>
        <w:t>activities</w:t>
      </w:r>
      <w:r w:rsidR="00203223">
        <w:rPr>
          <w:lang w:val="en-GB"/>
        </w:rPr>
        <w:t xml:space="preserve"> of the CTF</w:t>
      </w:r>
      <w:r w:rsidR="00C709BB">
        <w:rPr>
          <w:lang w:val="en-GB"/>
        </w:rPr>
        <w:t xml:space="preserve">. We started with the changes at country level and in this </w:t>
      </w:r>
      <w:r w:rsidR="00A84844">
        <w:rPr>
          <w:lang w:val="en-GB"/>
        </w:rPr>
        <w:t>Chapter</w:t>
      </w:r>
      <w:r w:rsidR="00C709BB">
        <w:rPr>
          <w:lang w:val="en-GB"/>
        </w:rPr>
        <w:t xml:space="preserve"> we turn to the CTF activities and examine who took part, from which countries and whether the participation is sustained. </w:t>
      </w:r>
    </w:p>
    <w:p w:rsidR="00C709BB" w:rsidRDefault="00C709BB" w:rsidP="00C709BB">
      <w:pPr>
        <w:rPr>
          <w:lang w:val="en-GB"/>
        </w:rPr>
      </w:pPr>
      <w:r>
        <w:rPr>
          <w:lang w:val="en-GB"/>
        </w:rPr>
        <w:t xml:space="preserve">This discussion thus documents the achievement of </w:t>
      </w:r>
      <w:r w:rsidR="00203223">
        <w:rPr>
          <w:lang w:val="en-GB"/>
        </w:rPr>
        <w:t>o</w:t>
      </w:r>
      <w:r w:rsidR="002B4DD2">
        <w:rPr>
          <w:lang w:val="en-GB"/>
        </w:rPr>
        <w:t>bjective 1</w:t>
      </w:r>
      <w:r>
        <w:rPr>
          <w:lang w:val="en-GB"/>
        </w:rPr>
        <w:t xml:space="preserve"> of the CTF; to increase participation Codex work. The preceding external reviews (Connor, 2007, and Slorach, 2007) found that so far the CTF has focused on that objective and also succeeded in increasing participation. </w:t>
      </w:r>
      <w:r w:rsidR="00662E00">
        <w:rPr>
          <w:lang w:val="en-GB"/>
        </w:rPr>
        <w:t xml:space="preserve">The limited number of technical assistance activities supported by the CTF </w:t>
      </w:r>
      <w:r w:rsidR="002B4DD2">
        <w:rPr>
          <w:lang w:val="en-GB"/>
        </w:rPr>
        <w:t xml:space="preserve">to address </w:t>
      </w:r>
      <w:r w:rsidR="00203223">
        <w:rPr>
          <w:lang w:val="en-GB"/>
        </w:rPr>
        <w:t>o</w:t>
      </w:r>
      <w:r w:rsidR="002B4DD2">
        <w:rPr>
          <w:lang w:val="en-GB"/>
        </w:rPr>
        <w:t>bjectives 2 and 3 are</w:t>
      </w:r>
      <w:r w:rsidR="00662E00">
        <w:rPr>
          <w:lang w:val="en-GB"/>
        </w:rPr>
        <w:t xml:space="preserve"> </w:t>
      </w:r>
      <w:r w:rsidR="002B4DD2">
        <w:rPr>
          <w:lang w:val="en-GB"/>
        </w:rPr>
        <w:t>discussed</w:t>
      </w:r>
      <w:r w:rsidR="00662E00">
        <w:rPr>
          <w:lang w:val="en-GB"/>
        </w:rPr>
        <w:t xml:space="preserve"> in Chapter 4.</w:t>
      </w:r>
    </w:p>
    <w:p w:rsidR="00027A1C" w:rsidRDefault="006F7A43">
      <w:pPr>
        <w:rPr>
          <w:lang w:val="en-GB"/>
        </w:rPr>
      </w:pPr>
      <w:r w:rsidRPr="00927CF7">
        <w:rPr>
          <w:lang w:val="en-US"/>
        </w:rPr>
        <w:t>The CTF funded 1</w:t>
      </w:r>
      <w:r w:rsidR="00972D6A" w:rsidRPr="00927CF7">
        <w:rPr>
          <w:lang w:val="en-US"/>
        </w:rPr>
        <w:t>,</w:t>
      </w:r>
      <w:r w:rsidRPr="00927CF7">
        <w:rPr>
          <w:lang w:val="en-US"/>
        </w:rPr>
        <w:t>129 participants from 126 countries between 2004 and 2009.</w:t>
      </w:r>
      <w:r w:rsidR="00203223">
        <w:rPr>
          <w:rStyle w:val="FootnoteReference"/>
          <w:lang w:val="en-US"/>
        </w:rPr>
        <w:footnoteReference w:id="8"/>
      </w:r>
      <w:r w:rsidRPr="00927CF7">
        <w:rPr>
          <w:lang w:val="en-US"/>
        </w:rPr>
        <w:t xml:space="preserve"> The total number of eligible countries was originally 146, so 20 countries had not applied for funding by 2009. 246 people from 80 countries were sponsored in 2009</w:t>
      </w:r>
      <w:r>
        <w:rPr>
          <w:lang w:val="en-GB"/>
        </w:rPr>
        <w:t xml:space="preserve"> (</w:t>
      </w:r>
      <w:r w:rsidR="00AE227F">
        <w:rPr>
          <w:lang w:val="en-GB"/>
        </w:rPr>
        <w:fldChar w:fldCharType="begin"/>
      </w:r>
      <w:r w:rsidR="00927CF7">
        <w:rPr>
          <w:lang w:val="en-GB"/>
        </w:rPr>
        <w:instrText xml:space="preserve"> REF _Ref256769027 \h </w:instrText>
      </w:r>
      <w:r w:rsidR="00AE227F">
        <w:rPr>
          <w:lang w:val="en-GB"/>
        </w:rPr>
      </w:r>
      <w:r w:rsidR="00AE227F">
        <w:rPr>
          <w:lang w:val="en-GB"/>
        </w:rPr>
        <w:fldChar w:fldCharType="separate"/>
      </w:r>
      <w:r w:rsidR="004F08A8" w:rsidRPr="00332D84">
        <w:rPr>
          <w:lang w:val="en-US"/>
        </w:rPr>
        <w:t xml:space="preserve">Diagram </w:t>
      </w:r>
      <w:r w:rsidR="004F08A8">
        <w:rPr>
          <w:noProof/>
          <w:lang w:val="en-US"/>
        </w:rPr>
        <w:t>1</w:t>
      </w:r>
      <w:r w:rsidR="00AE227F">
        <w:rPr>
          <w:lang w:val="en-GB"/>
        </w:rPr>
        <w:fldChar w:fldCharType="end"/>
      </w:r>
      <w:r>
        <w:rPr>
          <w:lang w:val="en-GB"/>
        </w:rPr>
        <w:t xml:space="preserve">). </w:t>
      </w:r>
      <w:r w:rsidR="00D378E7">
        <w:rPr>
          <w:lang w:val="en-GB"/>
        </w:rPr>
        <w:t xml:space="preserve">CTF beneficiary countries are classified into groups, which are presented in </w:t>
      </w:r>
      <w:r w:rsidR="00A84844">
        <w:rPr>
          <w:lang w:val="en-GB"/>
        </w:rPr>
        <w:t>Chapter</w:t>
      </w:r>
      <w:r w:rsidR="00D378E7">
        <w:rPr>
          <w:lang w:val="en-GB"/>
        </w:rPr>
        <w:t xml:space="preserve"> 4. </w:t>
      </w:r>
    </w:p>
    <w:p w:rsidR="00D85203" w:rsidRDefault="006F7A43">
      <w:pPr>
        <w:rPr>
          <w:lang w:val="en-GB"/>
        </w:rPr>
      </w:pPr>
      <w:r>
        <w:rPr>
          <w:lang w:val="en-GB"/>
        </w:rPr>
        <w:t>The overall share of CTF funded participants from group 1a was 47% for all years, 68%</w:t>
      </w:r>
      <w:r w:rsidR="00972D6A">
        <w:rPr>
          <w:lang w:val="en-GB"/>
        </w:rPr>
        <w:t xml:space="preserve"> </w:t>
      </w:r>
      <w:r>
        <w:rPr>
          <w:lang w:val="en-GB"/>
        </w:rPr>
        <w:t>for the total group 1, 25% for group 2 and 7% for group 3 (</w:t>
      </w:r>
      <w:r w:rsidR="00AE227F">
        <w:rPr>
          <w:lang w:val="en-GB"/>
        </w:rPr>
        <w:fldChar w:fldCharType="begin"/>
      </w:r>
      <w:r w:rsidR="008E438D">
        <w:rPr>
          <w:lang w:val="en-GB"/>
        </w:rPr>
        <w:instrText xml:space="preserve"> REF _Ref256593153 \h </w:instrText>
      </w:r>
      <w:r w:rsidR="00AE227F">
        <w:rPr>
          <w:lang w:val="en-GB"/>
        </w:rPr>
      </w:r>
      <w:r w:rsidR="00AE227F">
        <w:rPr>
          <w:lang w:val="en-GB"/>
        </w:rPr>
        <w:fldChar w:fldCharType="separate"/>
      </w:r>
      <w:r w:rsidR="004F08A8" w:rsidRPr="00332D84">
        <w:rPr>
          <w:lang w:val="en-US"/>
        </w:rPr>
        <w:t xml:space="preserve">Diagram </w:t>
      </w:r>
      <w:r w:rsidR="004F08A8">
        <w:rPr>
          <w:noProof/>
          <w:lang w:val="en-US"/>
        </w:rPr>
        <w:t>2</w:t>
      </w:r>
      <w:r w:rsidR="00AE227F">
        <w:rPr>
          <w:lang w:val="en-GB"/>
        </w:rPr>
        <w:fldChar w:fldCharType="end"/>
      </w:r>
      <w:r>
        <w:rPr>
          <w:lang w:val="en-GB"/>
        </w:rPr>
        <w:t>).</w:t>
      </w:r>
      <w:r w:rsidRPr="000A5610">
        <w:rPr>
          <w:lang w:val="en-GB"/>
        </w:rPr>
        <w:t xml:space="preserve"> </w:t>
      </w:r>
      <w:r>
        <w:rPr>
          <w:lang w:val="en-GB"/>
        </w:rPr>
        <w:t>This is even a slightly higher focus on poorer countries than the original target as stated in the project document of 60% to group 1, 30% to group 2 and 10% to group 3. In terms of regions, Africa has sent 41% of the participants, followed by Asia and Latin America</w:t>
      </w:r>
      <w:r w:rsidR="008E438D">
        <w:rPr>
          <w:lang w:val="en-GB"/>
        </w:rPr>
        <w:t xml:space="preserve"> (</w:t>
      </w:r>
      <w:r w:rsidR="00AE227F">
        <w:rPr>
          <w:lang w:val="en-GB"/>
        </w:rPr>
        <w:fldChar w:fldCharType="begin"/>
      </w:r>
      <w:r w:rsidR="008E438D">
        <w:rPr>
          <w:lang w:val="en-GB"/>
        </w:rPr>
        <w:instrText xml:space="preserve"> REF _Ref256593321 \h </w:instrText>
      </w:r>
      <w:r w:rsidR="00AE227F">
        <w:rPr>
          <w:lang w:val="en-GB"/>
        </w:rPr>
      </w:r>
      <w:r w:rsidR="00AE227F">
        <w:rPr>
          <w:lang w:val="en-GB"/>
        </w:rPr>
        <w:fldChar w:fldCharType="separate"/>
      </w:r>
      <w:r w:rsidR="004F08A8" w:rsidRPr="00332D84">
        <w:rPr>
          <w:lang w:val="en-US"/>
        </w:rPr>
        <w:t xml:space="preserve">Diagram </w:t>
      </w:r>
      <w:r w:rsidR="004F08A8">
        <w:rPr>
          <w:noProof/>
          <w:lang w:val="en-US"/>
        </w:rPr>
        <w:t>3</w:t>
      </w:r>
      <w:r w:rsidR="00AE227F">
        <w:rPr>
          <w:lang w:val="en-GB"/>
        </w:rPr>
        <w:fldChar w:fldCharType="end"/>
      </w:r>
      <w:r w:rsidR="008E438D">
        <w:rPr>
          <w:lang w:val="en-GB"/>
        </w:rPr>
        <w:t>)</w:t>
      </w:r>
      <w:r>
        <w:rPr>
          <w:lang w:val="en-GB"/>
        </w:rPr>
        <w:t>. The share of Latin America diminished markedly in 2009 due to graduation from CTF</w:t>
      </w:r>
      <w:r w:rsidR="008E438D">
        <w:rPr>
          <w:lang w:val="en-GB"/>
        </w:rPr>
        <w:t xml:space="preserve"> (</w:t>
      </w:r>
      <w:r w:rsidR="00AE227F">
        <w:rPr>
          <w:lang w:val="en-GB"/>
        </w:rPr>
        <w:fldChar w:fldCharType="begin"/>
      </w:r>
      <w:r w:rsidR="008E438D">
        <w:rPr>
          <w:lang w:val="en-GB"/>
        </w:rPr>
        <w:instrText xml:space="preserve"> REF _Ref256593296 \h </w:instrText>
      </w:r>
      <w:r w:rsidR="00AE227F">
        <w:rPr>
          <w:lang w:val="en-GB"/>
        </w:rPr>
      </w:r>
      <w:r w:rsidR="00AE227F">
        <w:rPr>
          <w:lang w:val="en-GB"/>
        </w:rPr>
        <w:fldChar w:fldCharType="separate"/>
      </w:r>
      <w:r w:rsidR="004F08A8" w:rsidRPr="00332D84">
        <w:rPr>
          <w:lang w:val="en-US"/>
        </w:rPr>
        <w:t xml:space="preserve">Diagram </w:t>
      </w:r>
      <w:r w:rsidR="004F08A8">
        <w:rPr>
          <w:noProof/>
          <w:lang w:val="en-US"/>
        </w:rPr>
        <w:t>4</w:t>
      </w:r>
      <w:r w:rsidR="00AE227F">
        <w:rPr>
          <w:lang w:val="en-GB"/>
        </w:rPr>
        <w:fldChar w:fldCharType="end"/>
      </w:r>
      <w:r w:rsidR="008E438D">
        <w:rPr>
          <w:lang w:val="en-GB"/>
        </w:rPr>
        <w:t>)</w:t>
      </w:r>
      <w:r>
        <w:rPr>
          <w:lang w:val="en-GB"/>
        </w:rPr>
        <w:t>.</w:t>
      </w:r>
    </w:p>
    <w:p w:rsidR="008E438D" w:rsidRDefault="006F7A43" w:rsidP="00347BED">
      <w:pPr>
        <w:rPr>
          <w:lang w:val="en-GB"/>
        </w:rPr>
      </w:pPr>
      <w:r>
        <w:rPr>
          <w:lang w:val="en-GB"/>
        </w:rPr>
        <w:t>The projected support level for 2010 is</w:t>
      </w:r>
      <w:r w:rsidRPr="0030019B">
        <w:rPr>
          <w:lang w:val="en-GB"/>
        </w:rPr>
        <w:t xml:space="preserve"> 347 participants fro</w:t>
      </w:r>
      <w:r>
        <w:rPr>
          <w:lang w:val="en-GB"/>
        </w:rPr>
        <w:t>m 79 countries. This is an increase caused by high availability of funding, but for various reasons</w:t>
      </w:r>
      <w:r w:rsidR="00972D6A">
        <w:rPr>
          <w:lang w:val="en-GB"/>
        </w:rPr>
        <w:t>, such as individual</w:t>
      </w:r>
      <w:r w:rsidR="00832FBB">
        <w:rPr>
          <w:lang w:val="en-GB"/>
        </w:rPr>
        <w:t>s</w:t>
      </w:r>
      <w:r w:rsidR="00972D6A">
        <w:rPr>
          <w:lang w:val="en-GB"/>
        </w:rPr>
        <w:t xml:space="preserve"> not being able to participate in meetings,</w:t>
      </w:r>
      <w:r>
        <w:rPr>
          <w:lang w:val="en-GB"/>
        </w:rPr>
        <w:t xml:space="preserve"> the actual outcome may be lower. </w:t>
      </w:r>
      <w:r w:rsidR="00215CBE" w:rsidRPr="00215CBE">
        <w:rPr>
          <w:lang w:val="en-GB"/>
        </w:rPr>
        <w:t>Djibouti</w:t>
      </w:r>
      <w:r w:rsidR="00215CBE">
        <w:rPr>
          <w:lang w:val="en-GB"/>
        </w:rPr>
        <w:t xml:space="preserve">, </w:t>
      </w:r>
      <w:r w:rsidR="00215CBE" w:rsidRPr="00215CBE">
        <w:rPr>
          <w:lang w:val="en-GB"/>
        </w:rPr>
        <w:t>Somalia</w:t>
      </w:r>
      <w:r w:rsidR="00215CBE">
        <w:rPr>
          <w:lang w:val="en-GB"/>
        </w:rPr>
        <w:t xml:space="preserve">, </w:t>
      </w:r>
      <w:r w:rsidR="00215CBE" w:rsidRPr="00215CBE">
        <w:rPr>
          <w:lang w:val="en-GB"/>
        </w:rPr>
        <w:t>Tajikistan</w:t>
      </w:r>
      <w:r w:rsidR="00215CBE">
        <w:rPr>
          <w:lang w:val="en-GB"/>
        </w:rPr>
        <w:t xml:space="preserve">, </w:t>
      </w:r>
      <w:r w:rsidR="00215CBE" w:rsidRPr="00215CBE">
        <w:rPr>
          <w:lang w:val="en-GB"/>
        </w:rPr>
        <w:t>Montenegro</w:t>
      </w:r>
      <w:r w:rsidR="00215CBE">
        <w:rPr>
          <w:lang w:val="en-GB"/>
        </w:rPr>
        <w:t xml:space="preserve"> and </w:t>
      </w:r>
      <w:r w:rsidR="00215CBE" w:rsidRPr="00215CBE">
        <w:rPr>
          <w:lang w:val="en-GB"/>
        </w:rPr>
        <w:t>Comoros</w:t>
      </w:r>
      <w:r w:rsidR="00215CBE">
        <w:rPr>
          <w:lang w:val="en-GB"/>
        </w:rPr>
        <w:t xml:space="preserve"> </w:t>
      </w:r>
      <w:r w:rsidR="00332D84">
        <w:rPr>
          <w:lang w:val="en-GB"/>
        </w:rPr>
        <w:t>are e</w:t>
      </w:r>
      <w:r w:rsidR="00332D84" w:rsidRPr="00332D84">
        <w:rPr>
          <w:lang w:val="en-GB"/>
        </w:rPr>
        <w:t>xpected to receive funding for the first time in 2010.</w:t>
      </w:r>
      <w:r>
        <w:rPr>
          <w:lang w:val="en-GB"/>
        </w:rPr>
        <w:t xml:space="preserve"> </w:t>
      </w:r>
      <w:bookmarkStart w:id="51" w:name="_Ref256593134"/>
    </w:p>
    <w:p w:rsidR="00027A1C" w:rsidRDefault="000829F6" w:rsidP="00347BED">
      <w:pPr>
        <w:rPr>
          <w:lang w:val="en-GB"/>
        </w:rPr>
      </w:pPr>
      <w:r>
        <w:fldChar w:fldCharType="begin"/>
      </w:r>
      <w:r>
        <w:instrText xml:space="preserve"> RE</w:instrText>
      </w:r>
      <w:r>
        <w:instrText xml:space="preserve">F _Ref256592274 \h  \* MERGEFORMAT </w:instrText>
      </w:r>
      <w:r>
        <w:fldChar w:fldCharType="separate"/>
      </w:r>
      <w:r w:rsidR="00347BED" w:rsidRPr="00332D84">
        <w:rPr>
          <w:lang w:val="en-US"/>
        </w:rPr>
        <w:t xml:space="preserve">Diagram </w:t>
      </w:r>
      <w:r w:rsidR="00347BED">
        <w:rPr>
          <w:lang w:val="en-US"/>
        </w:rPr>
        <w:t>5</w:t>
      </w:r>
      <w:r>
        <w:fldChar w:fldCharType="end"/>
      </w:r>
      <w:r w:rsidR="00347BED">
        <w:rPr>
          <w:lang w:val="en-GB"/>
        </w:rPr>
        <w:t xml:space="preserve"> shows that 34% of the total number of CTF sponsored participants were women, even though this information is not available for all participants. The LAC region stands out with over 50% female representation, while the level is closer to 20% for the Near East. Slorach (2007) was first in identifying the overall gender imbalance in CTF sponsored participation and recommended that the CTF Consultative Group </w:t>
      </w:r>
      <w:r w:rsidR="00347BED" w:rsidRPr="00097557">
        <w:rPr>
          <w:lang w:val="en-GB"/>
        </w:rPr>
        <w:t>should seek ways to improve the gender balance among Fund beneficiaries and that FAO/WHO consider carrying out a study into food safety in developing countries from a gender perspective and in particular its relation to health, trade and poverty reduction.</w:t>
      </w:r>
      <w:r w:rsidR="00347BED">
        <w:rPr>
          <w:lang w:val="en-GB"/>
        </w:rPr>
        <w:t xml:space="preserve"> </w:t>
      </w:r>
    </w:p>
    <w:p w:rsidR="00347BED" w:rsidRDefault="00347BED" w:rsidP="00347BED">
      <w:pPr>
        <w:rPr>
          <w:lang w:val="en-GB"/>
        </w:rPr>
      </w:pPr>
      <w:r>
        <w:rPr>
          <w:lang w:val="en-GB"/>
        </w:rPr>
        <w:t xml:space="preserve">The CTF Secretariat collects </w:t>
      </w:r>
      <w:r w:rsidRPr="00AD5F85">
        <w:rPr>
          <w:lang w:val="en-GB"/>
        </w:rPr>
        <w:t xml:space="preserve">statistics on gender balance </w:t>
      </w:r>
      <w:r>
        <w:rPr>
          <w:lang w:val="en-GB"/>
        </w:rPr>
        <w:t>among</w:t>
      </w:r>
      <w:r w:rsidRPr="00AD5F85">
        <w:rPr>
          <w:lang w:val="en-GB"/>
        </w:rPr>
        <w:t xml:space="preserve"> CTF</w:t>
      </w:r>
      <w:r>
        <w:rPr>
          <w:lang w:val="en-GB"/>
        </w:rPr>
        <w:t>-</w:t>
      </w:r>
      <w:r w:rsidRPr="00AD5F85">
        <w:rPr>
          <w:lang w:val="en-GB"/>
        </w:rPr>
        <w:t>support</w:t>
      </w:r>
      <w:r>
        <w:rPr>
          <w:lang w:val="en-GB"/>
        </w:rPr>
        <w:t>ed</w:t>
      </w:r>
      <w:r w:rsidRPr="00AD5F85">
        <w:rPr>
          <w:lang w:val="en-GB"/>
        </w:rPr>
        <w:t xml:space="preserve"> participants</w:t>
      </w:r>
      <w:r>
        <w:rPr>
          <w:lang w:val="en-GB"/>
        </w:rPr>
        <w:t xml:space="preserve"> from data provided to administer travel and, as of 2009, from the on-line</w:t>
      </w:r>
      <w:r w:rsidRPr="00AD5F85">
        <w:rPr>
          <w:lang w:val="en-GB"/>
        </w:rPr>
        <w:t xml:space="preserve"> participant reports.  </w:t>
      </w:r>
      <w:r>
        <w:rPr>
          <w:lang w:val="en-GB"/>
        </w:rPr>
        <w:t>T</w:t>
      </w:r>
      <w:r w:rsidRPr="00AD5F85">
        <w:rPr>
          <w:lang w:val="en-GB"/>
        </w:rPr>
        <w:t xml:space="preserve">erms of reference for </w:t>
      </w:r>
      <w:r>
        <w:rPr>
          <w:lang w:val="en-GB"/>
        </w:rPr>
        <w:t xml:space="preserve">a </w:t>
      </w:r>
      <w:r w:rsidRPr="00AD5F85">
        <w:rPr>
          <w:lang w:val="en-GB"/>
        </w:rPr>
        <w:t>study o</w:t>
      </w:r>
      <w:r>
        <w:rPr>
          <w:lang w:val="en-GB"/>
        </w:rPr>
        <w:t>n gender and food safety have been under discussion for some time with the Swedish aid agency Sida. Such a study would seem welcome.</w:t>
      </w:r>
    </w:p>
    <w:p w:rsidR="00347BED" w:rsidRDefault="00347BED" w:rsidP="00347BED">
      <w:pPr>
        <w:rPr>
          <w:lang w:val="en-GB"/>
        </w:rPr>
      </w:pPr>
    </w:p>
    <w:p w:rsidR="00347BED" w:rsidRPr="00347BED" w:rsidRDefault="00347BED" w:rsidP="00347BED">
      <w:pPr>
        <w:rPr>
          <w:lang w:val="en-GB"/>
        </w:rPr>
        <w:sectPr w:rsidR="00347BED" w:rsidRPr="00347BED">
          <w:type w:val="continuous"/>
          <w:pgSz w:w="11900" w:h="16840"/>
          <w:pgMar w:top="1418" w:right="1418" w:bottom="1418" w:left="1418" w:header="709" w:footer="709" w:gutter="0"/>
          <w:cols w:space="708"/>
        </w:sectPr>
      </w:pPr>
    </w:p>
    <w:p w:rsidR="008059BE" w:rsidRDefault="00332D84" w:rsidP="008059BE">
      <w:pPr>
        <w:pStyle w:val="Caption"/>
        <w:keepNext/>
        <w:rPr>
          <w:lang w:val="en-US"/>
        </w:rPr>
      </w:pPr>
      <w:bookmarkStart w:id="52" w:name="_Ref256769027"/>
      <w:bookmarkStart w:id="53" w:name="_Toc260036729"/>
      <w:r w:rsidRPr="00332D84">
        <w:rPr>
          <w:lang w:val="en-US"/>
        </w:rPr>
        <w:lastRenderedPageBreak/>
        <w:t xml:space="preserve">Diagram </w:t>
      </w:r>
      <w:r w:rsidR="00AE227F">
        <w:fldChar w:fldCharType="begin"/>
      </w:r>
      <w:r w:rsidRPr="00332D84">
        <w:rPr>
          <w:lang w:val="en-US"/>
        </w:rPr>
        <w:instrText xml:space="preserve"> SEQ Diagram \* ARABIC </w:instrText>
      </w:r>
      <w:r w:rsidR="00AE227F">
        <w:fldChar w:fldCharType="separate"/>
      </w:r>
      <w:r w:rsidR="004F08A8">
        <w:rPr>
          <w:noProof/>
          <w:lang w:val="en-US"/>
        </w:rPr>
        <w:t>1</w:t>
      </w:r>
      <w:r w:rsidR="00AE227F">
        <w:fldChar w:fldCharType="end"/>
      </w:r>
      <w:bookmarkEnd w:id="51"/>
      <w:bookmarkEnd w:id="52"/>
      <w:r w:rsidRPr="00332D84">
        <w:rPr>
          <w:lang w:val="en-US"/>
        </w:rPr>
        <w:t xml:space="preserve"> </w:t>
      </w:r>
      <w:r w:rsidR="008E438D">
        <w:rPr>
          <w:lang w:val="en-US"/>
        </w:rPr>
        <w:t>Total nu</w:t>
      </w:r>
      <w:r w:rsidRPr="00332D84">
        <w:rPr>
          <w:lang w:val="en-US"/>
        </w:rPr>
        <w:t>mber of participants funded by the CTF 2004-2009</w:t>
      </w:r>
      <w:bookmarkEnd w:id="53"/>
      <w:r w:rsidR="009446EA">
        <w:rPr>
          <w:lang w:val="en-US"/>
        </w:rPr>
        <w:t xml:space="preserve">  </w:t>
      </w:r>
    </w:p>
    <w:p w:rsidR="008059BE" w:rsidRPr="008059BE" w:rsidRDefault="008059BE" w:rsidP="008059BE">
      <w:pPr>
        <w:pStyle w:val="Caption"/>
        <w:keepNext/>
        <w:rPr>
          <w:lang w:val="en-US"/>
        </w:rPr>
      </w:pPr>
      <w:r>
        <w:rPr>
          <w:noProof/>
          <w:lang w:val="en-GB" w:eastAsia="en-GB"/>
        </w:rPr>
        <w:drawing>
          <wp:inline distT="0" distB="0" distL="0" distR="0">
            <wp:extent cx="2653030" cy="1854570"/>
            <wp:effectExtent l="19050" t="0" r="13970" b="0"/>
            <wp:docPr id="10" name="Diagra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D85203" w:rsidRDefault="009446EA">
      <w:pPr>
        <w:pStyle w:val="Caption"/>
        <w:keepNext/>
        <w:spacing w:after="0"/>
        <w:rPr>
          <w:lang w:val="en-US"/>
        </w:rPr>
      </w:pPr>
      <w:r>
        <w:rPr>
          <w:lang w:val="en-US"/>
        </w:rPr>
        <w:t xml:space="preserve">   </w:t>
      </w:r>
    </w:p>
    <w:p w:rsidR="008059BE" w:rsidRPr="008059BE" w:rsidRDefault="00332D84" w:rsidP="008059BE">
      <w:pPr>
        <w:pStyle w:val="Caption"/>
        <w:keepNext/>
        <w:rPr>
          <w:lang w:val="en-US"/>
        </w:rPr>
      </w:pPr>
      <w:bookmarkStart w:id="54" w:name="_Ref256593153"/>
      <w:bookmarkStart w:id="55" w:name="_Toc260036730"/>
      <w:r w:rsidRPr="00332D84">
        <w:rPr>
          <w:lang w:val="en-US"/>
        </w:rPr>
        <w:t xml:space="preserve">Diagram </w:t>
      </w:r>
      <w:r w:rsidR="00AE227F">
        <w:fldChar w:fldCharType="begin"/>
      </w:r>
      <w:r w:rsidRPr="00332D84">
        <w:rPr>
          <w:lang w:val="en-US"/>
        </w:rPr>
        <w:instrText xml:space="preserve"> SEQ Diagram \* ARABIC </w:instrText>
      </w:r>
      <w:r w:rsidR="00AE227F">
        <w:fldChar w:fldCharType="separate"/>
      </w:r>
      <w:r w:rsidR="004F08A8">
        <w:rPr>
          <w:noProof/>
          <w:lang w:val="en-US"/>
        </w:rPr>
        <w:t>2</w:t>
      </w:r>
      <w:r w:rsidR="00AE227F">
        <w:fldChar w:fldCharType="end"/>
      </w:r>
      <w:bookmarkEnd w:id="54"/>
      <w:r w:rsidRPr="00332D84">
        <w:rPr>
          <w:lang w:val="en-US"/>
        </w:rPr>
        <w:t xml:space="preserve"> </w:t>
      </w:r>
      <w:r w:rsidR="008E438D">
        <w:rPr>
          <w:lang w:val="en-US"/>
        </w:rPr>
        <w:t>Share of the total n</w:t>
      </w:r>
      <w:r w:rsidR="008E438D" w:rsidRPr="00C915EC">
        <w:rPr>
          <w:lang w:val="en-US"/>
        </w:rPr>
        <w:t>umber of participants funded by the CTF</w:t>
      </w:r>
      <w:r w:rsidRPr="00332D84">
        <w:rPr>
          <w:lang w:val="en-US"/>
        </w:rPr>
        <w:t xml:space="preserve">, by </w:t>
      </w:r>
      <w:r w:rsidR="008E438D">
        <w:rPr>
          <w:lang w:val="en-US"/>
        </w:rPr>
        <w:t>country group</w:t>
      </w:r>
      <w:bookmarkEnd w:id="55"/>
    </w:p>
    <w:p w:rsidR="006F7A43" w:rsidRDefault="006F7A43" w:rsidP="006F7A43">
      <w:pPr>
        <w:spacing w:after="100" w:afterAutospacing="1"/>
        <w:rPr>
          <w:sz w:val="22"/>
          <w:lang w:val="en-GB"/>
        </w:rPr>
      </w:pPr>
      <w:r w:rsidRPr="00FC2D6B">
        <w:rPr>
          <w:noProof/>
          <w:sz w:val="22"/>
          <w:lang w:val="en-GB" w:eastAsia="en-GB"/>
        </w:rPr>
        <w:drawing>
          <wp:inline distT="0" distB="0" distL="0" distR="0">
            <wp:extent cx="2644140" cy="1981200"/>
            <wp:effectExtent l="19050" t="0" r="22860" b="0"/>
            <wp:docPr id="14" name="Diagra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8059BE" w:rsidRDefault="00332D84">
      <w:pPr>
        <w:pStyle w:val="Caption"/>
        <w:keepNext/>
        <w:rPr>
          <w:lang w:val="en-US"/>
        </w:rPr>
      </w:pPr>
      <w:bookmarkStart w:id="56" w:name="_Ref256593321"/>
      <w:bookmarkStart w:id="57" w:name="_Toc260036731"/>
      <w:r w:rsidRPr="00332D84">
        <w:rPr>
          <w:lang w:val="en-US"/>
        </w:rPr>
        <w:lastRenderedPageBreak/>
        <w:t xml:space="preserve">Diagram </w:t>
      </w:r>
      <w:r w:rsidR="00AE227F">
        <w:fldChar w:fldCharType="begin"/>
      </w:r>
      <w:r w:rsidRPr="00332D84">
        <w:rPr>
          <w:lang w:val="en-US"/>
        </w:rPr>
        <w:instrText xml:space="preserve"> SEQ Diagram \* ARABIC </w:instrText>
      </w:r>
      <w:r w:rsidR="00AE227F">
        <w:fldChar w:fldCharType="separate"/>
      </w:r>
      <w:r w:rsidR="004F08A8">
        <w:rPr>
          <w:noProof/>
          <w:lang w:val="en-US"/>
        </w:rPr>
        <w:t>3</w:t>
      </w:r>
      <w:r w:rsidR="00AE227F">
        <w:fldChar w:fldCharType="end"/>
      </w:r>
      <w:bookmarkEnd w:id="56"/>
      <w:r w:rsidRPr="00332D84">
        <w:rPr>
          <w:lang w:val="en-US"/>
        </w:rPr>
        <w:t xml:space="preserve"> </w:t>
      </w:r>
      <w:r w:rsidR="008E438D">
        <w:rPr>
          <w:lang w:val="en-US"/>
        </w:rPr>
        <w:t>Share of the total n</w:t>
      </w:r>
      <w:r w:rsidR="008E438D" w:rsidRPr="00C915EC">
        <w:rPr>
          <w:lang w:val="en-US"/>
        </w:rPr>
        <w:t>umber of participants funded by the CTF</w:t>
      </w:r>
      <w:r w:rsidR="008E438D" w:rsidRPr="008E438D">
        <w:rPr>
          <w:lang w:val="en-US"/>
        </w:rPr>
        <w:t>, by region</w:t>
      </w:r>
      <w:bookmarkEnd w:id="57"/>
      <w:r w:rsidR="000F6792">
        <w:rPr>
          <w:lang w:val="en-US"/>
        </w:rPr>
        <w:t xml:space="preserve"> </w:t>
      </w:r>
    </w:p>
    <w:p w:rsidR="000F6792" w:rsidRDefault="008059BE">
      <w:pPr>
        <w:pStyle w:val="Caption"/>
        <w:keepNext/>
        <w:rPr>
          <w:lang w:val="en-US"/>
        </w:rPr>
      </w:pPr>
      <w:r>
        <w:rPr>
          <w:noProof/>
          <w:lang w:val="en-GB" w:eastAsia="en-GB"/>
        </w:rPr>
        <w:drawing>
          <wp:inline distT="0" distB="0" distL="0" distR="0">
            <wp:extent cx="2655589" cy="1856095"/>
            <wp:effectExtent l="19050" t="0" r="11411" b="0"/>
            <wp:docPr id="12" name="Diagram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D85203" w:rsidRDefault="000F6792" w:rsidP="000F6792">
      <w:pPr>
        <w:pStyle w:val="Caption"/>
        <w:keepNext/>
        <w:spacing w:after="0"/>
        <w:rPr>
          <w:lang w:val="en-US"/>
        </w:rPr>
      </w:pPr>
      <w:r>
        <w:rPr>
          <w:lang w:val="en-US"/>
        </w:rPr>
        <w:t xml:space="preserve">              </w:t>
      </w:r>
    </w:p>
    <w:p w:rsidR="00D85203" w:rsidRDefault="00332D84">
      <w:pPr>
        <w:pStyle w:val="Caption"/>
        <w:keepNext/>
        <w:rPr>
          <w:lang w:val="en-US"/>
        </w:rPr>
      </w:pPr>
      <w:bookmarkStart w:id="58" w:name="_Ref256593296"/>
      <w:bookmarkStart w:id="59" w:name="_Toc260036732"/>
      <w:r w:rsidRPr="00332D84">
        <w:rPr>
          <w:lang w:val="en-US"/>
        </w:rPr>
        <w:t xml:space="preserve">Diagram </w:t>
      </w:r>
      <w:r w:rsidR="00AE227F">
        <w:fldChar w:fldCharType="begin"/>
      </w:r>
      <w:r w:rsidRPr="00332D84">
        <w:rPr>
          <w:lang w:val="en-US"/>
        </w:rPr>
        <w:instrText xml:space="preserve"> SEQ Diagram \* ARABIC </w:instrText>
      </w:r>
      <w:r w:rsidR="00AE227F">
        <w:fldChar w:fldCharType="separate"/>
      </w:r>
      <w:r w:rsidR="004F08A8">
        <w:rPr>
          <w:noProof/>
          <w:lang w:val="en-US"/>
        </w:rPr>
        <w:t>4</w:t>
      </w:r>
      <w:r w:rsidR="00AE227F">
        <w:fldChar w:fldCharType="end"/>
      </w:r>
      <w:bookmarkEnd w:id="58"/>
      <w:r w:rsidRPr="00332D84">
        <w:rPr>
          <w:lang w:val="en-US"/>
        </w:rPr>
        <w:t xml:space="preserve"> </w:t>
      </w:r>
      <w:r w:rsidR="008E438D">
        <w:rPr>
          <w:lang w:val="en-US"/>
        </w:rPr>
        <w:t>Share of the total n</w:t>
      </w:r>
      <w:r w:rsidR="008E438D" w:rsidRPr="00C915EC">
        <w:rPr>
          <w:lang w:val="en-US"/>
        </w:rPr>
        <w:t>umber of participants funded by the CTF</w:t>
      </w:r>
      <w:r w:rsidR="008E438D" w:rsidRPr="008E438D">
        <w:rPr>
          <w:lang w:val="en-US"/>
        </w:rPr>
        <w:t>, by region</w:t>
      </w:r>
      <w:r w:rsidR="008E438D">
        <w:rPr>
          <w:lang w:val="en-US"/>
        </w:rPr>
        <w:t xml:space="preserve"> and year</w:t>
      </w:r>
      <w:bookmarkEnd w:id="59"/>
    </w:p>
    <w:p w:rsidR="008E438D" w:rsidRDefault="00D85203" w:rsidP="006F7A43">
      <w:pPr>
        <w:spacing w:after="100" w:afterAutospacing="1"/>
        <w:rPr>
          <w:sz w:val="22"/>
          <w:lang w:val="en-GB"/>
        </w:rPr>
        <w:sectPr w:rsidR="008E438D">
          <w:type w:val="continuous"/>
          <w:pgSz w:w="11900" w:h="16840"/>
          <w:pgMar w:top="1418" w:right="1418" w:bottom="1418" w:left="1418" w:header="709" w:footer="709" w:gutter="0"/>
          <w:cols w:num="2" w:space="708"/>
        </w:sectPr>
      </w:pPr>
      <w:r>
        <w:rPr>
          <w:noProof/>
          <w:sz w:val="22"/>
          <w:lang w:val="en-GB" w:eastAsia="en-GB"/>
        </w:rPr>
        <w:drawing>
          <wp:inline distT="0" distB="0" distL="0" distR="0">
            <wp:extent cx="2914981" cy="2003729"/>
            <wp:effectExtent l="19050" t="0" r="18719" b="0"/>
            <wp:docPr id="3" name="Diagram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D85203" w:rsidRDefault="00332D84">
      <w:pPr>
        <w:pStyle w:val="Caption"/>
        <w:keepNext/>
        <w:rPr>
          <w:lang w:val="en-US"/>
        </w:rPr>
      </w:pPr>
      <w:bookmarkStart w:id="60" w:name="_Ref256592274"/>
      <w:bookmarkStart w:id="61" w:name="_Toc260036733"/>
      <w:r w:rsidRPr="00332D84">
        <w:rPr>
          <w:lang w:val="en-US"/>
        </w:rPr>
        <w:lastRenderedPageBreak/>
        <w:t xml:space="preserve">Diagram </w:t>
      </w:r>
      <w:r w:rsidR="00AE227F">
        <w:fldChar w:fldCharType="begin"/>
      </w:r>
      <w:r w:rsidRPr="00332D84">
        <w:rPr>
          <w:lang w:val="en-US"/>
        </w:rPr>
        <w:instrText xml:space="preserve"> SEQ Diagram \* ARABIC </w:instrText>
      </w:r>
      <w:r w:rsidR="00AE227F">
        <w:fldChar w:fldCharType="separate"/>
      </w:r>
      <w:r w:rsidR="004F08A8">
        <w:rPr>
          <w:noProof/>
          <w:lang w:val="en-US"/>
        </w:rPr>
        <w:t>5</w:t>
      </w:r>
      <w:r w:rsidR="00AE227F">
        <w:fldChar w:fldCharType="end"/>
      </w:r>
      <w:bookmarkEnd w:id="60"/>
      <w:r w:rsidRPr="00332D84">
        <w:rPr>
          <w:lang w:val="en-US"/>
        </w:rPr>
        <w:t xml:space="preserve"> </w:t>
      </w:r>
      <w:r w:rsidR="00972D6A" w:rsidRPr="00972D6A">
        <w:rPr>
          <w:lang w:val="en-US"/>
        </w:rPr>
        <w:t>Gender balance among the total number of CTF beneficiaries, by region</w:t>
      </w:r>
      <w:bookmarkEnd w:id="61"/>
    </w:p>
    <w:p w:rsidR="006F7A43" w:rsidRDefault="006F7A43" w:rsidP="006F7A43">
      <w:pPr>
        <w:spacing w:after="100" w:afterAutospacing="1"/>
        <w:rPr>
          <w:sz w:val="22"/>
          <w:lang w:val="en-GB"/>
        </w:rPr>
      </w:pPr>
      <w:r w:rsidRPr="00F9534C">
        <w:rPr>
          <w:noProof/>
          <w:sz w:val="22"/>
          <w:lang w:val="en-GB" w:eastAsia="en-GB"/>
        </w:rPr>
        <w:drawing>
          <wp:inline distT="0" distB="0" distL="0" distR="0">
            <wp:extent cx="5741862" cy="2070339"/>
            <wp:effectExtent l="19050" t="0" r="11238" b="6111"/>
            <wp:docPr id="18" name="Diagram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D85203" w:rsidRDefault="006F7A43">
      <w:pPr>
        <w:rPr>
          <w:lang w:val="en-GB"/>
        </w:rPr>
      </w:pPr>
      <w:r>
        <w:rPr>
          <w:lang w:val="en-GB"/>
        </w:rPr>
        <w:t xml:space="preserve">The top ten committees for beneficiaries are shown in </w:t>
      </w:r>
      <w:r w:rsidR="00AE227F">
        <w:rPr>
          <w:lang w:val="en-GB"/>
        </w:rPr>
        <w:fldChar w:fldCharType="begin"/>
      </w:r>
      <w:r w:rsidR="00827934">
        <w:rPr>
          <w:lang w:val="en-GB"/>
        </w:rPr>
        <w:instrText xml:space="preserve"> REF _Ref256592810 \h </w:instrText>
      </w:r>
      <w:r w:rsidR="00AE227F">
        <w:rPr>
          <w:lang w:val="en-GB"/>
        </w:rPr>
      </w:r>
      <w:r w:rsidR="00AE227F">
        <w:rPr>
          <w:lang w:val="en-GB"/>
        </w:rPr>
        <w:fldChar w:fldCharType="separate"/>
      </w:r>
      <w:r w:rsidR="004F08A8" w:rsidRPr="00332D84">
        <w:rPr>
          <w:lang w:val="en-US"/>
        </w:rPr>
        <w:t xml:space="preserve">Table </w:t>
      </w:r>
      <w:r w:rsidR="004F08A8">
        <w:rPr>
          <w:noProof/>
          <w:lang w:val="en-US"/>
        </w:rPr>
        <w:t>3</w:t>
      </w:r>
      <w:r w:rsidR="00AE227F">
        <w:rPr>
          <w:lang w:val="en-GB"/>
        </w:rPr>
        <w:fldChar w:fldCharType="end"/>
      </w:r>
      <w:r>
        <w:rPr>
          <w:lang w:val="en-GB"/>
        </w:rPr>
        <w:t xml:space="preserve">; the CAC comes out on top, followed at a distance by CCFH and CCFL. The </w:t>
      </w:r>
      <w:r w:rsidRPr="00CC1858">
        <w:rPr>
          <w:lang w:val="en-GB"/>
        </w:rPr>
        <w:t xml:space="preserve">CAC </w:t>
      </w:r>
      <w:r>
        <w:rPr>
          <w:lang w:val="en-GB"/>
        </w:rPr>
        <w:t xml:space="preserve">comes out </w:t>
      </w:r>
      <w:r w:rsidRPr="00CC1858">
        <w:rPr>
          <w:lang w:val="en-GB"/>
        </w:rPr>
        <w:t xml:space="preserve">on top for both </w:t>
      </w:r>
      <w:r>
        <w:rPr>
          <w:lang w:val="en-GB"/>
        </w:rPr>
        <w:t xml:space="preserve">LDC and non-LDC countries, </w:t>
      </w:r>
      <w:r w:rsidR="00EA7F14">
        <w:rPr>
          <w:lang w:val="en-GB"/>
        </w:rPr>
        <w:t>followed by CCGP, CCAFRICA and CCFH for</w:t>
      </w:r>
      <w:r w:rsidRPr="00CC1858">
        <w:rPr>
          <w:lang w:val="en-GB"/>
        </w:rPr>
        <w:t xml:space="preserve"> LDC</w:t>
      </w:r>
      <w:r>
        <w:rPr>
          <w:lang w:val="en-GB"/>
        </w:rPr>
        <w:t xml:space="preserve">s and </w:t>
      </w:r>
      <w:r w:rsidR="00EA7F14">
        <w:rPr>
          <w:lang w:val="en-GB"/>
        </w:rPr>
        <w:t xml:space="preserve">CCFH, CCFL and </w:t>
      </w:r>
      <w:r>
        <w:rPr>
          <w:lang w:val="en-GB"/>
        </w:rPr>
        <w:t>CC</w:t>
      </w:r>
      <w:r w:rsidRPr="00CC1858">
        <w:rPr>
          <w:lang w:val="en-GB"/>
        </w:rPr>
        <w:t>FICS among non-LDCs</w:t>
      </w:r>
      <w:r>
        <w:rPr>
          <w:lang w:val="en-GB"/>
        </w:rPr>
        <w:t xml:space="preserve">. </w:t>
      </w:r>
    </w:p>
    <w:p w:rsidR="00D85203" w:rsidRDefault="00332D84">
      <w:pPr>
        <w:pStyle w:val="Caption"/>
        <w:keepNext/>
        <w:rPr>
          <w:lang w:val="en-US"/>
        </w:rPr>
      </w:pPr>
      <w:bookmarkStart w:id="62" w:name="_Ref256592810"/>
      <w:bookmarkStart w:id="63" w:name="_Toc260036738"/>
      <w:r w:rsidRPr="00332D84">
        <w:rPr>
          <w:lang w:val="en-US"/>
        </w:rPr>
        <w:lastRenderedPageBreak/>
        <w:t xml:space="preserve">Table </w:t>
      </w:r>
      <w:r w:rsidR="00AE227F">
        <w:fldChar w:fldCharType="begin"/>
      </w:r>
      <w:r w:rsidRPr="00332D84">
        <w:rPr>
          <w:lang w:val="en-US"/>
        </w:rPr>
        <w:instrText xml:space="preserve"> SEQ Table \* ARABIC </w:instrText>
      </w:r>
      <w:r w:rsidR="00AE227F">
        <w:fldChar w:fldCharType="separate"/>
      </w:r>
      <w:r w:rsidR="004F08A8">
        <w:rPr>
          <w:noProof/>
          <w:lang w:val="en-US"/>
        </w:rPr>
        <w:t>3</w:t>
      </w:r>
      <w:r w:rsidR="00AE227F">
        <w:fldChar w:fldCharType="end"/>
      </w:r>
      <w:bookmarkEnd w:id="62"/>
      <w:r w:rsidRPr="00332D84">
        <w:rPr>
          <w:lang w:val="en-US"/>
        </w:rPr>
        <w:t xml:space="preserve"> Top 10 committees for CTF beneficiaries</w:t>
      </w:r>
      <w:bookmarkEnd w:id="63"/>
    </w:p>
    <w:tbl>
      <w:tblPr>
        <w:tblStyle w:val="MediumGrid3-Accent1"/>
        <w:tblW w:w="9180" w:type="dxa"/>
        <w:tblLook w:val="04A0" w:firstRow="1" w:lastRow="0" w:firstColumn="1" w:lastColumn="0" w:noHBand="0" w:noVBand="1"/>
      </w:tblPr>
      <w:tblGrid>
        <w:gridCol w:w="5920"/>
        <w:gridCol w:w="1134"/>
        <w:gridCol w:w="1276"/>
        <w:gridCol w:w="850"/>
      </w:tblGrid>
      <w:tr w:rsidR="00C915EC" w:rsidRPr="00117572">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5920" w:type="dxa"/>
            <w:noWrap/>
          </w:tcPr>
          <w:p w:rsidR="00C915EC" w:rsidRPr="00117572" w:rsidRDefault="00C915EC" w:rsidP="00215CBE">
            <w:pPr>
              <w:spacing w:after="0"/>
              <w:rPr>
                <w:rFonts w:asciiTheme="minorHAnsi" w:hAnsiTheme="minorHAnsi" w:cs="Arial"/>
                <w:szCs w:val="20"/>
              </w:rPr>
            </w:pPr>
            <w:r w:rsidRPr="00117572">
              <w:rPr>
                <w:rFonts w:asciiTheme="minorHAnsi" w:hAnsiTheme="minorHAnsi" w:cs="Arial"/>
                <w:szCs w:val="20"/>
              </w:rPr>
              <w:t>Committee</w:t>
            </w:r>
          </w:p>
        </w:tc>
        <w:tc>
          <w:tcPr>
            <w:tcW w:w="1134" w:type="dxa"/>
            <w:noWrap/>
          </w:tcPr>
          <w:p w:rsidR="00C915EC" w:rsidRPr="00117572" w:rsidRDefault="00C915EC" w:rsidP="00215CBE">
            <w:pPr>
              <w:spacing w:after="0"/>
              <w:cnfStyle w:val="100000000000" w:firstRow="1" w:lastRow="0" w:firstColumn="0" w:lastColumn="0" w:oddVBand="0" w:evenVBand="0" w:oddHBand="0" w:evenHBand="0" w:firstRowFirstColumn="0" w:firstRowLastColumn="0" w:lastRowFirstColumn="0" w:lastRowLastColumn="0"/>
              <w:rPr>
                <w:rFonts w:asciiTheme="minorHAnsi" w:hAnsiTheme="minorHAnsi" w:cs="Arial"/>
                <w:szCs w:val="20"/>
              </w:rPr>
            </w:pPr>
            <w:r w:rsidRPr="00117572">
              <w:rPr>
                <w:rFonts w:asciiTheme="minorHAnsi" w:hAnsiTheme="minorHAnsi" w:cs="Arial"/>
                <w:szCs w:val="20"/>
              </w:rPr>
              <w:t>LDC</w:t>
            </w:r>
          </w:p>
        </w:tc>
        <w:tc>
          <w:tcPr>
            <w:tcW w:w="1276" w:type="dxa"/>
            <w:noWrap/>
          </w:tcPr>
          <w:p w:rsidR="00C915EC" w:rsidRPr="00117572" w:rsidRDefault="00C915EC" w:rsidP="00215CBE">
            <w:pPr>
              <w:spacing w:after="0"/>
              <w:cnfStyle w:val="100000000000" w:firstRow="1" w:lastRow="0" w:firstColumn="0" w:lastColumn="0" w:oddVBand="0" w:evenVBand="0" w:oddHBand="0" w:evenHBand="0" w:firstRowFirstColumn="0" w:firstRowLastColumn="0" w:lastRowFirstColumn="0" w:lastRowLastColumn="0"/>
              <w:rPr>
                <w:rFonts w:asciiTheme="minorHAnsi" w:hAnsiTheme="minorHAnsi" w:cs="Arial"/>
                <w:szCs w:val="20"/>
              </w:rPr>
            </w:pPr>
            <w:r w:rsidRPr="00117572">
              <w:rPr>
                <w:rFonts w:asciiTheme="minorHAnsi" w:hAnsiTheme="minorHAnsi" w:cs="Arial"/>
                <w:szCs w:val="20"/>
              </w:rPr>
              <w:t>NON-LDC</w:t>
            </w:r>
          </w:p>
        </w:tc>
        <w:tc>
          <w:tcPr>
            <w:tcW w:w="850" w:type="dxa"/>
            <w:noWrap/>
          </w:tcPr>
          <w:p w:rsidR="00C915EC" w:rsidRPr="00117572" w:rsidRDefault="00C915EC" w:rsidP="00215CBE">
            <w:pPr>
              <w:spacing w:after="0"/>
              <w:cnfStyle w:val="100000000000" w:firstRow="1" w:lastRow="0" w:firstColumn="0" w:lastColumn="0" w:oddVBand="0" w:evenVBand="0" w:oddHBand="0" w:evenHBand="0" w:firstRowFirstColumn="0" w:firstRowLastColumn="0" w:lastRowFirstColumn="0" w:lastRowLastColumn="0"/>
              <w:rPr>
                <w:rFonts w:asciiTheme="minorHAnsi" w:hAnsiTheme="minorHAnsi" w:cs="Arial"/>
                <w:szCs w:val="20"/>
              </w:rPr>
            </w:pPr>
            <w:r w:rsidRPr="00117572">
              <w:rPr>
                <w:rFonts w:asciiTheme="minorHAnsi" w:hAnsiTheme="minorHAnsi" w:cs="Arial"/>
                <w:szCs w:val="20"/>
              </w:rPr>
              <w:t>Totalt</w:t>
            </w:r>
          </w:p>
        </w:tc>
      </w:tr>
      <w:tr w:rsidR="00EA7F14" w:rsidRPr="0011757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5920" w:type="dxa"/>
            <w:noWrap/>
          </w:tcPr>
          <w:p w:rsidR="00EA7F14" w:rsidRPr="00117572" w:rsidRDefault="00EA7F14" w:rsidP="00827934">
            <w:pPr>
              <w:spacing w:after="0"/>
              <w:rPr>
                <w:rFonts w:asciiTheme="minorHAnsi" w:hAnsiTheme="minorHAnsi" w:cs="Arial"/>
                <w:szCs w:val="20"/>
              </w:rPr>
            </w:pPr>
            <w:r w:rsidRPr="00117572">
              <w:rPr>
                <w:rFonts w:asciiTheme="minorHAnsi" w:hAnsiTheme="minorHAnsi" w:cs="Arial"/>
                <w:szCs w:val="20"/>
              </w:rPr>
              <w:t>Codex Alimentarius Commission</w:t>
            </w:r>
            <w:r>
              <w:rPr>
                <w:rFonts w:asciiTheme="minorHAnsi" w:hAnsiTheme="minorHAnsi" w:cs="Arial"/>
                <w:szCs w:val="20"/>
              </w:rPr>
              <w:t xml:space="preserve"> (CAC)</w:t>
            </w:r>
          </w:p>
        </w:tc>
        <w:tc>
          <w:tcPr>
            <w:tcW w:w="1134" w:type="dxa"/>
            <w:noWrap/>
          </w:tcPr>
          <w:p w:rsidR="00EA7F14" w:rsidRPr="00117572" w:rsidRDefault="00EA7F14" w:rsidP="006F7A43">
            <w:pPr>
              <w:spacing w:after="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20"/>
              </w:rPr>
            </w:pPr>
            <w:r w:rsidRPr="006E0CCD">
              <w:t>91</w:t>
            </w:r>
          </w:p>
        </w:tc>
        <w:tc>
          <w:tcPr>
            <w:tcW w:w="1276" w:type="dxa"/>
            <w:noWrap/>
          </w:tcPr>
          <w:p w:rsidR="00EA7F14" w:rsidRPr="00117572" w:rsidRDefault="00EA7F14" w:rsidP="006F7A43">
            <w:pPr>
              <w:spacing w:after="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20"/>
              </w:rPr>
            </w:pPr>
            <w:r w:rsidRPr="006E0CCD">
              <w:t>88</w:t>
            </w:r>
          </w:p>
        </w:tc>
        <w:tc>
          <w:tcPr>
            <w:tcW w:w="850" w:type="dxa"/>
            <w:noWrap/>
          </w:tcPr>
          <w:p w:rsidR="00EA7F14" w:rsidRPr="00117572" w:rsidRDefault="00EA7F14" w:rsidP="006F7A43">
            <w:pPr>
              <w:spacing w:after="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20"/>
              </w:rPr>
            </w:pPr>
            <w:r w:rsidRPr="00117572">
              <w:rPr>
                <w:rFonts w:asciiTheme="minorHAnsi" w:hAnsiTheme="minorHAnsi" w:cs="Arial"/>
                <w:szCs w:val="20"/>
              </w:rPr>
              <w:t>179</w:t>
            </w:r>
          </w:p>
        </w:tc>
      </w:tr>
      <w:tr w:rsidR="00EA7F14" w:rsidRPr="00117572">
        <w:trPr>
          <w:cnfStyle w:val="000000010000" w:firstRow="0" w:lastRow="0" w:firstColumn="0" w:lastColumn="0" w:oddVBand="0" w:evenVBand="0" w:oddHBand="0" w:evenHBand="1"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5920" w:type="dxa"/>
            <w:noWrap/>
          </w:tcPr>
          <w:p w:rsidR="00EA7F14" w:rsidRPr="00927CF7" w:rsidRDefault="00EA7F14" w:rsidP="006F7A43">
            <w:pPr>
              <w:spacing w:after="0"/>
              <w:rPr>
                <w:rFonts w:asciiTheme="minorHAnsi" w:hAnsiTheme="minorHAnsi" w:cs="Arial"/>
                <w:szCs w:val="20"/>
                <w:lang w:val="en-US"/>
              </w:rPr>
            </w:pPr>
            <w:r w:rsidRPr="00927CF7">
              <w:rPr>
                <w:rFonts w:asciiTheme="minorHAnsi" w:hAnsiTheme="minorHAnsi" w:cs="Arial"/>
                <w:szCs w:val="20"/>
                <w:lang w:val="en-US"/>
              </w:rPr>
              <w:t>Codex Committee on Food Hygiene</w:t>
            </w:r>
            <w:r>
              <w:rPr>
                <w:rFonts w:asciiTheme="minorHAnsi" w:hAnsiTheme="minorHAnsi" w:cs="Arial"/>
                <w:szCs w:val="20"/>
                <w:lang w:val="en-US"/>
              </w:rPr>
              <w:t xml:space="preserve"> (CCFH)</w:t>
            </w:r>
          </w:p>
        </w:tc>
        <w:tc>
          <w:tcPr>
            <w:tcW w:w="1134" w:type="dxa"/>
            <w:noWrap/>
          </w:tcPr>
          <w:p w:rsidR="00EA7F14" w:rsidRPr="00117572" w:rsidRDefault="00EA7F14" w:rsidP="006F7A43">
            <w:pPr>
              <w:spacing w:after="0"/>
              <w:jc w:val="right"/>
              <w:cnfStyle w:val="000000010000" w:firstRow="0" w:lastRow="0" w:firstColumn="0" w:lastColumn="0" w:oddVBand="0" w:evenVBand="0" w:oddHBand="0" w:evenHBand="1" w:firstRowFirstColumn="0" w:firstRowLastColumn="0" w:lastRowFirstColumn="0" w:lastRowLastColumn="0"/>
              <w:rPr>
                <w:rFonts w:asciiTheme="minorHAnsi" w:hAnsiTheme="minorHAnsi" w:cs="Arial"/>
                <w:szCs w:val="20"/>
              </w:rPr>
            </w:pPr>
            <w:r w:rsidRPr="006E0CCD">
              <w:t>44</w:t>
            </w:r>
          </w:p>
        </w:tc>
        <w:tc>
          <w:tcPr>
            <w:tcW w:w="1276" w:type="dxa"/>
            <w:noWrap/>
          </w:tcPr>
          <w:p w:rsidR="00EA7F14" w:rsidRPr="00117572" w:rsidRDefault="00EA7F14" w:rsidP="006F7A43">
            <w:pPr>
              <w:spacing w:after="0"/>
              <w:jc w:val="right"/>
              <w:cnfStyle w:val="000000010000" w:firstRow="0" w:lastRow="0" w:firstColumn="0" w:lastColumn="0" w:oddVBand="0" w:evenVBand="0" w:oddHBand="0" w:evenHBand="1" w:firstRowFirstColumn="0" w:firstRowLastColumn="0" w:lastRowFirstColumn="0" w:lastRowLastColumn="0"/>
              <w:rPr>
                <w:rFonts w:asciiTheme="minorHAnsi" w:hAnsiTheme="minorHAnsi" w:cs="Arial"/>
                <w:szCs w:val="20"/>
              </w:rPr>
            </w:pPr>
            <w:r w:rsidRPr="006E0CCD">
              <w:t>67</w:t>
            </w:r>
          </w:p>
        </w:tc>
        <w:tc>
          <w:tcPr>
            <w:tcW w:w="850" w:type="dxa"/>
            <w:noWrap/>
          </w:tcPr>
          <w:p w:rsidR="00EA7F14" w:rsidRPr="00117572" w:rsidRDefault="00EA7F14" w:rsidP="006F7A43">
            <w:pPr>
              <w:spacing w:after="0"/>
              <w:jc w:val="right"/>
              <w:cnfStyle w:val="000000010000" w:firstRow="0" w:lastRow="0" w:firstColumn="0" w:lastColumn="0" w:oddVBand="0" w:evenVBand="0" w:oddHBand="0" w:evenHBand="1" w:firstRowFirstColumn="0" w:firstRowLastColumn="0" w:lastRowFirstColumn="0" w:lastRowLastColumn="0"/>
              <w:rPr>
                <w:rFonts w:asciiTheme="minorHAnsi" w:hAnsiTheme="minorHAnsi" w:cs="Arial"/>
                <w:szCs w:val="20"/>
              </w:rPr>
            </w:pPr>
            <w:r w:rsidRPr="00117572">
              <w:rPr>
                <w:rFonts w:asciiTheme="minorHAnsi" w:hAnsiTheme="minorHAnsi" w:cs="Arial"/>
                <w:szCs w:val="20"/>
              </w:rPr>
              <w:t>111</w:t>
            </w:r>
          </w:p>
        </w:tc>
      </w:tr>
      <w:tr w:rsidR="00EA7F14" w:rsidRPr="0011757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5920" w:type="dxa"/>
            <w:noWrap/>
          </w:tcPr>
          <w:p w:rsidR="00EA7F14" w:rsidRPr="00927CF7" w:rsidRDefault="00EA7F14" w:rsidP="00827934">
            <w:pPr>
              <w:spacing w:after="0"/>
              <w:jc w:val="left"/>
              <w:rPr>
                <w:rFonts w:asciiTheme="minorHAnsi" w:hAnsiTheme="minorHAnsi" w:cs="Arial"/>
                <w:szCs w:val="20"/>
                <w:lang w:val="en-US"/>
              </w:rPr>
            </w:pPr>
            <w:r w:rsidRPr="00927CF7">
              <w:rPr>
                <w:rFonts w:asciiTheme="minorHAnsi" w:hAnsiTheme="minorHAnsi" w:cs="Arial"/>
                <w:szCs w:val="20"/>
                <w:lang w:val="en-US"/>
              </w:rPr>
              <w:t>Codex Committee on Food Labelling</w:t>
            </w:r>
            <w:r>
              <w:rPr>
                <w:rFonts w:asciiTheme="minorHAnsi" w:hAnsiTheme="minorHAnsi" w:cs="Arial"/>
                <w:szCs w:val="20"/>
                <w:lang w:val="en-US"/>
              </w:rPr>
              <w:t xml:space="preserve"> (CCFL)</w:t>
            </w:r>
          </w:p>
        </w:tc>
        <w:tc>
          <w:tcPr>
            <w:tcW w:w="1134" w:type="dxa"/>
            <w:noWrap/>
          </w:tcPr>
          <w:p w:rsidR="00EA7F14" w:rsidRPr="00117572" w:rsidRDefault="00EA7F14" w:rsidP="006F7A43">
            <w:pPr>
              <w:spacing w:after="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20"/>
              </w:rPr>
            </w:pPr>
            <w:r w:rsidRPr="006E0CCD">
              <w:t>39</w:t>
            </w:r>
          </w:p>
        </w:tc>
        <w:tc>
          <w:tcPr>
            <w:tcW w:w="1276" w:type="dxa"/>
            <w:noWrap/>
          </w:tcPr>
          <w:p w:rsidR="00EA7F14" w:rsidRPr="00117572" w:rsidRDefault="00EA7F14" w:rsidP="006F7A43">
            <w:pPr>
              <w:spacing w:after="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20"/>
              </w:rPr>
            </w:pPr>
            <w:r w:rsidRPr="006E0CCD">
              <w:t>58</w:t>
            </w:r>
          </w:p>
        </w:tc>
        <w:tc>
          <w:tcPr>
            <w:tcW w:w="850" w:type="dxa"/>
            <w:noWrap/>
          </w:tcPr>
          <w:p w:rsidR="00EA7F14" w:rsidRPr="00117572" w:rsidRDefault="00EA7F14" w:rsidP="006F7A43">
            <w:pPr>
              <w:spacing w:after="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20"/>
              </w:rPr>
            </w:pPr>
            <w:r w:rsidRPr="00117572">
              <w:rPr>
                <w:rFonts w:asciiTheme="minorHAnsi" w:hAnsiTheme="minorHAnsi" w:cs="Arial"/>
                <w:szCs w:val="20"/>
              </w:rPr>
              <w:t>97</w:t>
            </w:r>
          </w:p>
        </w:tc>
      </w:tr>
      <w:tr w:rsidR="00EA7F14" w:rsidRPr="00117572">
        <w:trPr>
          <w:cnfStyle w:val="000000010000" w:firstRow="0" w:lastRow="0" w:firstColumn="0" w:lastColumn="0" w:oddVBand="0" w:evenVBand="0" w:oddHBand="0" w:evenHBand="1"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5920" w:type="dxa"/>
            <w:noWrap/>
          </w:tcPr>
          <w:p w:rsidR="00EA7F14" w:rsidRPr="00927CF7" w:rsidRDefault="00EA7F14" w:rsidP="006F7A43">
            <w:pPr>
              <w:spacing w:after="0"/>
              <w:rPr>
                <w:rFonts w:asciiTheme="minorHAnsi" w:hAnsiTheme="minorHAnsi" w:cs="Arial"/>
                <w:szCs w:val="20"/>
                <w:lang w:val="en-US"/>
              </w:rPr>
            </w:pPr>
            <w:r w:rsidRPr="00927CF7">
              <w:rPr>
                <w:rFonts w:asciiTheme="minorHAnsi" w:hAnsiTheme="minorHAnsi" w:cs="Arial"/>
                <w:szCs w:val="20"/>
                <w:lang w:val="en-US"/>
              </w:rPr>
              <w:t>Codex Committee on Food Import and Export Inspection and Certification Systems</w:t>
            </w:r>
            <w:r>
              <w:rPr>
                <w:rFonts w:asciiTheme="minorHAnsi" w:hAnsiTheme="minorHAnsi" w:cs="Arial"/>
                <w:szCs w:val="20"/>
                <w:lang w:val="en-US"/>
              </w:rPr>
              <w:t xml:space="preserve"> (CCFICS)</w:t>
            </w:r>
          </w:p>
        </w:tc>
        <w:tc>
          <w:tcPr>
            <w:tcW w:w="1134" w:type="dxa"/>
            <w:noWrap/>
          </w:tcPr>
          <w:p w:rsidR="00EA7F14" w:rsidRPr="00117572" w:rsidRDefault="00EA7F14" w:rsidP="006F7A43">
            <w:pPr>
              <w:spacing w:after="0"/>
              <w:jc w:val="right"/>
              <w:cnfStyle w:val="000000010000" w:firstRow="0" w:lastRow="0" w:firstColumn="0" w:lastColumn="0" w:oddVBand="0" w:evenVBand="0" w:oddHBand="0" w:evenHBand="1" w:firstRowFirstColumn="0" w:firstRowLastColumn="0" w:lastRowFirstColumn="0" w:lastRowLastColumn="0"/>
              <w:rPr>
                <w:rFonts w:asciiTheme="minorHAnsi" w:hAnsiTheme="minorHAnsi" w:cs="Arial"/>
                <w:szCs w:val="20"/>
              </w:rPr>
            </w:pPr>
            <w:r w:rsidRPr="006E0CCD">
              <w:t>39</w:t>
            </w:r>
          </w:p>
        </w:tc>
        <w:tc>
          <w:tcPr>
            <w:tcW w:w="1276" w:type="dxa"/>
            <w:noWrap/>
          </w:tcPr>
          <w:p w:rsidR="00EA7F14" w:rsidRPr="00117572" w:rsidRDefault="00EA7F14" w:rsidP="006F7A43">
            <w:pPr>
              <w:spacing w:after="0"/>
              <w:jc w:val="right"/>
              <w:cnfStyle w:val="000000010000" w:firstRow="0" w:lastRow="0" w:firstColumn="0" w:lastColumn="0" w:oddVBand="0" w:evenVBand="0" w:oddHBand="0" w:evenHBand="1" w:firstRowFirstColumn="0" w:firstRowLastColumn="0" w:lastRowFirstColumn="0" w:lastRowLastColumn="0"/>
              <w:rPr>
                <w:rFonts w:asciiTheme="minorHAnsi" w:hAnsiTheme="minorHAnsi" w:cs="Arial"/>
                <w:szCs w:val="20"/>
              </w:rPr>
            </w:pPr>
            <w:r w:rsidRPr="006E0CCD">
              <w:t>45</w:t>
            </w:r>
          </w:p>
        </w:tc>
        <w:tc>
          <w:tcPr>
            <w:tcW w:w="850" w:type="dxa"/>
            <w:noWrap/>
          </w:tcPr>
          <w:p w:rsidR="00EA7F14" w:rsidRPr="00117572" w:rsidRDefault="00EA7F14" w:rsidP="006F7A43">
            <w:pPr>
              <w:spacing w:after="0"/>
              <w:jc w:val="right"/>
              <w:cnfStyle w:val="000000010000" w:firstRow="0" w:lastRow="0" w:firstColumn="0" w:lastColumn="0" w:oddVBand="0" w:evenVBand="0" w:oddHBand="0" w:evenHBand="1" w:firstRowFirstColumn="0" w:firstRowLastColumn="0" w:lastRowFirstColumn="0" w:lastRowLastColumn="0"/>
              <w:rPr>
                <w:rFonts w:asciiTheme="minorHAnsi" w:hAnsiTheme="minorHAnsi" w:cs="Arial"/>
                <w:szCs w:val="20"/>
              </w:rPr>
            </w:pPr>
            <w:r w:rsidRPr="00117572">
              <w:rPr>
                <w:rFonts w:asciiTheme="minorHAnsi" w:hAnsiTheme="minorHAnsi" w:cs="Arial"/>
                <w:szCs w:val="20"/>
              </w:rPr>
              <w:t>84</w:t>
            </w:r>
          </w:p>
        </w:tc>
      </w:tr>
      <w:tr w:rsidR="00EA7F14" w:rsidRPr="0011757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5920" w:type="dxa"/>
            <w:noWrap/>
          </w:tcPr>
          <w:p w:rsidR="00EA7F14" w:rsidRPr="00927CF7" w:rsidRDefault="00EA7F14" w:rsidP="006F7A43">
            <w:pPr>
              <w:spacing w:after="0"/>
              <w:rPr>
                <w:rFonts w:asciiTheme="minorHAnsi" w:hAnsiTheme="minorHAnsi" w:cs="Arial"/>
                <w:szCs w:val="20"/>
                <w:lang w:val="en-US"/>
              </w:rPr>
            </w:pPr>
            <w:r w:rsidRPr="00927CF7">
              <w:rPr>
                <w:rFonts w:asciiTheme="minorHAnsi" w:hAnsiTheme="minorHAnsi" w:cs="Arial"/>
                <w:szCs w:val="20"/>
                <w:lang w:val="en-US"/>
              </w:rPr>
              <w:t>Codex Committee on General Principles</w:t>
            </w:r>
            <w:r>
              <w:rPr>
                <w:rFonts w:asciiTheme="minorHAnsi" w:hAnsiTheme="minorHAnsi" w:cs="Arial"/>
                <w:szCs w:val="20"/>
                <w:lang w:val="en-US"/>
              </w:rPr>
              <w:t xml:space="preserve"> (CCGP)</w:t>
            </w:r>
          </w:p>
        </w:tc>
        <w:tc>
          <w:tcPr>
            <w:tcW w:w="1134" w:type="dxa"/>
            <w:noWrap/>
          </w:tcPr>
          <w:p w:rsidR="00EA7F14" w:rsidRPr="00117572" w:rsidRDefault="00EA7F14" w:rsidP="006F7A43">
            <w:pPr>
              <w:spacing w:after="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20"/>
              </w:rPr>
            </w:pPr>
            <w:r w:rsidRPr="006E0CCD">
              <w:t>48</w:t>
            </w:r>
          </w:p>
        </w:tc>
        <w:tc>
          <w:tcPr>
            <w:tcW w:w="1276" w:type="dxa"/>
            <w:noWrap/>
          </w:tcPr>
          <w:p w:rsidR="00EA7F14" w:rsidRPr="00117572" w:rsidRDefault="00EA7F14" w:rsidP="006F7A43">
            <w:pPr>
              <w:spacing w:after="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20"/>
              </w:rPr>
            </w:pPr>
            <w:r w:rsidRPr="006E0CCD">
              <w:t>35</w:t>
            </w:r>
          </w:p>
        </w:tc>
        <w:tc>
          <w:tcPr>
            <w:tcW w:w="850" w:type="dxa"/>
            <w:noWrap/>
          </w:tcPr>
          <w:p w:rsidR="00EA7F14" w:rsidRPr="00117572" w:rsidRDefault="00EA7F14" w:rsidP="006F7A43">
            <w:pPr>
              <w:spacing w:after="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20"/>
              </w:rPr>
            </w:pPr>
            <w:r w:rsidRPr="00117572">
              <w:rPr>
                <w:rFonts w:asciiTheme="minorHAnsi" w:hAnsiTheme="minorHAnsi" w:cs="Arial"/>
                <w:szCs w:val="20"/>
              </w:rPr>
              <w:t>83</w:t>
            </w:r>
          </w:p>
        </w:tc>
      </w:tr>
      <w:tr w:rsidR="00EA7F14" w:rsidRPr="00117572">
        <w:trPr>
          <w:cnfStyle w:val="000000010000" w:firstRow="0" w:lastRow="0" w:firstColumn="0" w:lastColumn="0" w:oddVBand="0" w:evenVBand="0" w:oddHBand="0" w:evenHBand="1"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5920" w:type="dxa"/>
            <w:noWrap/>
          </w:tcPr>
          <w:p w:rsidR="00EA7F14" w:rsidRPr="00117572" w:rsidRDefault="00EA7F14" w:rsidP="006F7A43">
            <w:pPr>
              <w:spacing w:after="0"/>
              <w:rPr>
                <w:rFonts w:asciiTheme="minorHAnsi" w:hAnsiTheme="minorHAnsi" w:cs="Arial"/>
                <w:szCs w:val="20"/>
              </w:rPr>
            </w:pPr>
            <w:r w:rsidRPr="00117572">
              <w:rPr>
                <w:rFonts w:asciiTheme="minorHAnsi" w:hAnsiTheme="minorHAnsi" w:cs="Arial"/>
                <w:szCs w:val="20"/>
              </w:rPr>
              <w:t>Codex Committee on Pesticide Residues</w:t>
            </w:r>
            <w:r>
              <w:rPr>
                <w:rFonts w:asciiTheme="minorHAnsi" w:hAnsiTheme="minorHAnsi" w:cs="Arial"/>
                <w:szCs w:val="20"/>
              </w:rPr>
              <w:t xml:space="preserve"> (CCPR)</w:t>
            </w:r>
          </w:p>
        </w:tc>
        <w:tc>
          <w:tcPr>
            <w:tcW w:w="1134" w:type="dxa"/>
            <w:noWrap/>
          </w:tcPr>
          <w:p w:rsidR="00EA7F14" w:rsidRPr="00117572" w:rsidRDefault="00EA7F14" w:rsidP="006F7A43">
            <w:pPr>
              <w:spacing w:after="0"/>
              <w:jc w:val="right"/>
              <w:cnfStyle w:val="000000010000" w:firstRow="0" w:lastRow="0" w:firstColumn="0" w:lastColumn="0" w:oddVBand="0" w:evenVBand="0" w:oddHBand="0" w:evenHBand="1" w:firstRowFirstColumn="0" w:firstRowLastColumn="0" w:lastRowFirstColumn="0" w:lastRowLastColumn="0"/>
              <w:rPr>
                <w:rFonts w:asciiTheme="minorHAnsi" w:hAnsiTheme="minorHAnsi" w:cs="Arial"/>
                <w:szCs w:val="20"/>
              </w:rPr>
            </w:pPr>
            <w:r w:rsidRPr="006E0CCD">
              <w:t>44</w:t>
            </w:r>
          </w:p>
        </w:tc>
        <w:tc>
          <w:tcPr>
            <w:tcW w:w="1276" w:type="dxa"/>
            <w:noWrap/>
          </w:tcPr>
          <w:p w:rsidR="00EA7F14" w:rsidRPr="00117572" w:rsidRDefault="00EA7F14" w:rsidP="006F7A43">
            <w:pPr>
              <w:spacing w:after="0"/>
              <w:jc w:val="right"/>
              <w:cnfStyle w:val="000000010000" w:firstRow="0" w:lastRow="0" w:firstColumn="0" w:lastColumn="0" w:oddVBand="0" w:evenVBand="0" w:oddHBand="0" w:evenHBand="1" w:firstRowFirstColumn="0" w:firstRowLastColumn="0" w:lastRowFirstColumn="0" w:lastRowLastColumn="0"/>
              <w:rPr>
                <w:rFonts w:asciiTheme="minorHAnsi" w:hAnsiTheme="minorHAnsi" w:cs="Arial"/>
                <w:szCs w:val="20"/>
              </w:rPr>
            </w:pPr>
            <w:r w:rsidRPr="006E0CCD">
              <w:t>36</w:t>
            </w:r>
          </w:p>
        </w:tc>
        <w:tc>
          <w:tcPr>
            <w:tcW w:w="850" w:type="dxa"/>
            <w:noWrap/>
          </w:tcPr>
          <w:p w:rsidR="00EA7F14" w:rsidRPr="00117572" w:rsidRDefault="00EA7F14" w:rsidP="006F7A43">
            <w:pPr>
              <w:spacing w:after="0"/>
              <w:jc w:val="right"/>
              <w:cnfStyle w:val="000000010000" w:firstRow="0" w:lastRow="0" w:firstColumn="0" w:lastColumn="0" w:oddVBand="0" w:evenVBand="0" w:oddHBand="0" w:evenHBand="1" w:firstRowFirstColumn="0" w:firstRowLastColumn="0" w:lastRowFirstColumn="0" w:lastRowLastColumn="0"/>
              <w:rPr>
                <w:rFonts w:asciiTheme="minorHAnsi" w:hAnsiTheme="minorHAnsi" w:cs="Arial"/>
                <w:szCs w:val="20"/>
              </w:rPr>
            </w:pPr>
            <w:r w:rsidRPr="00117572">
              <w:rPr>
                <w:rFonts w:asciiTheme="minorHAnsi" w:hAnsiTheme="minorHAnsi" w:cs="Arial"/>
                <w:szCs w:val="20"/>
              </w:rPr>
              <w:t>80</w:t>
            </w:r>
          </w:p>
        </w:tc>
      </w:tr>
      <w:tr w:rsidR="00EA7F14" w:rsidRPr="0011757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5920" w:type="dxa"/>
            <w:noWrap/>
          </w:tcPr>
          <w:p w:rsidR="00EA7F14" w:rsidRPr="00927CF7" w:rsidRDefault="00EA7F14" w:rsidP="006F7A43">
            <w:pPr>
              <w:spacing w:after="0"/>
              <w:rPr>
                <w:rFonts w:asciiTheme="minorHAnsi" w:hAnsiTheme="minorHAnsi" w:cs="Arial"/>
                <w:szCs w:val="20"/>
                <w:lang w:val="en-US"/>
              </w:rPr>
            </w:pPr>
            <w:r w:rsidRPr="00927CF7">
              <w:rPr>
                <w:rFonts w:asciiTheme="minorHAnsi" w:hAnsiTheme="minorHAnsi" w:cs="Arial"/>
                <w:szCs w:val="20"/>
                <w:lang w:val="en-US"/>
              </w:rPr>
              <w:t>FAO/WHO Coordinating Committee for Africa</w:t>
            </w:r>
            <w:r>
              <w:rPr>
                <w:rFonts w:asciiTheme="minorHAnsi" w:hAnsiTheme="minorHAnsi" w:cs="Arial"/>
                <w:szCs w:val="20"/>
                <w:lang w:val="en-US"/>
              </w:rPr>
              <w:t xml:space="preserve"> (CCAFRICA)</w:t>
            </w:r>
          </w:p>
        </w:tc>
        <w:tc>
          <w:tcPr>
            <w:tcW w:w="1134" w:type="dxa"/>
            <w:noWrap/>
          </w:tcPr>
          <w:p w:rsidR="00EA7F14" w:rsidRPr="00117572" w:rsidRDefault="00EA7F14" w:rsidP="006F7A43">
            <w:pPr>
              <w:spacing w:after="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20"/>
              </w:rPr>
            </w:pPr>
            <w:r w:rsidRPr="006E0CCD">
              <w:t>48</w:t>
            </w:r>
          </w:p>
        </w:tc>
        <w:tc>
          <w:tcPr>
            <w:tcW w:w="1276" w:type="dxa"/>
            <w:noWrap/>
          </w:tcPr>
          <w:p w:rsidR="00EA7F14" w:rsidRPr="00117572" w:rsidRDefault="00EA7F14" w:rsidP="006F7A43">
            <w:pPr>
              <w:spacing w:after="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20"/>
              </w:rPr>
            </w:pPr>
            <w:r w:rsidRPr="006E0CCD">
              <w:t>18</w:t>
            </w:r>
          </w:p>
        </w:tc>
        <w:tc>
          <w:tcPr>
            <w:tcW w:w="850" w:type="dxa"/>
            <w:noWrap/>
          </w:tcPr>
          <w:p w:rsidR="00EA7F14" w:rsidRPr="00117572" w:rsidRDefault="00EA7F14" w:rsidP="006F7A43">
            <w:pPr>
              <w:spacing w:after="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20"/>
              </w:rPr>
            </w:pPr>
            <w:r w:rsidRPr="00117572">
              <w:rPr>
                <w:rFonts w:asciiTheme="minorHAnsi" w:hAnsiTheme="minorHAnsi" w:cs="Arial"/>
                <w:szCs w:val="20"/>
              </w:rPr>
              <w:t>66</w:t>
            </w:r>
          </w:p>
        </w:tc>
      </w:tr>
      <w:tr w:rsidR="00EA7F14" w:rsidRPr="00117572">
        <w:trPr>
          <w:cnfStyle w:val="000000010000" w:firstRow="0" w:lastRow="0" w:firstColumn="0" w:lastColumn="0" w:oddVBand="0" w:evenVBand="0" w:oddHBand="0" w:evenHBand="1"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5920" w:type="dxa"/>
            <w:noWrap/>
          </w:tcPr>
          <w:p w:rsidR="00EA7F14" w:rsidRPr="00927CF7" w:rsidRDefault="00EA7F14" w:rsidP="006F7A43">
            <w:pPr>
              <w:spacing w:after="0"/>
              <w:rPr>
                <w:rFonts w:asciiTheme="minorHAnsi" w:hAnsiTheme="minorHAnsi" w:cs="Arial"/>
                <w:szCs w:val="20"/>
                <w:lang w:val="en-US"/>
              </w:rPr>
            </w:pPr>
            <w:r w:rsidRPr="00927CF7">
              <w:rPr>
                <w:rFonts w:asciiTheme="minorHAnsi" w:hAnsiTheme="minorHAnsi" w:cs="Arial"/>
                <w:szCs w:val="20"/>
                <w:lang w:val="en-US"/>
              </w:rPr>
              <w:t>Codex Committee on Nutrition and Foods for Special Dietary Uses</w:t>
            </w:r>
            <w:r>
              <w:rPr>
                <w:rFonts w:asciiTheme="minorHAnsi" w:hAnsiTheme="minorHAnsi" w:cs="Arial"/>
                <w:szCs w:val="20"/>
                <w:lang w:val="en-US"/>
              </w:rPr>
              <w:t xml:space="preserve"> (CCNFSDU)</w:t>
            </w:r>
          </w:p>
        </w:tc>
        <w:tc>
          <w:tcPr>
            <w:tcW w:w="1134" w:type="dxa"/>
            <w:noWrap/>
          </w:tcPr>
          <w:p w:rsidR="00EA7F14" w:rsidRPr="00117572" w:rsidRDefault="00EA7F14" w:rsidP="006F7A43">
            <w:pPr>
              <w:spacing w:after="0"/>
              <w:jc w:val="right"/>
              <w:cnfStyle w:val="000000010000" w:firstRow="0" w:lastRow="0" w:firstColumn="0" w:lastColumn="0" w:oddVBand="0" w:evenVBand="0" w:oddHBand="0" w:evenHBand="1" w:firstRowFirstColumn="0" w:firstRowLastColumn="0" w:lastRowFirstColumn="0" w:lastRowLastColumn="0"/>
              <w:rPr>
                <w:rFonts w:asciiTheme="minorHAnsi" w:hAnsiTheme="minorHAnsi" w:cs="Arial"/>
                <w:szCs w:val="20"/>
              </w:rPr>
            </w:pPr>
            <w:r w:rsidRPr="006E0CCD">
              <w:t>28</w:t>
            </w:r>
          </w:p>
        </w:tc>
        <w:tc>
          <w:tcPr>
            <w:tcW w:w="1276" w:type="dxa"/>
            <w:noWrap/>
          </w:tcPr>
          <w:p w:rsidR="00EA7F14" w:rsidRPr="00117572" w:rsidRDefault="00EA7F14" w:rsidP="006F7A43">
            <w:pPr>
              <w:spacing w:after="0"/>
              <w:jc w:val="right"/>
              <w:cnfStyle w:val="000000010000" w:firstRow="0" w:lastRow="0" w:firstColumn="0" w:lastColumn="0" w:oddVBand="0" w:evenVBand="0" w:oddHBand="0" w:evenHBand="1" w:firstRowFirstColumn="0" w:firstRowLastColumn="0" w:lastRowFirstColumn="0" w:lastRowLastColumn="0"/>
              <w:rPr>
                <w:rFonts w:asciiTheme="minorHAnsi" w:hAnsiTheme="minorHAnsi" w:cs="Arial"/>
                <w:szCs w:val="20"/>
              </w:rPr>
            </w:pPr>
            <w:r w:rsidRPr="006E0CCD">
              <w:t>25</w:t>
            </w:r>
          </w:p>
        </w:tc>
        <w:tc>
          <w:tcPr>
            <w:tcW w:w="850" w:type="dxa"/>
            <w:noWrap/>
          </w:tcPr>
          <w:p w:rsidR="00EA7F14" w:rsidRPr="00117572" w:rsidRDefault="00EA7F14" w:rsidP="006F7A43">
            <w:pPr>
              <w:spacing w:after="0"/>
              <w:jc w:val="right"/>
              <w:cnfStyle w:val="000000010000" w:firstRow="0" w:lastRow="0" w:firstColumn="0" w:lastColumn="0" w:oddVBand="0" w:evenVBand="0" w:oddHBand="0" w:evenHBand="1" w:firstRowFirstColumn="0" w:firstRowLastColumn="0" w:lastRowFirstColumn="0" w:lastRowLastColumn="0"/>
              <w:rPr>
                <w:rFonts w:asciiTheme="minorHAnsi" w:hAnsiTheme="minorHAnsi" w:cs="Arial"/>
                <w:szCs w:val="20"/>
              </w:rPr>
            </w:pPr>
            <w:r w:rsidRPr="00117572">
              <w:rPr>
                <w:rFonts w:asciiTheme="minorHAnsi" w:hAnsiTheme="minorHAnsi" w:cs="Arial"/>
                <w:szCs w:val="20"/>
              </w:rPr>
              <w:t>53</w:t>
            </w:r>
          </w:p>
        </w:tc>
      </w:tr>
      <w:tr w:rsidR="00EA7F14" w:rsidRPr="0011757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5920" w:type="dxa"/>
            <w:noWrap/>
          </w:tcPr>
          <w:p w:rsidR="00EA7F14" w:rsidRPr="00927CF7" w:rsidRDefault="00EA7F14" w:rsidP="006F7A43">
            <w:pPr>
              <w:spacing w:after="0"/>
              <w:rPr>
                <w:rFonts w:asciiTheme="minorHAnsi" w:hAnsiTheme="minorHAnsi" w:cs="Arial"/>
                <w:szCs w:val="20"/>
                <w:lang w:val="en-US"/>
              </w:rPr>
            </w:pPr>
            <w:r w:rsidRPr="00927CF7">
              <w:rPr>
                <w:rFonts w:asciiTheme="minorHAnsi" w:hAnsiTheme="minorHAnsi" w:cs="Arial"/>
                <w:szCs w:val="20"/>
                <w:lang w:val="en-US"/>
              </w:rPr>
              <w:t>Codex Committee on Fish and Fishery Products</w:t>
            </w:r>
            <w:r>
              <w:rPr>
                <w:rFonts w:asciiTheme="minorHAnsi" w:hAnsiTheme="minorHAnsi" w:cs="Arial"/>
                <w:szCs w:val="20"/>
                <w:lang w:val="en-US"/>
              </w:rPr>
              <w:t xml:space="preserve"> (CCFFP)</w:t>
            </w:r>
          </w:p>
        </w:tc>
        <w:tc>
          <w:tcPr>
            <w:tcW w:w="1134" w:type="dxa"/>
            <w:noWrap/>
          </w:tcPr>
          <w:p w:rsidR="00EA7F14" w:rsidRPr="00117572" w:rsidRDefault="00EA7F14" w:rsidP="006F7A43">
            <w:pPr>
              <w:spacing w:after="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20"/>
              </w:rPr>
            </w:pPr>
            <w:r w:rsidRPr="006E0CCD">
              <w:t>24</w:t>
            </w:r>
          </w:p>
        </w:tc>
        <w:tc>
          <w:tcPr>
            <w:tcW w:w="1276" w:type="dxa"/>
            <w:noWrap/>
          </w:tcPr>
          <w:p w:rsidR="00EA7F14" w:rsidRPr="00117572" w:rsidRDefault="00EA7F14" w:rsidP="006F7A43">
            <w:pPr>
              <w:spacing w:after="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20"/>
              </w:rPr>
            </w:pPr>
            <w:r w:rsidRPr="006E0CCD">
              <w:t>26</w:t>
            </w:r>
          </w:p>
        </w:tc>
        <w:tc>
          <w:tcPr>
            <w:tcW w:w="850" w:type="dxa"/>
            <w:noWrap/>
          </w:tcPr>
          <w:p w:rsidR="00EA7F14" w:rsidRPr="00117572" w:rsidRDefault="00EA7F14" w:rsidP="006F7A43">
            <w:pPr>
              <w:spacing w:after="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20"/>
              </w:rPr>
            </w:pPr>
            <w:r w:rsidRPr="00117572">
              <w:rPr>
                <w:rFonts w:asciiTheme="minorHAnsi" w:hAnsiTheme="minorHAnsi" w:cs="Arial"/>
                <w:szCs w:val="20"/>
              </w:rPr>
              <w:t>50</w:t>
            </w:r>
          </w:p>
        </w:tc>
      </w:tr>
      <w:tr w:rsidR="00EA7F14" w:rsidRPr="00117572">
        <w:trPr>
          <w:cnfStyle w:val="000000010000" w:firstRow="0" w:lastRow="0" w:firstColumn="0" w:lastColumn="0" w:oddVBand="0" w:evenVBand="0" w:oddHBand="0" w:evenHBand="1"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5920" w:type="dxa"/>
            <w:noWrap/>
          </w:tcPr>
          <w:p w:rsidR="00EA7F14" w:rsidRPr="00927CF7" w:rsidRDefault="00EA7F14" w:rsidP="006F7A43">
            <w:pPr>
              <w:spacing w:after="0"/>
              <w:rPr>
                <w:rFonts w:asciiTheme="minorHAnsi" w:hAnsiTheme="minorHAnsi" w:cs="Arial"/>
                <w:szCs w:val="20"/>
                <w:lang w:val="en-US"/>
              </w:rPr>
            </w:pPr>
            <w:r w:rsidRPr="00927CF7">
              <w:rPr>
                <w:rFonts w:asciiTheme="minorHAnsi" w:hAnsiTheme="minorHAnsi" w:cs="Arial"/>
                <w:szCs w:val="20"/>
                <w:lang w:val="en-US"/>
              </w:rPr>
              <w:t>Codex Committee on Fresh Fruits and Vegetables</w:t>
            </w:r>
            <w:r>
              <w:rPr>
                <w:rFonts w:asciiTheme="minorHAnsi" w:hAnsiTheme="minorHAnsi" w:cs="Arial"/>
                <w:szCs w:val="20"/>
                <w:lang w:val="en-US"/>
              </w:rPr>
              <w:t xml:space="preserve"> (CCFFV)</w:t>
            </w:r>
          </w:p>
        </w:tc>
        <w:tc>
          <w:tcPr>
            <w:tcW w:w="1134" w:type="dxa"/>
            <w:noWrap/>
          </w:tcPr>
          <w:p w:rsidR="00EA7F14" w:rsidRPr="00117572" w:rsidRDefault="00EA7F14" w:rsidP="006F7A43">
            <w:pPr>
              <w:spacing w:after="0"/>
              <w:jc w:val="right"/>
              <w:cnfStyle w:val="000000010000" w:firstRow="0" w:lastRow="0" w:firstColumn="0" w:lastColumn="0" w:oddVBand="0" w:evenVBand="0" w:oddHBand="0" w:evenHBand="1" w:firstRowFirstColumn="0" w:firstRowLastColumn="0" w:lastRowFirstColumn="0" w:lastRowLastColumn="0"/>
              <w:rPr>
                <w:rFonts w:asciiTheme="minorHAnsi" w:hAnsiTheme="minorHAnsi" w:cs="Arial"/>
                <w:szCs w:val="20"/>
              </w:rPr>
            </w:pPr>
            <w:r w:rsidRPr="006E0CCD">
              <w:t>19</w:t>
            </w:r>
          </w:p>
        </w:tc>
        <w:tc>
          <w:tcPr>
            <w:tcW w:w="1276" w:type="dxa"/>
            <w:noWrap/>
          </w:tcPr>
          <w:p w:rsidR="00EA7F14" w:rsidRPr="00117572" w:rsidRDefault="00EA7F14" w:rsidP="006F7A43">
            <w:pPr>
              <w:spacing w:after="0"/>
              <w:jc w:val="right"/>
              <w:cnfStyle w:val="000000010000" w:firstRow="0" w:lastRow="0" w:firstColumn="0" w:lastColumn="0" w:oddVBand="0" w:evenVBand="0" w:oddHBand="0" w:evenHBand="1" w:firstRowFirstColumn="0" w:firstRowLastColumn="0" w:lastRowFirstColumn="0" w:lastRowLastColumn="0"/>
              <w:rPr>
                <w:rFonts w:asciiTheme="minorHAnsi" w:hAnsiTheme="minorHAnsi" w:cs="Arial"/>
                <w:szCs w:val="20"/>
              </w:rPr>
            </w:pPr>
            <w:r w:rsidRPr="006E0CCD">
              <w:t>22</w:t>
            </w:r>
          </w:p>
        </w:tc>
        <w:tc>
          <w:tcPr>
            <w:tcW w:w="850" w:type="dxa"/>
            <w:noWrap/>
          </w:tcPr>
          <w:p w:rsidR="00EA7F14" w:rsidRPr="00117572" w:rsidRDefault="00EA7F14" w:rsidP="006F7A43">
            <w:pPr>
              <w:spacing w:after="0"/>
              <w:jc w:val="right"/>
              <w:cnfStyle w:val="000000010000" w:firstRow="0" w:lastRow="0" w:firstColumn="0" w:lastColumn="0" w:oddVBand="0" w:evenVBand="0" w:oddHBand="0" w:evenHBand="1" w:firstRowFirstColumn="0" w:firstRowLastColumn="0" w:lastRowFirstColumn="0" w:lastRowLastColumn="0"/>
              <w:rPr>
                <w:rFonts w:asciiTheme="minorHAnsi" w:hAnsiTheme="minorHAnsi" w:cs="Arial"/>
                <w:szCs w:val="20"/>
              </w:rPr>
            </w:pPr>
            <w:r w:rsidRPr="00117572">
              <w:rPr>
                <w:rFonts w:asciiTheme="minorHAnsi" w:hAnsiTheme="minorHAnsi" w:cs="Arial"/>
                <w:szCs w:val="20"/>
              </w:rPr>
              <w:t>41</w:t>
            </w:r>
          </w:p>
        </w:tc>
      </w:tr>
    </w:tbl>
    <w:p w:rsidR="00D85203" w:rsidRDefault="00D85203">
      <w:pPr>
        <w:rPr>
          <w:lang w:val="en-GB"/>
        </w:rPr>
      </w:pPr>
    </w:p>
    <w:p w:rsidR="0065674A" w:rsidRDefault="006F7A43">
      <w:pPr>
        <w:rPr>
          <w:lang w:val="en-GB"/>
        </w:rPr>
      </w:pPr>
      <w:r>
        <w:rPr>
          <w:lang w:val="en-GB"/>
        </w:rPr>
        <w:t>Over the life of</w:t>
      </w:r>
      <w:r w:rsidR="00C915EC">
        <w:rPr>
          <w:lang w:val="en-GB"/>
        </w:rPr>
        <w:t xml:space="preserve"> the</w:t>
      </w:r>
      <w:r>
        <w:rPr>
          <w:lang w:val="en-GB"/>
        </w:rPr>
        <w:t xml:space="preserve"> CTF, total annual participation of developing countries in Codex committees increased from 1</w:t>
      </w:r>
      <w:r w:rsidR="00C915EC">
        <w:rPr>
          <w:lang w:val="en-GB"/>
        </w:rPr>
        <w:t>,</w:t>
      </w:r>
      <w:r>
        <w:rPr>
          <w:lang w:val="en-GB"/>
        </w:rPr>
        <w:t>044 in 2004 to 1</w:t>
      </w:r>
      <w:r w:rsidR="00C915EC">
        <w:rPr>
          <w:lang w:val="en-GB"/>
        </w:rPr>
        <w:t>,</w:t>
      </w:r>
      <w:r>
        <w:rPr>
          <w:lang w:val="en-GB"/>
        </w:rPr>
        <w:t>567 in 2009 or 50%, excluding regional committees to increase comparability between years.</w:t>
      </w:r>
      <w:r>
        <w:rPr>
          <w:rStyle w:val="FootnoteReference"/>
          <w:sz w:val="22"/>
          <w:lang w:val="en-GB"/>
        </w:rPr>
        <w:footnoteReference w:id="9"/>
      </w:r>
      <w:r>
        <w:rPr>
          <w:lang w:val="en-GB"/>
        </w:rPr>
        <w:t xml:space="preserve"> CTF funded representation represented 12.5% of the total over the period. Non-LDC participation increased by 28% over the same period and CTF funded participation represented </w:t>
      </w:r>
      <w:r w:rsidR="00FA7218">
        <w:rPr>
          <w:lang w:val="en-GB"/>
        </w:rPr>
        <w:t>8</w:t>
      </w:r>
      <w:r>
        <w:rPr>
          <w:lang w:val="en-GB"/>
        </w:rPr>
        <w:t>% of the total</w:t>
      </w:r>
      <w:r w:rsidR="00FA7218">
        <w:rPr>
          <w:lang w:val="en-GB"/>
        </w:rPr>
        <w:t xml:space="preserve"> for that group of countries</w:t>
      </w:r>
      <w:r>
        <w:rPr>
          <w:lang w:val="en-GB"/>
        </w:rPr>
        <w:t xml:space="preserve">. For LDCs </w:t>
      </w:r>
      <w:r w:rsidR="0019509D">
        <w:rPr>
          <w:lang w:val="en-GB"/>
        </w:rPr>
        <w:t>(i.e. group 1a</w:t>
      </w:r>
      <w:r w:rsidR="00EA7F14">
        <w:rPr>
          <w:lang w:val="en-GB"/>
        </w:rPr>
        <w:t xml:space="preserve"> here and in the rest of the report</w:t>
      </w:r>
      <w:r w:rsidR="0019509D">
        <w:rPr>
          <w:lang w:val="en-GB"/>
        </w:rPr>
        <w:t xml:space="preserve">) </w:t>
      </w:r>
      <w:r>
        <w:rPr>
          <w:lang w:val="en-GB"/>
        </w:rPr>
        <w:t>CTF funding is a much more important source of funding for participation</w:t>
      </w:r>
      <w:r w:rsidR="008E438D">
        <w:rPr>
          <w:lang w:val="en-GB"/>
        </w:rPr>
        <w:t xml:space="preserve"> than for non-LDCs</w:t>
      </w:r>
      <w:r>
        <w:rPr>
          <w:lang w:val="en-GB"/>
        </w:rPr>
        <w:t xml:space="preserve">. LDC participation in Codex committees increased from </w:t>
      </w:r>
      <w:r w:rsidR="00FA7218">
        <w:rPr>
          <w:lang w:val="en-GB"/>
        </w:rPr>
        <w:t>74</w:t>
      </w:r>
      <w:r>
        <w:rPr>
          <w:lang w:val="en-GB"/>
        </w:rPr>
        <w:t xml:space="preserve"> to </w:t>
      </w:r>
      <w:r w:rsidR="00FA7218">
        <w:rPr>
          <w:lang w:val="en-GB"/>
        </w:rPr>
        <w:t>292</w:t>
      </w:r>
      <w:r>
        <w:rPr>
          <w:lang w:val="en-GB"/>
        </w:rPr>
        <w:t xml:space="preserve"> between 2004 and 2009, a fourfold increase. </w:t>
      </w:r>
      <w:r w:rsidR="00AE227F">
        <w:rPr>
          <w:lang w:val="en-GB"/>
        </w:rPr>
        <w:fldChar w:fldCharType="begin"/>
      </w:r>
      <w:r w:rsidR="008E438D">
        <w:rPr>
          <w:lang w:val="en-GB"/>
        </w:rPr>
        <w:instrText xml:space="preserve"> REF _Ref256593591 \h </w:instrText>
      </w:r>
      <w:r w:rsidR="00AE227F">
        <w:rPr>
          <w:lang w:val="en-GB"/>
        </w:rPr>
      </w:r>
      <w:r w:rsidR="00AE227F">
        <w:rPr>
          <w:lang w:val="en-GB"/>
        </w:rPr>
        <w:fldChar w:fldCharType="separate"/>
      </w:r>
      <w:r w:rsidR="004F08A8" w:rsidRPr="001768A6">
        <w:rPr>
          <w:lang w:val="en-US"/>
        </w:rPr>
        <w:t xml:space="preserve">Diagram </w:t>
      </w:r>
      <w:r w:rsidR="004F08A8">
        <w:rPr>
          <w:noProof/>
          <w:lang w:val="en-US"/>
        </w:rPr>
        <w:t>6</w:t>
      </w:r>
      <w:r w:rsidR="00AE227F">
        <w:rPr>
          <w:lang w:val="en-GB"/>
        </w:rPr>
        <w:fldChar w:fldCharType="end"/>
      </w:r>
      <w:r w:rsidR="008E438D">
        <w:rPr>
          <w:lang w:val="en-GB"/>
        </w:rPr>
        <w:t xml:space="preserve"> </w:t>
      </w:r>
      <w:r>
        <w:rPr>
          <w:lang w:val="en-GB"/>
        </w:rPr>
        <w:t xml:space="preserve">below shows how CTF and non-CTF </w:t>
      </w:r>
      <w:r w:rsidR="00D9571F">
        <w:rPr>
          <w:lang w:val="en-GB"/>
        </w:rPr>
        <w:t xml:space="preserve">(national sources, other external support programmes, private sector etc) </w:t>
      </w:r>
      <w:r>
        <w:rPr>
          <w:lang w:val="en-GB"/>
        </w:rPr>
        <w:t xml:space="preserve">sponsored participation has evolved over the life-time of the CTF for LDCs, excluding regional committees. </w:t>
      </w:r>
      <w:r w:rsidR="0065674A">
        <w:rPr>
          <w:lang w:val="en-GB"/>
        </w:rPr>
        <w:t>Over that period CTF has funded 43% of total participation for LDC countries.</w:t>
      </w:r>
      <w:r w:rsidR="00FA7218">
        <w:rPr>
          <w:lang w:val="en-GB"/>
        </w:rPr>
        <w:t xml:space="preserve"> </w:t>
      </w:r>
      <w:r w:rsidR="0065674A" w:rsidRPr="00F11635">
        <w:rPr>
          <w:lang w:val="en-GB"/>
        </w:rPr>
        <w:t>There has been a consistent rise in funding from the CTF as well as from non-CTF sources; the share of CTF funding was the same in 2009 as in 2004.</w:t>
      </w:r>
      <w:r w:rsidR="00F11635" w:rsidRPr="00F11635">
        <w:rPr>
          <w:lang w:val="en-GB"/>
        </w:rPr>
        <w:t xml:space="preserve"> </w:t>
      </w:r>
      <w:r w:rsidRPr="00F11635">
        <w:rPr>
          <w:lang w:val="en-GB"/>
        </w:rPr>
        <w:t>The shares</w:t>
      </w:r>
      <w:r>
        <w:rPr>
          <w:lang w:val="en-GB"/>
        </w:rPr>
        <w:t xml:space="preserve"> of CTF funded participation for regional committees are slightly higher than the shares of the other meetings; 17% for all groups, </w:t>
      </w:r>
      <w:r w:rsidR="00FA7218">
        <w:rPr>
          <w:lang w:val="en-GB"/>
        </w:rPr>
        <w:t>12</w:t>
      </w:r>
      <w:r>
        <w:rPr>
          <w:lang w:val="en-GB"/>
        </w:rPr>
        <w:t xml:space="preserve">% for non-LDCs and </w:t>
      </w:r>
      <w:r w:rsidR="00FA7218">
        <w:rPr>
          <w:lang w:val="en-GB"/>
        </w:rPr>
        <w:t>45</w:t>
      </w:r>
      <w:r>
        <w:rPr>
          <w:lang w:val="en-GB"/>
        </w:rPr>
        <w:t>% for LDCs.</w:t>
      </w:r>
      <w:r w:rsidR="00B05308">
        <w:rPr>
          <w:lang w:val="en-GB"/>
        </w:rPr>
        <w:t xml:space="preserve"> </w:t>
      </w:r>
    </w:p>
    <w:p w:rsidR="001527DA" w:rsidRDefault="00AC249D">
      <w:pPr>
        <w:rPr>
          <w:lang w:val="en-GB"/>
        </w:rPr>
      </w:pPr>
      <w:r>
        <w:rPr>
          <w:lang w:val="en-GB"/>
        </w:rPr>
        <w:t xml:space="preserve">To exclude bias resulting from participation of individual countries, </w:t>
      </w:r>
      <w:r w:rsidR="00AE227F">
        <w:rPr>
          <w:lang w:val="en-GB"/>
        </w:rPr>
        <w:fldChar w:fldCharType="begin"/>
      </w:r>
      <w:r>
        <w:rPr>
          <w:lang w:val="en-GB"/>
        </w:rPr>
        <w:instrText xml:space="preserve"> REF _Ref259516718 \h </w:instrText>
      </w:r>
      <w:r w:rsidR="00AE227F">
        <w:rPr>
          <w:lang w:val="en-GB"/>
        </w:rPr>
      </w:r>
      <w:r w:rsidR="00AE227F">
        <w:rPr>
          <w:lang w:val="en-GB"/>
        </w:rPr>
        <w:fldChar w:fldCharType="separate"/>
      </w:r>
      <w:r w:rsidR="004F08A8" w:rsidRPr="004A584F">
        <w:rPr>
          <w:lang w:val="en-US"/>
        </w:rPr>
        <w:t xml:space="preserve">Diagram </w:t>
      </w:r>
      <w:r w:rsidR="004F08A8">
        <w:rPr>
          <w:noProof/>
          <w:lang w:val="en-US"/>
        </w:rPr>
        <w:t>7</w:t>
      </w:r>
      <w:r w:rsidR="00AE227F">
        <w:rPr>
          <w:lang w:val="en-GB"/>
        </w:rPr>
        <w:fldChar w:fldCharType="end"/>
      </w:r>
      <w:r>
        <w:rPr>
          <w:lang w:val="en-GB"/>
        </w:rPr>
        <w:t xml:space="preserve"> shows the number of LDCs that have participated in Codex meetings, yet again excluding regional committees. Both CTF and non-CTF funded participation has grown consistently over time, apart form a sudden peak of non-CTF funded participation in 2005. In 2009, 38 LDCs benefited from CTF funding and 35 LDCs financed participation from other sources, up from 21 and 12 respectively in 2004. </w:t>
      </w:r>
    </w:p>
    <w:p w:rsidR="00D85203" w:rsidRDefault="0065674A">
      <w:pPr>
        <w:rPr>
          <w:lang w:val="en-GB"/>
        </w:rPr>
      </w:pPr>
      <w:r w:rsidRPr="00AC249D">
        <w:rPr>
          <w:lang w:val="en-GB"/>
        </w:rPr>
        <w:t>Overall there has been a consistent rise in LDC participation in non-regional Codex meetings</w:t>
      </w:r>
      <w:r w:rsidR="005E22AD" w:rsidRPr="00AC249D">
        <w:rPr>
          <w:lang w:val="en-GB"/>
        </w:rPr>
        <w:t xml:space="preserve">, </w:t>
      </w:r>
      <w:r w:rsidR="004A584F" w:rsidRPr="004A584F">
        <w:rPr>
          <w:lang w:val="en-GB"/>
        </w:rPr>
        <w:t>partly fuelled by the CTF</w:t>
      </w:r>
      <w:r w:rsidR="005E22AD" w:rsidRPr="00AC249D">
        <w:rPr>
          <w:lang w:val="en-GB"/>
        </w:rPr>
        <w:t xml:space="preserve">. There is no systematic data on the reasons for increasing participation not funded by CTF and to which extent countries that benefit from the CTF also increasingly </w:t>
      </w:r>
      <w:r w:rsidR="007736C8">
        <w:rPr>
          <w:lang w:val="en-GB"/>
        </w:rPr>
        <w:t>fund participation from national or other external sources. However, it would not seem unlikely that the CTF has contributed to such a development</w:t>
      </w:r>
      <w:r w:rsidR="004A584F" w:rsidRPr="004A584F">
        <w:rPr>
          <w:lang w:val="en-GB"/>
        </w:rPr>
        <w:t>, together with other factors such as greater general awareness among countries and availability of support from non-CTF sources</w:t>
      </w:r>
      <w:r w:rsidR="00F11635" w:rsidRPr="00AC249D">
        <w:rPr>
          <w:lang w:val="en-GB"/>
        </w:rPr>
        <w:t xml:space="preserve">. </w:t>
      </w:r>
      <w:r w:rsidR="00AC249D" w:rsidRPr="00AC249D">
        <w:rPr>
          <w:lang w:val="en-GB"/>
        </w:rPr>
        <w:t>In any case there is evidence of a positive cycle of LDC participation in Codex</w:t>
      </w:r>
      <w:r w:rsidR="00AC249D">
        <w:rPr>
          <w:lang w:val="en-GB"/>
        </w:rPr>
        <w:t xml:space="preserve"> meetings, with growth in CTF funding being matched by increased funding from other sources. The conclusion is that the  CTF has greatly contributed to increased LDC participation, without crowding out other sources of funding.  </w:t>
      </w:r>
    </w:p>
    <w:p w:rsidR="006F7A43" w:rsidRPr="001768A6" w:rsidRDefault="006F7A43" w:rsidP="006F7A43">
      <w:pPr>
        <w:pStyle w:val="Caption"/>
        <w:keepNext/>
        <w:rPr>
          <w:lang w:val="en-US"/>
        </w:rPr>
      </w:pPr>
      <w:bookmarkStart w:id="64" w:name="_Ref256593591"/>
      <w:bookmarkStart w:id="65" w:name="_Toc260036734"/>
      <w:r w:rsidRPr="001768A6">
        <w:rPr>
          <w:lang w:val="en-US"/>
        </w:rPr>
        <w:lastRenderedPageBreak/>
        <w:t xml:space="preserve">Diagram </w:t>
      </w:r>
      <w:r w:rsidR="00AE227F">
        <w:fldChar w:fldCharType="begin"/>
      </w:r>
      <w:r w:rsidRPr="001768A6">
        <w:rPr>
          <w:lang w:val="en-US"/>
        </w:rPr>
        <w:instrText xml:space="preserve"> SEQ Diagram \* ARABIC </w:instrText>
      </w:r>
      <w:r w:rsidR="00AE227F">
        <w:fldChar w:fldCharType="separate"/>
      </w:r>
      <w:r w:rsidR="004F08A8">
        <w:rPr>
          <w:noProof/>
          <w:lang w:val="en-US"/>
        </w:rPr>
        <w:t>6</w:t>
      </w:r>
      <w:r w:rsidR="00AE227F">
        <w:fldChar w:fldCharType="end"/>
      </w:r>
      <w:bookmarkEnd w:id="64"/>
      <w:r w:rsidRPr="001768A6">
        <w:rPr>
          <w:lang w:val="en-US"/>
        </w:rPr>
        <w:t xml:space="preserve"> </w:t>
      </w:r>
      <w:r w:rsidR="001527DA">
        <w:rPr>
          <w:lang w:val="en-US"/>
        </w:rPr>
        <w:t xml:space="preserve">Number of participants from </w:t>
      </w:r>
      <w:r w:rsidRPr="001768A6">
        <w:rPr>
          <w:lang w:val="en-US"/>
        </w:rPr>
        <w:t>LDC</w:t>
      </w:r>
      <w:r w:rsidR="001527DA">
        <w:rPr>
          <w:lang w:val="en-US"/>
        </w:rPr>
        <w:t>s</w:t>
      </w:r>
      <w:r w:rsidRPr="001768A6">
        <w:rPr>
          <w:lang w:val="en-US"/>
        </w:rPr>
        <w:t xml:space="preserve"> in</w:t>
      </w:r>
      <w:r>
        <w:rPr>
          <w:lang w:val="en-US"/>
        </w:rPr>
        <w:t xml:space="preserve"> Codex committees by year and sources of funding, excluding regional committees</w:t>
      </w:r>
      <w:bookmarkEnd w:id="65"/>
    </w:p>
    <w:p w:rsidR="006F7A43" w:rsidRDefault="00F766E8" w:rsidP="006F7A43">
      <w:pPr>
        <w:keepNext/>
        <w:spacing w:after="0"/>
      </w:pPr>
      <w:r>
        <w:rPr>
          <w:noProof/>
          <w:lang w:val="en-GB" w:eastAsia="en-GB"/>
        </w:rPr>
        <w:drawing>
          <wp:inline distT="0" distB="0" distL="0" distR="0">
            <wp:extent cx="5694656" cy="2251494"/>
            <wp:effectExtent l="19050" t="0" r="20344" b="0"/>
            <wp:docPr id="7" name="Diagra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6F7A43" w:rsidRDefault="006F7A43" w:rsidP="006F7A43">
      <w:pPr>
        <w:spacing w:after="100" w:afterAutospacing="1"/>
        <w:rPr>
          <w:sz w:val="22"/>
          <w:lang w:val="en-GB"/>
        </w:rPr>
      </w:pPr>
    </w:p>
    <w:p w:rsidR="004A584F" w:rsidRPr="004A584F" w:rsidRDefault="004A584F" w:rsidP="004A584F">
      <w:pPr>
        <w:pStyle w:val="Caption"/>
        <w:keepNext/>
        <w:rPr>
          <w:lang w:val="en-US"/>
        </w:rPr>
      </w:pPr>
      <w:bookmarkStart w:id="66" w:name="_Ref259516718"/>
      <w:bookmarkStart w:id="67" w:name="_Toc260036735"/>
      <w:r w:rsidRPr="004A584F">
        <w:rPr>
          <w:lang w:val="en-US"/>
        </w:rPr>
        <w:t xml:space="preserve">Diagram </w:t>
      </w:r>
      <w:r w:rsidR="00AE227F">
        <w:fldChar w:fldCharType="begin"/>
      </w:r>
      <w:r w:rsidRPr="004A584F">
        <w:rPr>
          <w:lang w:val="en-US"/>
        </w:rPr>
        <w:instrText xml:space="preserve"> SEQ Diagram \* ARABIC </w:instrText>
      </w:r>
      <w:r w:rsidR="00AE227F">
        <w:fldChar w:fldCharType="separate"/>
      </w:r>
      <w:r w:rsidR="004F08A8">
        <w:rPr>
          <w:noProof/>
          <w:lang w:val="en-US"/>
        </w:rPr>
        <w:t>7</w:t>
      </w:r>
      <w:r w:rsidR="00AE227F">
        <w:fldChar w:fldCharType="end"/>
      </w:r>
      <w:bookmarkEnd w:id="66"/>
      <w:r w:rsidRPr="004A584F">
        <w:rPr>
          <w:lang w:val="en-US"/>
        </w:rPr>
        <w:t xml:space="preserve"> Number of LDC countries participating in Codex </w:t>
      </w:r>
      <w:r w:rsidR="001527DA">
        <w:rPr>
          <w:lang w:val="en-US"/>
        </w:rPr>
        <w:t>committees</w:t>
      </w:r>
      <w:r w:rsidRPr="004A584F">
        <w:rPr>
          <w:lang w:val="en-US"/>
        </w:rPr>
        <w:t xml:space="preserve"> </w:t>
      </w:r>
      <w:r w:rsidR="001527DA">
        <w:rPr>
          <w:lang w:val="en-US"/>
        </w:rPr>
        <w:t>by year and sources of funding, excluding regional committees</w:t>
      </w:r>
      <w:bookmarkEnd w:id="67"/>
    </w:p>
    <w:p w:rsidR="001527DA" w:rsidRDefault="00F766E8">
      <w:pPr>
        <w:rPr>
          <w:lang w:val="en-GB"/>
        </w:rPr>
      </w:pPr>
      <w:r>
        <w:rPr>
          <w:noProof/>
          <w:lang w:val="en-GB" w:eastAsia="en-GB"/>
        </w:rPr>
        <w:drawing>
          <wp:inline distT="0" distB="0" distL="0" distR="0">
            <wp:extent cx="5697196" cy="2092409"/>
            <wp:effectExtent l="19050" t="0" r="17804" b="3091"/>
            <wp:docPr id="8" name="Diagram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1C6613" w:rsidRDefault="001C6613" w:rsidP="001C6613">
      <w:pPr>
        <w:rPr>
          <w:lang w:val="en-GB"/>
        </w:rPr>
      </w:pPr>
    </w:p>
    <w:p w:rsidR="00D85203" w:rsidRDefault="00332D84" w:rsidP="001C6613">
      <w:pPr>
        <w:pStyle w:val="Caption"/>
        <w:keepNext/>
        <w:rPr>
          <w:lang w:val="en-US"/>
        </w:rPr>
      </w:pPr>
      <w:bookmarkStart w:id="68" w:name="_Ref256595747"/>
      <w:bookmarkStart w:id="69" w:name="_Toc260036739"/>
      <w:r w:rsidRPr="00332D84">
        <w:rPr>
          <w:lang w:val="en-US"/>
        </w:rPr>
        <w:t xml:space="preserve">Table </w:t>
      </w:r>
      <w:r w:rsidR="00AE227F">
        <w:fldChar w:fldCharType="begin"/>
      </w:r>
      <w:r w:rsidRPr="00332D84">
        <w:rPr>
          <w:lang w:val="en-US"/>
        </w:rPr>
        <w:instrText xml:space="preserve"> SEQ Table \* ARABIC </w:instrText>
      </w:r>
      <w:r w:rsidR="00AE227F">
        <w:fldChar w:fldCharType="separate"/>
      </w:r>
      <w:r w:rsidR="004F08A8">
        <w:rPr>
          <w:noProof/>
          <w:lang w:val="en-US"/>
        </w:rPr>
        <w:t>4</w:t>
      </w:r>
      <w:r w:rsidR="00AE227F">
        <w:fldChar w:fldCharType="end"/>
      </w:r>
      <w:bookmarkEnd w:id="68"/>
      <w:r w:rsidRPr="00332D84">
        <w:rPr>
          <w:lang w:val="en-US"/>
        </w:rPr>
        <w:t xml:space="preserve"> </w:t>
      </w:r>
      <w:r w:rsidR="00215CBE" w:rsidRPr="00215CBE">
        <w:rPr>
          <w:lang w:val="en-US"/>
        </w:rPr>
        <w:t>Countries that had graduated from the CTF by 2009</w:t>
      </w:r>
      <w:bookmarkEnd w:id="69"/>
    </w:p>
    <w:tbl>
      <w:tblPr>
        <w:tblStyle w:val="MediumGrid3-Accent1"/>
        <w:tblW w:w="9060" w:type="dxa"/>
        <w:tblLook w:val="04A0" w:firstRow="1" w:lastRow="0" w:firstColumn="1" w:lastColumn="0" w:noHBand="0" w:noVBand="1"/>
      </w:tblPr>
      <w:tblGrid>
        <w:gridCol w:w="2720"/>
        <w:gridCol w:w="6340"/>
      </w:tblGrid>
      <w:tr w:rsidR="006F7A43" w:rsidRPr="00117572">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20" w:type="dxa"/>
          </w:tcPr>
          <w:p w:rsidR="00E4655B" w:rsidRDefault="006F7A43" w:rsidP="00D97A3A">
            <w:pPr>
              <w:keepNext/>
              <w:spacing w:after="0"/>
              <w:jc w:val="center"/>
              <w:rPr>
                <w:rFonts w:asciiTheme="minorHAnsi" w:hAnsiTheme="minorHAnsi"/>
                <w:b w:val="0"/>
                <w:bCs w:val="0"/>
                <w:color w:val="auto"/>
                <w:sz w:val="24"/>
                <w:lang w:val="en-US"/>
              </w:rPr>
            </w:pPr>
            <w:r w:rsidRPr="00117572">
              <w:rPr>
                <w:rFonts w:asciiTheme="minorHAnsi" w:hAnsiTheme="minorHAnsi"/>
                <w:lang w:val="en-US"/>
              </w:rPr>
              <w:t>First year without CTF funding</w:t>
            </w:r>
          </w:p>
        </w:tc>
        <w:tc>
          <w:tcPr>
            <w:tcW w:w="6340" w:type="dxa"/>
          </w:tcPr>
          <w:p w:rsidR="00E4655B" w:rsidRDefault="006F7A43" w:rsidP="00D97A3A">
            <w:pPr>
              <w:keepNext/>
              <w:spacing w:after="0"/>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color w:val="auto"/>
                <w:sz w:val="24"/>
                <w:lang w:val="en-US"/>
              </w:rPr>
            </w:pPr>
            <w:r w:rsidRPr="00117572">
              <w:rPr>
                <w:rFonts w:asciiTheme="minorHAnsi" w:hAnsiTheme="minorHAnsi"/>
                <w:lang w:val="en-US"/>
              </w:rPr>
              <w:t>Countries (initial group)</w:t>
            </w:r>
          </w:p>
        </w:tc>
      </w:tr>
      <w:tr w:rsidR="006F7A43" w:rsidRPr="00B75C6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20" w:type="dxa"/>
          </w:tcPr>
          <w:p w:rsidR="00E4655B" w:rsidRDefault="006F7A43" w:rsidP="00D97A3A">
            <w:pPr>
              <w:keepNext/>
              <w:spacing w:after="0"/>
              <w:jc w:val="center"/>
              <w:rPr>
                <w:rFonts w:asciiTheme="minorHAnsi" w:hAnsiTheme="minorHAnsi"/>
                <w:bCs w:val="0"/>
                <w:sz w:val="24"/>
              </w:rPr>
            </w:pPr>
            <w:r w:rsidRPr="00117572">
              <w:rPr>
                <w:rFonts w:asciiTheme="minorHAnsi" w:hAnsiTheme="minorHAnsi"/>
              </w:rPr>
              <w:t>2010</w:t>
            </w:r>
          </w:p>
        </w:tc>
        <w:tc>
          <w:tcPr>
            <w:tcW w:w="6340" w:type="dxa"/>
          </w:tcPr>
          <w:p w:rsidR="00E4655B" w:rsidRDefault="006F7A43" w:rsidP="00D97A3A">
            <w:pPr>
              <w:keepNext/>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sz w:val="24"/>
                <w:lang w:val="en-US"/>
              </w:rPr>
            </w:pPr>
            <w:r w:rsidRPr="00117572">
              <w:rPr>
                <w:rFonts w:asciiTheme="minorHAnsi" w:hAnsiTheme="minorHAnsi"/>
                <w:lang w:val="en-US"/>
              </w:rPr>
              <w:t>Egypt (2), Guyana (2), Honduras (2), Jamaica (2), Philippines (2), Syrian Arab Republic (2), Cook Islands (2)</w:t>
            </w:r>
          </w:p>
        </w:tc>
      </w:tr>
      <w:tr w:rsidR="006F7A43" w:rsidRPr="00B75C62">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20" w:type="dxa"/>
          </w:tcPr>
          <w:p w:rsidR="00E4655B" w:rsidRDefault="006F7A43" w:rsidP="00D97A3A">
            <w:pPr>
              <w:keepNext/>
              <w:spacing w:after="0"/>
              <w:jc w:val="center"/>
              <w:rPr>
                <w:rFonts w:asciiTheme="minorHAnsi" w:hAnsiTheme="minorHAnsi"/>
                <w:bCs w:val="0"/>
                <w:sz w:val="24"/>
              </w:rPr>
            </w:pPr>
            <w:r w:rsidRPr="00117572">
              <w:rPr>
                <w:rFonts w:asciiTheme="minorHAnsi" w:hAnsiTheme="minorHAnsi"/>
              </w:rPr>
              <w:t>2009</w:t>
            </w:r>
          </w:p>
        </w:tc>
        <w:tc>
          <w:tcPr>
            <w:tcW w:w="6340" w:type="dxa"/>
          </w:tcPr>
          <w:p w:rsidR="00E4655B" w:rsidRDefault="006F7A43" w:rsidP="00D97A3A">
            <w:pPr>
              <w:keepNext/>
              <w:spacing w:after="0"/>
              <w:cnfStyle w:val="000000010000" w:firstRow="0" w:lastRow="0" w:firstColumn="0" w:lastColumn="0" w:oddVBand="0" w:evenVBand="0" w:oddHBand="0" w:evenHBand="1" w:firstRowFirstColumn="0" w:firstRowLastColumn="0" w:lastRowFirstColumn="0" w:lastRowLastColumn="0"/>
              <w:rPr>
                <w:rFonts w:asciiTheme="minorHAnsi" w:hAnsiTheme="minorHAnsi"/>
                <w:sz w:val="24"/>
                <w:lang w:val="es-ES"/>
              </w:rPr>
            </w:pPr>
            <w:r w:rsidRPr="00117572">
              <w:rPr>
                <w:rFonts w:asciiTheme="minorHAnsi" w:hAnsiTheme="minorHAnsi"/>
                <w:lang w:val="es-ES"/>
              </w:rPr>
              <w:t>Bolivia (2), Colombia (2), Croatia (3b), Cuba (2), Dominican Republic (2), Ecuador (2), El Salvador (2), Guatemala (2), Iran (2), Morocco (2), Paraguay (2), Peru (2), Tunisia (2)</w:t>
            </w:r>
          </w:p>
        </w:tc>
      </w:tr>
      <w:tr w:rsidR="006F7A43" w:rsidRPr="0011757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20" w:type="dxa"/>
          </w:tcPr>
          <w:p w:rsidR="00E4655B" w:rsidRDefault="006F7A43" w:rsidP="00D97A3A">
            <w:pPr>
              <w:keepNext/>
              <w:spacing w:after="0"/>
              <w:jc w:val="center"/>
              <w:rPr>
                <w:rFonts w:asciiTheme="minorHAnsi" w:hAnsiTheme="minorHAnsi"/>
                <w:bCs w:val="0"/>
                <w:sz w:val="24"/>
              </w:rPr>
            </w:pPr>
            <w:r w:rsidRPr="00117572">
              <w:rPr>
                <w:rFonts w:asciiTheme="minorHAnsi" w:hAnsiTheme="minorHAnsi"/>
              </w:rPr>
              <w:t>2008</w:t>
            </w:r>
          </w:p>
        </w:tc>
        <w:tc>
          <w:tcPr>
            <w:tcW w:w="6340" w:type="dxa"/>
          </w:tcPr>
          <w:p w:rsidR="00E4655B" w:rsidRDefault="006F7A43" w:rsidP="00D97A3A">
            <w:pPr>
              <w:keepNext/>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sz w:val="24"/>
                <w:lang w:val="es-ES"/>
              </w:rPr>
            </w:pPr>
            <w:r w:rsidRPr="00117572">
              <w:rPr>
                <w:rFonts w:asciiTheme="minorHAnsi" w:hAnsiTheme="minorHAnsi"/>
                <w:lang w:val="es-ES"/>
              </w:rPr>
              <w:t>Antigua and Barbuda (3a), Argentina (3b), Chile (3b), Mexico (3b), Seychelles (3b), Uruguay (3b)</w:t>
            </w:r>
          </w:p>
        </w:tc>
      </w:tr>
      <w:tr w:rsidR="006F7A43" w:rsidRPr="00B75C62">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20" w:type="dxa"/>
          </w:tcPr>
          <w:p w:rsidR="00E4655B" w:rsidRDefault="006F7A43" w:rsidP="00D97A3A">
            <w:pPr>
              <w:keepNext/>
              <w:spacing w:after="0"/>
              <w:jc w:val="center"/>
              <w:rPr>
                <w:rFonts w:asciiTheme="minorHAnsi" w:hAnsiTheme="minorHAnsi"/>
                <w:bCs w:val="0"/>
                <w:sz w:val="24"/>
              </w:rPr>
            </w:pPr>
            <w:r w:rsidRPr="00117572">
              <w:rPr>
                <w:rFonts w:asciiTheme="minorHAnsi" w:hAnsiTheme="minorHAnsi"/>
              </w:rPr>
              <w:t>2007</w:t>
            </w:r>
          </w:p>
        </w:tc>
        <w:tc>
          <w:tcPr>
            <w:tcW w:w="6340" w:type="dxa"/>
          </w:tcPr>
          <w:p w:rsidR="00E4655B" w:rsidRDefault="006F7A43" w:rsidP="00D97A3A">
            <w:pPr>
              <w:keepNext/>
              <w:spacing w:after="0"/>
              <w:cnfStyle w:val="000000010000" w:firstRow="0" w:lastRow="0" w:firstColumn="0" w:lastColumn="0" w:oddVBand="0" w:evenVBand="0" w:oddHBand="0" w:evenHBand="1" w:firstRowFirstColumn="0" w:firstRowLastColumn="0" w:lastRowFirstColumn="0" w:lastRowLastColumn="0"/>
              <w:rPr>
                <w:rFonts w:asciiTheme="minorHAnsi" w:hAnsiTheme="minorHAnsi"/>
                <w:sz w:val="24"/>
                <w:lang w:val="es-ES"/>
              </w:rPr>
            </w:pPr>
            <w:r w:rsidRPr="00117572">
              <w:rPr>
                <w:rFonts w:asciiTheme="minorHAnsi" w:hAnsiTheme="minorHAnsi"/>
                <w:lang w:val="es-ES"/>
              </w:rPr>
              <w:t>Costa Rica (3b), Lithuania (3b), Panama (3a), Poland (3b)</w:t>
            </w:r>
          </w:p>
        </w:tc>
      </w:tr>
      <w:tr w:rsidR="006F7A43" w:rsidRPr="0011757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20" w:type="dxa"/>
          </w:tcPr>
          <w:p w:rsidR="00E4655B" w:rsidRDefault="006F7A43" w:rsidP="00D97A3A">
            <w:pPr>
              <w:keepNext/>
              <w:spacing w:after="0"/>
              <w:jc w:val="center"/>
              <w:rPr>
                <w:rFonts w:asciiTheme="minorHAnsi" w:hAnsiTheme="minorHAnsi"/>
                <w:bCs w:val="0"/>
                <w:sz w:val="24"/>
                <w:lang w:val="en-US"/>
              </w:rPr>
            </w:pPr>
            <w:r w:rsidRPr="00117572">
              <w:rPr>
                <w:rFonts w:asciiTheme="minorHAnsi" w:hAnsiTheme="minorHAnsi"/>
                <w:lang w:val="en-US"/>
              </w:rPr>
              <w:t>Total number of graduated countries</w:t>
            </w:r>
          </w:p>
        </w:tc>
        <w:tc>
          <w:tcPr>
            <w:tcW w:w="6340" w:type="dxa"/>
          </w:tcPr>
          <w:p w:rsidR="00E4655B" w:rsidRDefault="006F7A43" w:rsidP="00D97A3A">
            <w:pPr>
              <w:keepNext/>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4"/>
              </w:rPr>
            </w:pPr>
            <w:r w:rsidRPr="00117572">
              <w:rPr>
                <w:rFonts w:asciiTheme="minorHAnsi" w:hAnsiTheme="minorHAnsi"/>
              </w:rPr>
              <w:t>30</w:t>
            </w:r>
          </w:p>
        </w:tc>
      </w:tr>
    </w:tbl>
    <w:p w:rsidR="006F7A43" w:rsidRDefault="006F7A43" w:rsidP="00D97A3A">
      <w:pPr>
        <w:spacing w:after="0"/>
        <w:rPr>
          <w:sz w:val="22"/>
          <w:lang w:val="en-GB"/>
        </w:rPr>
      </w:pPr>
    </w:p>
    <w:p w:rsidR="00D97A3A" w:rsidRDefault="00D97A3A" w:rsidP="00D97A3A">
      <w:pPr>
        <w:pStyle w:val="Heading2"/>
        <w:rPr>
          <w:lang w:val="en-GB"/>
        </w:rPr>
      </w:pPr>
      <w:bookmarkStart w:id="70" w:name="_Toc260389729"/>
      <w:r>
        <w:rPr>
          <w:lang w:val="en-GB"/>
        </w:rPr>
        <w:lastRenderedPageBreak/>
        <w:t>Continuity of participation</w:t>
      </w:r>
      <w:bookmarkEnd w:id="70"/>
    </w:p>
    <w:p w:rsidR="00027A1C" w:rsidRDefault="00D97A3A">
      <w:pPr>
        <w:rPr>
          <w:lang w:val="en-GB"/>
        </w:rPr>
      </w:pPr>
      <w:r>
        <w:rPr>
          <w:lang w:val="en-GB"/>
        </w:rPr>
        <w:t>23 countries had graduated completely from the CTF by 2009, (</w:t>
      </w:r>
      <w:r w:rsidR="000829F6">
        <w:fldChar w:fldCharType="begin"/>
      </w:r>
      <w:r w:rsidR="000829F6">
        <w:instrText xml:space="preserve"> REF _Ref256595747 \h  \* MERGEFORMAT </w:instrText>
      </w:r>
      <w:r w:rsidR="000829F6">
        <w:fldChar w:fldCharType="separate"/>
      </w:r>
      <w:r w:rsidRPr="00332D84">
        <w:rPr>
          <w:lang w:val="en-US"/>
        </w:rPr>
        <w:t xml:space="preserve">Table </w:t>
      </w:r>
      <w:r>
        <w:rPr>
          <w:lang w:val="en-US"/>
        </w:rPr>
        <w:t>4</w:t>
      </w:r>
      <w:r w:rsidR="000829F6">
        <w:fldChar w:fldCharType="end"/>
      </w:r>
      <w:r>
        <w:rPr>
          <w:lang w:val="en-GB"/>
        </w:rPr>
        <w:t xml:space="preserve">), so it is possible to analyse what happened to overall participation of these countries. One approach is to follow non-CTF funded participation over time. </w:t>
      </w:r>
      <w:r w:rsidR="00AE227F">
        <w:rPr>
          <w:lang w:val="en-GB"/>
        </w:rPr>
        <w:fldChar w:fldCharType="begin"/>
      </w:r>
      <w:r>
        <w:rPr>
          <w:lang w:val="en-GB"/>
        </w:rPr>
        <w:instrText xml:space="preserve"> REF _Ref256596367 \h </w:instrText>
      </w:r>
      <w:r w:rsidR="00AE227F">
        <w:rPr>
          <w:lang w:val="en-GB"/>
        </w:rPr>
      </w:r>
      <w:r w:rsidR="00AE227F">
        <w:rPr>
          <w:lang w:val="en-GB"/>
        </w:rPr>
        <w:fldChar w:fldCharType="separate"/>
      </w:r>
      <w:r w:rsidRPr="00332D84">
        <w:rPr>
          <w:lang w:val="en-US"/>
        </w:rPr>
        <w:t xml:space="preserve">Table </w:t>
      </w:r>
      <w:r>
        <w:rPr>
          <w:noProof/>
          <w:lang w:val="en-US"/>
        </w:rPr>
        <w:t>5</w:t>
      </w:r>
      <w:r w:rsidR="00AE227F">
        <w:rPr>
          <w:lang w:val="en-GB"/>
        </w:rPr>
        <w:fldChar w:fldCharType="end"/>
      </w:r>
      <w:r>
        <w:rPr>
          <w:lang w:val="en-GB"/>
        </w:rPr>
        <w:t xml:space="preserve"> does that, excluding regional committees to allow for better comparison over time. Twelve of the countries can be considered to have consistent participation with a history of regularly funding participants from non-CTF sources. </w:t>
      </w:r>
    </w:p>
    <w:p w:rsidR="00D97A3A" w:rsidRDefault="00D97A3A">
      <w:pPr>
        <w:rPr>
          <w:lang w:val="en-US"/>
        </w:rPr>
      </w:pPr>
      <w:r>
        <w:rPr>
          <w:lang w:val="en-GB"/>
        </w:rPr>
        <w:t xml:space="preserve">In the cases of Colombia, Croatia, Panama, Paraguay and Uruguay, non-CTF funded participation increased markedly after graduation. </w:t>
      </w:r>
      <w:r w:rsidRPr="003E16F6">
        <w:rPr>
          <w:lang w:val="en-US"/>
        </w:rPr>
        <w:t>Bolivia, Ecuador, El Salvador and Lithuania continue to fund limited participation from non-CT</w:t>
      </w:r>
      <w:r>
        <w:rPr>
          <w:lang w:val="en-US"/>
        </w:rPr>
        <w:t>F sources, but overall participation declined with graduation. Antigua and Barbuda did not participate at all in Codex work in 2008 and 2009, while the Seychelles did not participate in 2007 and 2008, but funded one participant in 2009 outside CTF in addition to one participant with CTF funds.</w:t>
      </w:r>
      <w:r>
        <w:rPr>
          <w:rStyle w:val="FootnoteReference"/>
          <w:sz w:val="22"/>
          <w:lang w:val="en-US"/>
        </w:rPr>
        <w:footnoteReference w:id="10"/>
      </w:r>
      <w:r>
        <w:rPr>
          <w:lang w:val="en-US"/>
        </w:rPr>
        <w:t xml:space="preserve"> Not surprisingly small economies and island states seem to have more difficulties in funding participation from other sources. At the time of writing, no LDCs and low-income countries have graduated.</w:t>
      </w:r>
    </w:p>
    <w:p w:rsidR="00027A1C" w:rsidRDefault="006F7A43">
      <w:pPr>
        <w:rPr>
          <w:lang w:val="en-US"/>
        </w:rPr>
      </w:pPr>
      <w:r w:rsidRPr="00B554A6">
        <w:rPr>
          <w:lang w:val="en-US"/>
        </w:rPr>
        <w:t>However, in 2009 the first LD</w:t>
      </w:r>
      <w:r>
        <w:rPr>
          <w:lang w:val="en-US"/>
        </w:rPr>
        <w:t>C</w:t>
      </w:r>
      <w:r w:rsidRPr="00B554A6">
        <w:rPr>
          <w:lang w:val="en-US"/>
        </w:rPr>
        <w:t>s reached matched fu</w:t>
      </w:r>
      <w:r>
        <w:rPr>
          <w:lang w:val="en-US"/>
        </w:rPr>
        <w:t xml:space="preserve">nding status, </w:t>
      </w:r>
      <w:r w:rsidR="00CF0FCF">
        <w:rPr>
          <w:lang w:val="en-US"/>
        </w:rPr>
        <w:t xml:space="preserve">which means they either had to match the funding provided by the CTF or face a reduction in the number of participants funded by the CTF. Consequently </w:t>
      </w:r>
      <w:r>
        <w:rPr>
          <w:lang w:val="en-US"/>
        </w:rPr>
        <w:t xml:space="preserve">it is possible to analyze what happened to the participation of this group of countries, before and after matched funding was required. </w:t>
      </w:r>
      <w:r w:rsidR="00AE227F">
        <w:rPr>
          <w:lang w:val="en-US"/>
        </w:rPr>
        <w:fldChar w:fldCharType="begin"/>
      </w:r>
      <w:r w:rsidR="00CF0FCF">
        <w:rPr>
          <w:lang w:val="en-US"/>
        </w:rPr>
        <w:instrText xml:space="preserve"> REF _Ref256597101 \h </w:instrText>
      </w:r>
      <w:r w:rsidR="00AE227F">
        <w:rPr>
          <w:lang w:val="en-US"/>
        </w:rPr>
      </w:r>
      <w:r w:rsidR="00AE227F">
        <w:rPr>
          <w:lang w:val="en-US"/>
        </w:rPr>
        <w:fldChar w:fldCharType="separate"/>
      </w:r>
      <w:r w:rsidR="004F08A8" w:rsidRPr="00332D84">
        <w:rPr>
          <w:lang w:val="en-US"/>
        </w:rPr>
        <w:t xml:space="preserve">Table </w:t>
      </w:r>
      <w:r w:rsidR="004F08A8">
        <w:rPr>
          <w:noProof/>
          <w:lang w:val="en-US"/>
        </w:rPr>
        <w:t>6</w:t>
      </w:r>
      <w:r w:rsidR="00AE227F">
        <w:rPr>
          <w:lang w:val="en-US"/>
        </w:rPr>
        <w:fldChar w:fldCharType="end"/>
      </w:r>
      <w:r w:rsidR="00CF0FCF">
        <w:rPr>
          <w:lang w:val="en-US"/>
        </w:rPr>
        <w:t xml:space="preserve"> </w:t>
      </w:r>
      <w:r>
        <w:rPr>
          <w:lang w:val="en-US"/>
        </w:rPr>
        <w:t>shows participation funded by non-CTF sources for countries in groups 1a, 1b and 2 for the years 2008, last year without matched funding, and 2009, the first year with matched funding requirements</w:t>
      </w:r>
      <w:r w:rsidR="00D1457E">
        <w:rPr>
          <w:lang w:val="en-US"/>
        </w:rPr>
        <w:t>, again excluding regional committees</w:t>
      </w:r>
      <w:r>
        <w:rPr>
          <w:lang w:val="en-US"/>
        </w:rPr>
        <w:t xml:space="preserve">. </w:t>
      </w:r>
    </w:p>
    <w:p w:rsidR="00D85203" w:rsidRDefault="006F7A43">
      <w:pPr>
        <w:rPr>
          <w:lang w:val="en-US"/>
        </w:rPr>
      </w:pPr>
      <w:r>
        <w:rPr>
          <w:lang w:val="en-US"/>
        </w:rPr>
        <w:t>Laos, Nepal and the Solomon Islands in group 1a and Albania in group 2 did not provide any non-CTF funding, while Vanuatu in group 1a and Nicaragua in group 1b only funded one participant each from non-CTF sources. For Niger, Samoa</w:t>
      </w:r>
      <w:r w:rsidRPr="00024415">
        <w:rPr>
          <w:lang w:val="en-US"/>
        </w:rPr>
        <w:t xml:space="preserve"> </w:t>
      </w:r>
      <w:r>
        <w:rPr>
          <w:lang w:val="en-US"/>
        </w:rPr>
        <w:t>and to some extent Bhutan in group 1a and Mongolia, Papua New Guinea and Zimbabwe in group 1b there is a marked increase in non-CTF funding for 2009</w:t>
      </w:r>
      <w:r w:rsidR="00CF0FCF">
        <w:rPr>
          <w:lang w:val="en-US"/>
        </w:rPr>
        <w:t xml:space="preserve"> compared to 2008</w:t>
      </w:r>
      <w:r>
        <w:rPr>
          <w:lang w:val="en-US"/>
        </w:rPr>
        <w:t>. Togo also financ</w:t>
      </w:r>
      <w:r w:rsidR="00D1457E">
        <w:rPr>
          <w:lang w:val="en-US"/>
        </w:rPr>
        <w:t>ed</w:t>
      </w:r>
      <w:r>
        <w:rPr>
          <w:lang w:val="en-US"/>
        </w:rPr>
        <w:t xml:space="preserve"> two participants to CCAFRICA from non-CTF sources, which does not show in the table.  </w:t>
      </w:r>
    </w:p>
    <w:p w:rsidR="00027A1C" w:rsidRDefault="00D97A3A" w:rsidP="00D97A3A">
      <w:pPr>
        <w:rPr>
          <w:lang w:val="en-US"/>
        </w:rPr>
      </w:pPr>
      <w:r>
        <w:rPr>
          <w:lang w:val="en-US"/>
        </w:rPr>
        <w:t xml:space="preserve">In the survey, CCPs were asked about national </w:t>
      </w:r>
      <w:r w:rsidRPr="00221282">
        <w:rPr>
          <w:lang w:val="en-US"/>
        </w:rPr>
        <w:t>plans for Codex meeting participation in coming years</w:t>
      </w:r>
      <w:r>
        <w:rPr>
          <w:lang w:val="en-US"/>
        </w:rPr>
        <w:t xml:space="preserve"> and h</w:t>
      </w:r>
      <w:r w:rsidRPr="00221282">
        <w:rPr>
          <w:lang w:val="en-US"/>
        </w:rPr>
        <w:t xml:space="preserve">ow </w:t>
      </w:r>
      <w:r>
        <w:rPr>
          <w:lang w:val="en-US"/>
        </w:rPr>
        <w:t xml:space="preserve">those plans were going to be financed. The general picture is that there is a real awareness about the need to seek financing for participation outside the CTF, in general with national resources, the private sector or other donor programmes. Few responses linked participation only to the availability of CTF funding. </w:t>
      </w:r>
    </w:p>
    <w:p w:rsidR="00D97A3A" w:rsidRDefault="00D97A3A" w:rsidP="00D97A3A">
      <w:pPr>
        <w:rPr>
          <w:lang w:val="en-US"/>
        </w:rPr>
      </w:pPr>
      <w:r>
        <w:rPr>
          <w:lang w:val="en-US"/>
        </w:rPr>
        <w:t>The need to lobby decision-makers or central authorities for funds is a recurrent theme in the responses. After graduations, the likelihood of no or low physical participation is expressed to a higher degree by LDCs, small low-income economies and small island states, confirming the analysis above. However, it is important to note that it is apparent that the potential for future participation varies greatly between countries beyond the level of national income.</w:t>
      </w:r>
    </w:p>
    <w:p w:rsidR="00D97A3A" w:rsidRDefault="00D97A3A">
      <w:pPr>
        <w:rPr>
          <w:lang w:val="en-US"/>
        </w:rPr>
      </w:pPr>
    </w:p>
    <w:p w:rsidR="00BD3FA0" w:rsidRDefault="00BD3FA0" w:rsidP="00BD3FA0">
      <w:pPr>
        <w:pStyle w:val="Caption"/>
        <w:keepNext/>
        <w:rPr>
          <w:lang w:val="en-US"/>
        </w:rPr>
      </w:pPr>
      <w:bookmarkStart w:id="71" w:name="_Ref256596367"/>
      <w:bookmarkStart w:id="72" w:name="_Toc260036740"/>
      <w:r w:rsidRPr="00332D84">
        <w:rPr>
          <w:lang w:val="en-US"/>
        </w:rPr>
        <w:lastRenderedPageBreak/>
        <w:t xml:space="preserve">Table </w:t>
      </w:r>
      <w:r w:rsidR="00AE227F">
        <w:fldChar w:fldCharType="begin"/>
      </w:r>
      <w:r w:rsidRPr="00332D84">
        <w:rPr>
          <w:lang w:val="en-US"/>
        </w:rPr>
        <w:instrText xml:space="preserve"> SEQ Table \* ARABIC </w:instrText>
      </w:r>
      <w:r w:rsidR="00AE227F">
        <w:fldChar w:fldCharType="separate"/>
      </w:r>
      <w:r w:rsidR="004F08A8">
        <w:rPr>
          <w:noProof/>
          <w:lang w:val="en-US"/>
        </w:rPr>
        <w:t>5</w:t>
      </w:r>
      <w:r w:rsidR="00AE227F">
        <w:fldChar w:fldCharType="end"/>
      </w:r>
      <w:bookmarkEnd w:id="71"/>
      <w:r w:rsidRPr="00332D84">
        <w:rPr>
          <w:lang w:val="en-US"/>
        </w:rPr>
        <w:t xml:space="preserve"> Number of participants funded by non-</w:t>
      </w:r>
      <w:r>
        <w:rPr>
          <w:lang w:val="en-US"/>
        </w:rPr>
        <w:t>C</w:t>
      </w:r>
      <w:r w:rsidRPr="00332D84">
        <w:rPr>
          <w:lang w:val="en-US"/>
        </w:rPr>
        <w:t>TF sources</w:t>
      </w:r>
      <w:r>
        <w:rPr>
          <w:lang w:val="en-US"/>
        </w:rPr>
        <w:t xml:space="preserve"> of CTF graduate countries</w:t>
      </w:r>
      <w:bookmarkEnd w:id="72"/>
    </w:p>
    <w:tbl>
      <w:tblPr>
        <w:tblStyle w:val="MediumGrid3-Accent1"/>
        <w:tblW w:w="9039" w:type="dxa"/>
        <w:tblLayout w:type="fixed"/>
        <w:tblLook w:val="04A0" w:firstRow="1" w:lastRow="0" w:firstColumn="1" w:lastColumn="0" w:noHBand="0" w:noVBand="1"/>
      </w:tblPr>
      <w:tblGrid>
        <w:gridCol w:w="2779"/>
        <w:gridCol w:w="1043"/>
        <w:gridCol w:w="1043"/>
        <w:gridCol w:w="1044"/>
        <w:gridCol w:w="1043"/>
        <w:gridCol w:w="1043"/>
        <w:gridCol w:w="1044"/>
      </w:tblGrid>
      <w:tr w:rsidR="00D97A3A" w:rsidRPr="00117572">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779" w:type="dxa"/>
            <w:noWrap/>
          </w:tcPr>
          <w:p w:rsidR="00D97A3A" w:rsidRPr="00117572" w:rsidRDefault="00D97A3A" w:rsidP="00BD3FA0">
            <w:pPr>
              <w:keepNext/>
              <w:spacing w:after="0"/>
              <w:jc w:val="left"/>
              <w:rPr>
                <w:rFonts w:asciiTheme="minorHAnsi" w:hAnsiTheme="minorHAnsi" w:cs="Arial"/>
                <w:szCs w:val="20"/>
              </w:rPr>
            </w:pPr>
          </w:p>
        </w:tc>
        <w:tc>
          <w:tcPr>
            <w:tcW w:w="1043" w:type="dxa"/>
            <w:noWrap/>
          </w:tcPr>
          <w:p w:rsidR="00D97A3A" w:rsidRPr="00117572" w:rsidRDefault="00D97A3A" w:rsidP="00BD3FA0">
            <w:pPr>
              <w:keepNext/>
              <w:spacing w:after="0"/>
              <w:jc w:val="right"/>
              <w:cnfStyle w:val="100000000000" w:firstRow="1" w:lastRow="0" w:firstColumn="0" w:lastColumn="0" w:oddVBand="0" w:evenVBand="0" w:oddHBand="0" w:evenHBand="0" w:firstRowFirstColumn="0" w:firstRowLastColumn="0" w:lastRowFirstColumn="0" w:lastRowLastColumn="0"/>
              <w:rPr>
                <w:rFonts w:asciiTheme="minorHAnsi" w:hAnsiTheme="minorHAnsi" w:cs="Arial"/>
                <w:szCs w:val="20"/>
              </w:rPr>
            </w:pPr>
            <w:r>
              <w:rPr>
                <w:rFonts w:asciiTheme="minorHAnsi" w:hAnsiTheme="minorHAnsi" w:cs="Arial"/>
                <w:szCs w:val="20"/>
              </w:rPr>
              <w:t>2004</w:t>
            </w:r>
          </w:p>
        </w:tc>
        <w:tc>
          <w:tcPr>
            <w:tcW w:w="1043" w:type="dxa"/>
            <w:noWrap/>
          </w:tcPr>
          <w:p w:rsidR="00D97A3A" w:rsidRPr="00117572" w:rsidRDefault="00D97A3A" w:rsidP="00BD3FA0">
            <w:pPr>
              <w:keepNext/>
              <w:spacing w:after="0"/>
              <w:jc w:val="right"/>
              <w:cnfStyle w:val="100000000000" w:firstRow="1" w:lastRow="0" w:firstColumn="0" w:lastColumn="0" w:oddVBand="0" w:evenVBand="0" w:oddHBand="0" w:evenHBand="0" w:firstRowFirstColumn="0" w:firstRowLastColumn="0" w:lastRowFirstColumn="0" w:lastRowLastColumn="0"/>
              <w:rPr>
                <w:rFonts w:asciiTheme="minorHAnsi" w:hAnsiTheme="minorHAnsi" w:cs="Arial"/>
                <w:szCs w:val="20"/>
              </w:rPr>
            </w:pPr>
            <w:r>
              <w:rPr>
                <w:rFonts w:asciiTheme="minorHAnsi" w:hAnsiTheme="minorHAnsi" w:cs="Arial"/>
                <w:szCs w:val="20"/>
              </w:rPr>
              <w:t>2005</w:t>
            </w:r>
          </w:p>
        </w:tc>
        <w:tc>
          <w:tcPr>
            <w:tcW w:w="1044" w:type="dxa"/>
            <w:noWrap/>
          </w:tcPr>
          <w:p w:rsidR="00D97A3A" w:rsidRPr="00117572" w:rsidRDefault="00D97A3A" w:rsidP="00BD3FA0">
            <w:pPr>
              <w:keepNext/>
              <w:spacing w:after="0"/>
              <w:jc w:val="right"/>
              <w:cnfStyle w:val="100000000000" w:firstRow="1" w:lastRow="0" w:firstColumn="0" w:lastColumn="0" w:oddVBand="0" w:evenVBand="0" w:oddHBand="0" w:evenHBand="0" w:firstRowFirstColumn="0" w:firstRowLastColumn="0" w:lastRowFirstColumn="0" w:lastRowLastColumn="0"/>
              <w:rPr>
                <w:rFonts w:asciiTheme="minorHAnsi" w:hAnsiTheme="minorHAnsi" w:cs="Arial"/>
                <w:szCs w:val="20"/>
              </w:rPr>
            </w:pPr>
            <w:r>
              <w:rPr>
                <w:rFonts w:asciiTheme="minorHAnsi" w:hAnsiTheme="minorHAnsi" w:cs="Arial"/>
                <w:szCs w:val="20"/>
              </w:rPr>
              <w:t>2006</w:t>
            </w:r>
          </w:p>
        </w:tc>
        <w:tc>
          <w:tcPr>
            <w:tcW w:w="1043" w:type="dxa"/>
            <w:noWrap/>
          </w:tcPr>
          <w:p w:rsidR="00D97A3A" w:rsidRPr="00117572" w:rsidRDefault="00D97A3A" w:rsidP="00BD3FA0">
            <w:pPr>
              <w:keepNext/>
              <w:spacing w:after="0"/>
              <w:jc w:val="right"/>
              <w:cnfStyle w:val="100000000000" w:firstRow="1" w:lastRow="0" w:firstColumn="0" w:lastColumn="0" w:oddVBand="0" w:evenVBand="0" w:oddHBand="0" w:evenHBand="0" w:firstRowFirstColumn="0" w:firstRowLastColumn="0" w:lastRowFirstColumn="0" w:lastRowLastColumn="0"/>
              <w:rPr>
                <w:rFonts w:asciiTheme="minorHAnsi" w:hAnsiTheme="minorHAnsi" w:cs="Arial"/>
                <w:szCs w:val="20"/>
              </w:rPr>
            </w:pPr>
            <w:r>
              <w:rPr>
                <w:rFonts w:asciiTheme="minorHAnsi" w:hAnsiTheme="minorHAnsi" w:cs="Arial"/>
                <w:szCs w:val="20"/>
              </w:rPr>
              <w:t>2007</w:t>
            </w:r>
          </w:p>
        </w:tc>
        <w:tc>
          <w:tcPr>
            <w:tcW w:w="1043" w:type="dxa"/>
            <w:noWrap/>
          </w:tcPr>
          <w:p w:rsidR="00D97A3A" w:rsidRPr="00117572" w:rsidRDefault="00D97A3A" w:rsidP="00BD3FA0">
            <w:pPr>
              <w:keepNext/>
              <w:spacing w:after="0"/>
              <w:jc w:val="right"/>
              <w:cnfStyle w:val="100000000000" w:firstRow="1" w:lastRow="0" w:firstColumn="0" w:lastColumn="0" w:oddVBand="0" w:evenVBand="0" w:oddHBand="0" w:evenHBand="0" w:firstRowFirstColumn="0" w:firstRowLastColumn="0" w:lastRowFirstColumn="0" w:lastRowLastColumn="0"/>
              <w:rPr>
                <w:rFonts w:asciiTheme="minorHAnsi" w:hAnsiTheme="minorHAnsi" w:cs="Arial"/>
                <w:szCs w:val="20"/>
              </w:rPr>
            </w:pPr>
            <w:r>
              <w:rPr>
                <w:rFonts w:asciiTheme="minorHAnsi" w:hAnsiTheme="minorHAnsi" w:cs="Arial"/>
                <w:szCs w:val="20"/>
              </w:rPr>
              <w:t>2008</w:t>
            </w:r>
          </w:p>
        </w:tc>
        <w:tc>
          <w:tcPr>
            <w:tcW w:w="1044" w:type="dxa"/>
            <w:noWrap/>
          </w:tcPr>
          <w:p w:rsidR="00D97A3A" w:rsidRPr="00117572" w:rsidRDefault="00D97A3A" w:rsidP="00BD3FA0">
            <w:pPr>
              <w:keepNext/>
              <w:spacing w:after="0"/>
              <w:jc w:val="right"/>
              <w:cnfStyle w:val="100000000000" w:firstRow="1" w:lastRow="0" w:firstColumn="0" w:lastColumn="0" w:oddVBand="0" w:evenVBand="0" w:oddHBand="0" w:evenHBand="0" w:firstRowFirstColumn="0" w:firstRowLastColumn="0" w:lastRowFirstColumn="0" w:lastRowLastColumn="0"/>
              <w:rPr>
                <w:rFonts w:asciiTheme="minorHAnsi" w:hAnsiTheme="minorHAnsi" w:cs="Arial"/>
                <w:szCs w:val="20"/>
              </w:rPr>
            </w:pPr>
            <w:r>
              <w:rPr>
                <w:rFonts w:asciiTheme="minorHAnsi" w:hAnsiTheme="minorHAnsi" w:cs="Arial"/>
                <w:szCs w:val="20"/>
              </w:rPr>
              <w:t>2009</w:t>
            </w:r>
          </w:p>
        </w:tc>
      </w:tr>
      <w:tr w:rsidR="00BD3FA0" w:rsidRPr="0011757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779" w:type="dxa"/>
            <w:noWrap/>
          </w:tcPr>
          <w:p w:rsidR="00BD3FA0" w:rsidRPr="00117572" w:rsidRDefault="00BD3FA0" w:rsidP="00BD3FA0">
            <w:pPr>
              <w:keepNext/>
              <w:spacing w:after="0"/>
              <w:jc w:val="left"/>
              <w:rPr>
                <w:rFonts w:asciiTheme="minorHAnsi" w:hAnsiTheme="minorHAnsi" w:cs="Arial"/>
                <w:szCs w:val="20"/>
              </w:rPr>
            </w:pPr>
            <w:r w:rsidRPr="00117572">
              <w:rPr>
                <w:rFonts w:asciiTheme="minorHAnsi" w:hAnsiTheme="minorHAnsi" w:cs="Arial"/>
                <w:szCs w:val="20"/>
              </w:rPr>
              <w:t>Antigua and Barbuda</w:t>
            </w:r>
          </w:p>
        </w:tc>
        <w:tc>
          <w:tcPr>
            <w:tcW w:w="1043" w:type="dxa"/>
            <w:noWrap/>
          </w:tcPr>
          <w:p w:rsidR="00BD3FA0" w:rsidRPr="00117572" w:rsidRDefault="00BD3FA0" w:rsidP="00BD3FA0">
            <w:pPr>
              <w:keepNext/>
              <w:spacing w:after="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20"/>
              </w:rPr>
            </w:pPr>
            <w:r w:rsidRPr="00117572">
              <w:rPr>
                <w:rFonts w:asciiTheme="minorHAnsi" w:hAnsiTheme="minorHAnsi" w:cs="Arial"/>
                <w:szCs w:val="20"/>
              </w:rPr>
              <w:t>1</w:t>
            </w:r>
          </w:p>
        </w:tc>
        <w:tc>
          <w:tcPr>
            <w:tcW w:w="1043" w:type="dxa"/>
            <w:noWrap/>
          </w:tcPr>
          <w:p w:rsidR="00BD3FA0" w:rsidRPr="00117572" w:rsidRDefault="00BD3FA0" w:rsidP="00BD3FA0">
            <w:pPr>
              <w:keepNext/>
              <w:spacing w:after="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20"/>
              </w:rPr>
            </w:pPr>
            <w:r w:rsidRPr="00117572">
              <w:rPr>
                <w:rFonts w:asciiTheme="minorHAnsi" w:hAnsiTheme="minorHAnsi" w:cs="Arial"/>
                <w:szCs w:val="20"/>
              </w:rPr>
              <w:t>2</w:t>
            </w:r>
          </w:p>
        </w:tc>
        <w:tc>
          <w:tcPr>
            <w:tcW w:w="1044" w:type="dxa"/>
            <w:noWrap/>
          </w:tcPr>
          <w:p w:rsidR="00BD3FA0" w:rsidRPr="00117572" w:rsidRDefault="00BD3FA0" w:rsidP="00BD3FA0">
            <w:pPr>
              <w:keepNext/>
              <w:spacing w:after="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20"/>
              </w:rPr>
            </w:pPr>
            <w:r w:rsidRPr="00117572">
              <w:rPr>
                <w:rFonts w:asciiTheme="minorHAnsi" w:hAnsiTheme="minorHAnsi" w:cs="Arial"/>
                <w:szCs w:val="20"/>
              </w:rPr>
              <w:t>1</w:t>
            </w:r>
          </w:p>
        </w:tc>
        <w:tc>
          <w:tcPr>
            <w:tcW w:w="1043" w:type="dxa"/>
            <w:noWrap/>
          </w:tcPr>
          <w:p w:rsidR="00BD3FA0" w:rsidRPr="00117572" w:rsidRDefault="00BD3FA0" w:rsidP="00BD3FA0">
            <w:pPr>
              <w:keepNext/>
              <w:spacing w:after="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20"/>
              </w:rPr>
            </w:pPr>
            <w:r w:rsidRPr="00117572">
              <w:rPr>
                <w:rFonts w:asciiTheme="minorHAnsi" w:hAnsiTheme="minorHAnsi" w:cs="Arial"/>
                <w:szCs w:val="20"/>
              </w:rPr>
              <w:t>0</w:t>
            </w:r>
          </w:p>
        </w:tc>
        <w:tc>
          <w:tcPr>
            <w:tcW w:w="1043" w:type="dxa"/>
            <w:noWrap/>
          </w:tcPr>
          <w:p w:rsidR="00BD3FA0" w:rsidRPr="00117572" w:rsidRDefault="00BD3FA0" w:rsidP="00BD3FA0">
            <w:pPr>
              <w:keepNext/>
              <w:spacing w:after="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20"/>
              </w:rPr>
            </w:pPr>
            <w:r w:rsidRPr="00117572">
              <w:rPr>
                <w:rFonts w:asciiTheme="minorHAnsi" w:hAnsiTheme="minorHAnsi" w:cs="Arial"/>
                <w:szCs w:val="20"/>
              </w:rPr>
              <w:t>0</w:t>
            </w:r>
          </w:p>
        </w:tc>
        <w:tc>
          <w:tcPr>
            <w:tcW w:w="1044" w:type="dxa"/>
            <w:noWrap/>
          </w:tcPr>
          <w:p w:rsidR="00BD3FA0" w:rsidRPr="00117572" w:rsidRDefault="00BD3FA0" w:rsidP="00BD3FA0">
            <w:pPr>
              <w:keepNext/>
              <w:spacing w:after="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20"/>
              </w:rPr>
            </w:pPr>
            <w:r w:rsidRPr="00117572">
              <w:rPr>
                <w:rFonts w:asciiTheme="minorHAnsi" w:hAnsiTheme="minorHAnsi" w:cs="Arial"/>
                <w:szCs w:val="20"/>
              </w:rPr>
              <w:t>0</w:t>
            </w:r>
          </w:p>
        </w:tc>
      </w:tr>
      <w:tr w:rsidR="00BD3FA0" w:rsidRPr="00117572">
        <w:trPr>
          <w:cnfStyle w:val="000000010000" w:firstRow="0" w:lastRow="0" w:firstColumn="0" w:lastColumn="0" w:oddVBand="0" w:evenVBand="0" w:oddHBand="0" w:evenHBand="1"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779" w:type="dxa"/>
            <w:noWrap/>
          </w:tcPr>
          <w:p w:rsidR="00BD3FA0" w:rsidRPr="00117572" w:rsidRDefault="00BD3FA0" w:rsidP="00BD3FA0">
            <w:pPr>
              <w:keepNext/>
              <w:spacing w:after="0"/>
              <w:jc w:val="left"/>
              <w:rPr>
                <w:rFonts w:asciiTheme="minorHAnsi" w:hAnsiTheme="minorHAnsi" w:cs="Arial"/>
                <w:szCs w:val="20"/>
              </w:rPr>
            </w:pPr>
            <w:r w:rsidRPr="00117572">
              <w:rPr>
                <w:rFonts w:asciiTheme="minorHAnsi" w:hAnsiTheme="minorHAnsi" w:cs="Arial"/>
                <w:szCs w:val="20"/>
              </w:rPr>
              <w:t>Argentina</w:t>
            </w:r>
          </w:p>
        </w:tc>
        <w:tc>
          <w:tcPr>
            <w:tcW w:w="1043" w:type="dxa"/>
            <w:noWrap/>
          </w:tcPr>
          <w:p w:rsidR="00BD3FA0" w:rsidRPr="00117572" w:rsidRDefault="00BD3FA0" w:rsidP="00BD3FA0">
            <w:pPr>
              <w:keepNext/>
              <w:spacing w:after="0"/>
              <w:jc w:val="right"/>
              <w:cnfStyle w:val="000000010000" w:firstRow="0" w:lastRow="0" w:firstColumn="0" w:lastColumn="0" w:oddVBand="0" w:evenVBand="0" w:oddHBand="0" w:evenHBand="1" w:firstRowFirstColumn="0" w:firstRowLastColumn="0" w:lastRowFirstColumn="0" w:lastRowLastColumn="0"/>
              <w:rPr>
                <w:rFonts w:asciiTheme="minorHAnsi" w:hAnsiTheme="minorHAnsi" w:cs="Arial"/>
                <w:szCs w:val="20"/>
              </w:rPr>
            </w:pPr>
            <w:r w:rsidRPr="00117572">
              <w:rPr>
                <w:rFonts w:asciiTheme="minorHAnsi" w:hAnsiTheme="minorHAnsi" w:cs="Arial"/>
                <w:szCs w:val="20"/>
              </w:rPr>
              <w:t>20</w:t>
            </w:r>
          </w:p>
        </w:tc>
        <w:tc>
          <w:tcPr>
            <w:tcW w:w="1043" w:type="dxa"/>
            <w:noWrap/>
          </w:tcPr>
          <w:p w:rsidR="00BD3FA0" w:rsidRPr="00117572" w:rsidRDefault="00BD3FA0" w:rsidP="00BD3FA0">
            <w:pPr>
              <w:keepNext/>
              <w:spacing w:after="0"/>
              <w:jc w:val="right"/>
              <w:cnfStyle w:val="000000010000" w:firstRow="0" w:lastRow="0" w:firstColumn="0" w:lastColumn="0" w:oddVBand="0" w:evenVBand="0" w:oddHBand="0" w:evenHBand="1" w:firstRowFirstColumn="0" w:firstRowLastColumn="0" w:lastRowFirstColumn="0" w:lastRowLastColumn="0"/>
              <w:rPr>
                <w:rFonts w:asciiTheme="minorHAnsi" w:hAnsiTheme="minorHAnsi" w:cs="Arial"/>
                <w:szCs w:val="20"/>
              </w:rPr>
            </w:pPr>
            <w:r w:rsidRPr="00117572">
              <w:rPr>
                <w:rFonts w:asciiTheme="minorHAnsi" w:hAnsiTheme="minorHAnsi" w:cs="Arial"/>
                <w:szCs w:val="20"/>
              </w:rPr>
              <w:t>34</w:t>
            </w:r>
          </w:p>
        </w:tc>
        <w:tc>
          <w:tcPr>
            <w:tcW w:w="1044" w:type="dxa"/>
            <w:noWrap/>
          </w:tcPr>
          <w:p w:rsidR="00BD3FA0" w:rsidRPr="00117572" w:rsidRDefault="00BD3FA0" w:rsidP="00BD3FA0">
            <w:pPr>
              <w:keepNext/>
              <w:spacing w:after="0"/>
              <w:jc w:val="right"/>
              <w:cnfStyle w:val="000000010000" w:firstRow="0" w:lastRow="0" w:firstColumn="0" w:lastColumn="0" w:oddVBand="0" w:evenVBand="0" w:oddHBand="0" w:evenHBand="1" w:firstRowFirstColumn="0" w:firstRowLastColumn="0" w:lastRowFirstColumn="0" w:lastRowLastColumn="0"/>
              <w:rPr>
                <w:rFonts w:asciiTheme="minorHAnsi" w:hAnsiTheme="minorHAnsi" w:cs="Arial"/>
                <w:szCs w:val="20"/>
              </w:rPr>
            </w:pPr>
            <w:r w:rsidRPr="00117572">
              <w:rPr>
                <w:rFonts w:asciiTheme="minorHAnsi" w:hAnsiTheme="minorHAnsi" w:cs="Arial"/>
                <w:szCs w:val="20"/>
              </w:rPr>
              <w:t>29</w:t>
            </w:r>
          </w:p>
        </w:tc>
        <w:tc>
          <w:tcPr>
            <w:tcW w:w="1043" w:type="dxa"/>
            <w:noWrap/>
          </w:tcPr>
          <w:p w:rsidR="00BD3FA0" w:rsidRPr="00117572" w:rsidRDefault="00BD3FA0" w:rsidP="00BD3FA0">
            <w:pPr>
              <w:keepNext/>
              <w:spacing w:after="0"/>
              <w:jc w:val="right"/>
              <w:cnfStyle w:val="000000010000" w:firstRow="0" w:lastRow="0" w:firstColumn="0" w:lastColumn="0" w:oddVBand="0" w:evenVBand="0" w:oddHBand="0" w:evenHBand="1" w:firstRowFirstColumn="0" w:firstRowLastColumn="0" w:lastRowFirstColumn="0" w:lastRowLastColumn="0"/>
              <w:rPr>
                <w:rFonts w:asciiTheme="minorHAnsi" w:hAnsiTheme="minorHAnsi" w:cs="Arial"/>
                <w:szCs w:val="20"/>
              </w:rPr>
            </w:pPr>
            <w:r w:rsidRPr="00117572">
              <w:rPr>
                <w:rFonts w:asciiTheme="minorHAnsi" w:hAnsiTheme="minorHAnsi" w:cs="Arial"/>
                <w:szCs w:val="20"/>
              </w:rPr>
              <w:t>31</w:t>
            </w:r>
          </w:p>
        </w:tc>
        <w:tc>
          <w:tcPr>
            <w:tcW w:w="1043" w:type="dxa"/>
            <w:noWrap/>
          </w:tcPr>
          <w:p w:rsidR="00BD3FA0" w:rsidRPr="00117572" w:rsidRDefault="00BD3FA0" w:rsidP="00BD3FA0">
            <w:pPr>
              <w:keepNext/>
              <w:spacing w:after="0"/>
              <w:jc w:val="right"/>
              <w:cnfStyle w:val="000000010000" w:firstRow="0" w:lastRow="0" w:firstColumn="0" w:lastColumn="0" w:oddVBand="0" w:evenVBand="0" w:oddHBand="0" w:evenHBand="1" w:firstRowFirstColumn="0" w:firstRowLastColumn="0" w:lastRowFirstColumn="0" w:lastRowLastColumn="0"/>
              <w:rPr>
                <w:rFonts w:asciiTheme="minorHAnsi" w:hAnsiTheme="minorHAnsi" w:cs="Arial"/>
                <w:szCs w:val="20"/>
              </w:rPr>
            </w:pPr>
            <w:r w:rsidRPr="00117572">
              <w:rPr>
                <w:rFonts w:asciiTheme="minorHAnsi" w:hAnsiTheme="minorHAnsi" w:cs="Arial"/>
                <w:szCs w:val="20"/>
              </w:rPr>
              <w:t>22</w:t>
            </w:r>
          </w:p>
        </w:tc>
        <w:tc>
          <w:tcPr>
            <w:tcW w:w="1044" w:type="dxa"/>
            <w:noWrap/>
          </w:tcPr>
          <w:p w:rsidR="00BD3FA0" w:rsidRPr="00117572" w:rsidRDefault="00BD3FA0" w:rsidP="00BD3FA0">
            <w:pPr>
              <w:keepNext/>
              <w:spacing w:after="0"/>
              <w:jc w:val="right"/>
              <w:cnfStyle w:val="000000010000" w:firstRow="0" w:lastRow="0" w:firstColumn="0" w:lastColumn="0" w:oddVBand="0" w:evenVBand="0" w:oddHBand="0" w:evenHBand="1" w:firstRowFirstColumn="0" w:firstRowLastColumn="0" w:lastRowFirstColumn="0" w:lastRowLastColumn="0"/>
              <w:rPr>
                <w:rFonts w:asciiTheme="minorHAnsi" w:hAnsiTheme="minorHAnsi" w:cs="Arial"/>
                <w:szCs w:val="20"/>
              </w:rPr>
            </w:pPr>
            <w:r w:rsidRPr="00117572">
              <w:rPr>
                <w:rFonts w:asciiTheme="minorHAnsi" w:hAnsiTheme="minorHAnsi" w:cs="Arial"/>
                <w:szCs w:val="20"/>
              </w:rPr>
              <w:t>23</w:t>
            </w:r>
          </w:p>
        </w:tc>
      </w:tr>
      <w:tr w:rsidR="00BD3FA0" w:rsidRPr="0011757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779" w:type="dxa"/>
            <w:noWrap/>
          </w:tcPr>
          <w:p w:rsidR="00BD3FA0" w:rsidRPr="00117572" w:rsidRDefault="00BD3FA0" w:rsidP="00BD3FA0">
            <w:pPr>
              <w:keepNext/>
              <w:spacing w:after="0"/>
              <w:jc w:val="left"/>
              <w:rPr>
                <w:rFonts w:asciiTheme="minorHAnsi" w:hAnsiTheme="minorHAnsi" w:cs="Arial"/>
                <w:szCs w:val="20"/>
              </w:rPr>
            </w:pPr>
            <w:r w:rsidRPr="00117572">
              <w:rPr>
                <w:rFonts w:asciiTheme="minorHAnsi" w:hAnsiTheme="minorHAnsi" w:cs="Arial"/>
                <w:szCs w:val="20"/>
              </w:rPr>
              <w:t>Bolivia</w:t>
            </w:r>
          </w:p>
        </w:tc>
        <w:tc>
          <w:tcPr>
            <w:tcW w:w="1043" w:type="dxa"/>
            <w:noWrap/>
          </w:tcPr>
          <w:p w:rsidR="00BD3FA0" w:rsidRPr="00117572" w:rsidRDefault="00BD3FA0" w:rsidP="00BD3FA0">
            <w:pPr>
              <w:keepNext/>
              <w:spacing w:after="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20"/>
              </w:rPr>
            </w:pPr>
            <w:r w:rsidRPr="00117572">
              <w:rPr>
                <w:rFonts w:asciiTheme="minorHAnsi" w:hAnsiTheme="minorHAnsi" w:cs="Arial"/>
                <w:szCs w:val="20"/>
              </w:rPr>
              <w:t>2</w:t>
            </w:r>
          </w:p>
        </w:tc>
        <w:tc>
          <w:tcPr>
            <w:tcW w:w="1043" w:type="dxa"/>
            <w:noWrap/>
          </w:tcPr>
          <w:p w:rsidR="00BD3FA0" w:rsidRPr="00117572" w:rsidRDefault="00BD3FA0" w:rsidP="00BD3FA0">
            <w:pPr>
              <w:keepNext/>
              <w:spacing w:after="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20"/>
              </w:rPr>
            </w:pPr>
            <w:r w:rsidRPr="00117572">
              <w:rPr>
                <w:rFonts w:asciiTheme="minorHAnsi" w:hAnsiTheme="minorHAnsi" w:cs="Arial"/>
                <w:szCs w:val="20"/>
              </w:rPr>
              <w:t>4</w:t>
            </w:r>
          </w:p>
        </w:tc>
        <w:tc>
          <w:tcPr>
            <w:tcW w:w="1044" w:type="dxa"/>
            <w:noWrap/>
          </w:tcPr>
          <w:p w:rsidR="00BD3FA0" w:rsidRPr="00117572" w:rsidRDefault="00BD3FA0" w:rsidP="00BD3FA0">
            <w:pPr>
              <w:keepNext/>
              <w:spacing w:after="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20"/>
              </w:rPr>
            </w:pPr>
            <w:r w:rsidRPr="00117572">
              <w:rPr>
                <w:rFonts w:asciiTheme="minorHAnsi" w:hAnsiTheme="minorHAnsi" w:cs="Arial"/>
                <w:szCs w:val="20"/>
              </w:rPr>
              <w:t> 0</w:t>
            </w:r>
          </w:p>
        </w:tc>
        <w:tc>
          <w:tcPr>
            <w:tcW w:w="1043" w:type="dxa"/>
            <w:noWrap/>
          </w:tcPr>
          <w:p w:rsidR="00BD3FA0" w:rsidRPr="00117572" w:rsidRDefault="00BD3FA0" w:rsidP="00BD3FA0">
            <w:pPr>
              <w:keepNext/>
              <w:spacing w:after="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20"/>
              </w:rPr>
            </w:pPr>
            <w:r w:rsidRPr="00117572">
              <w:rPr>
                <w:rFonts w:asciiTheme="minorHAnsi" w:hAnsiTheme="minorHAnsi" w:cs="Arial"/>
                <w:szCs w:val="20"/>
              </w:rPr>
              <w:t>2</w:t>
            </w:r>
          </w:p>
        </w:tc>
        <w:tc>
          <w:tcPr>
            <w:tcW w:w="1043" w:type="dxa"/>
            <w:noWrap/>
          </w:tcPr>
          <w:p w:rsidR="00BD3FA0" w:rsidRPr="00117572" w:rsidRDefault="00BD3FA0" w:rsidP="00BD3FA0">
            <w:pPr>
              <w:keepNext/>
              <w:spacing w:after="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20"/>
              </w:rPr>
            </w:pPr>
            <w:r w:rsidRPr="00117572">
              <w:rPr>
                <w:rFonts w:asciiTheme="minorHAnsi" w:hAnsiTheme="minorHAnsi" w:cs="Arial"/>
                <w:szCs w:val="20"/>
              </w:rPr>
              <w:t> 0</w:t>
            </w:r>
          </w:p>
        </w:tc>
        <w:tc>
          <w:tcPr>
            <w:tcW w:w="1044" w:type="dxa"/>
            <w:noWrap/>
          </w:tcPr>
          <w:p w:rsidR="00BD3FA0" w:rsidRPr="00117572" w:rsidRDefault="00BD3FA0" w:rsidP="00BD3FA0">
            <w:pPr>
              <w:keepNext/>
              <w:spacing w:after="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20"/>
              </w:rPr>
            </w:pPr>
            <w:r w:rsidRPr="00117572">
              <w:rPr>
                <w:rFonts w:asciiTheme="minorHAnsi" w:hAnsiTheme="minorHAnsi" w:cs="Arial"/>
                <w:szCs w:val="20"/>
              </w:rPr>
              <w:t>2</w:t>
            </w:r>
          </w:p>
        </w:tc>
      </w:tr>
      <w:tr w:rsidR="00BD3FA0" w:rsidRPr="00117572">
        <w:trPr>
          <w:cnfStyle w:val="000000010000" w:firstRow="0" w:lastRow="0" w:firstColumn="0" w:lastColumn="0" w:oddVBand="0" w:evenVBand="0" w:oddHBand="0" w:evenHBand="1"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779" w:type="dxa"/>
            <w:noWrap/>
          </w:tcPr>
          <w:p w:rsidR="00BD3FA0" w:rsidRPr="00117572" w:rsidRDefault="00BD3FA0" w:rsidP="00BD3FA0">
            <w:pPr>
              <w:keepNext/>
              <w:spacing w:after="0"/>
              <w:jc w:val="left"/>
              <w:rPr>
                <w:rFonts w:asciiTheme="minorHAnsi" w:hAnsiTheme="minorHAnsi" w:cs="Arial"/>
                <w:szCs w:val="20"/>
              </w:rPr>
            </w:pPr>
            <w:r w:rsidRPr="00117572">
              <w:rPr>
                <w:rFonts w:asciiTheme="minorHAnsi" w:hAnsiTheme="minorHAnsi" w:cs="Arial"/>
                <w:szCs w:val="20"/>
              </w:rPr>
              <w:t>Chile</w:t>
            </w:r>
          </w:p>
        </w:tc>
        <w:tc>
          <w:tcPr>
            <w:tcW w:w="1043" w:type="dxa"/>
            <w:noWrap/>
          </w:tcPr>
          <w:p w:rsidR="00BD3FA0" w:rsidRPr="00117572" w:rsidRDefault="00BD3FA0" w:rsidP="00BD3FA0">
            <w:pPr>
              <w:keepNext/>
              <w:spacing w:after="0"/>
              <w:jc w:val="right"/>
              <w:cnfStyle w:val="000000010000" w:firstRow="0" w:lastRow="0" w:firstColumn="0" w:lastColumn="0" w:oddVBand="0" w:evenVBand="0" w:oddHBand="0" w:evenHBand="1" w:firstRowFirstColumn="0" w:firstRowLastColumn="0" w:lastRowFirstColumn="0" w:lastRowLastColumn="0"/>
              <w:rPr>
                <w:rFonts w:asciiTheme="minorHAnsi" w:hAnsiTheme="minorHAnsi" w:cs="Arial"/>
                <w:szCs w:val="20"/>
              </w:rPr>
            </w:pPr>
            <w:r w:rsidRPr="00117572">
              <w:rPr>
                <w:rFonts w:asciiTheme="minorHAnsi" w:hAnsiTheme="minorHAnsi" w:cs="Arial"/>
                <w:szCs w:val="20"/>
              </w:rPr>
              <w:t>20</w:t>
            </w:r>
          </w:p>
        </w:tc>
        <w:tc>
          <w:tcPr>
            <w:tcW w:w="1043" w:type="dxa"/>
            <w:noWrap/>
          </w:tcPr>
          <w:p w:rsidR="00BD3FA0" w:rsidRPr="00117572" w:rsidRDefault="00BD3FA0" w:rsidP="00BD3FA0">
            <w:pPr>
              <w:keepNext/>
              <w:spacing w:after="0"/>
              <w:jc w:val="right"/>
              <w:cnfStyle w:val="000000010000" w:firstRow="0" w:lastRow="0" w:firstColumn="0" w:lastColumn="0" w:oddVBand="0" w:evenVBand="0" w:oddHBand="0" w:evenHBand="1" w:firstRowFirstColumn="0" w:firstRowLastColumn="0" w:lastRowFirstColumn="0" w:lastRowLastColumn="0"/>
              <w:rPr>
                <w:rFonts w:asciiTheme="minorHAnsi" w:hAnsiTheme="minorHAnsi" w:cs="Arial"/>
                <w:szCs w:val="20"/>
              </w:rPr>
            </w:pPr>
            <w:r w:rsidRPr="00117572">
              <w:rPr>
                <w:rFonts w:asciiTheme="minorHAnsi" w:hAnsiTheme="minorHAnsi" w:cs="Arial"/>
                <w:szCs w:val="20"/>
              </w:rPr>
              <w:t>25</w:t>
            </w:r>
          </w:p>
        </w:tc>
        <w:tc>
          <w:tcPr>
            <w:tcW w:w="1044" w:type="dxa"/>
            <w:noWrap/>
          </w:tcPr>
          <w:p w:rsidR="00BD3FA0" w:rsidRPr="00117572" w:rsidRDefault="00BD3FA0" w:rsidP="00BD3FA0">
            <w:pPr>
              <w:keepNext/>
              <w:spacing w:after="0"/>
              <w:jc w:val="right"/>
              <w:cnfStyle w:val="000000010000" w:firstRow="0" w:lastRow="0" w:firstColumn="0" w:lastColumn="0" w:oddVBand="0" w:evenVBand="0" w:oddHBand="0" w:evenHBand="1" w:firstRowFirstColumn="0" w:firstRowLastColumn="0" w:lastRowFirstColumn="0" w:lastRowLastColumn="0"/>
              <w:rPr>
                <w:rFonts w:asciiTheme="minorHAnsi" w:hAnsiTheme="minorHAnsi" w:cs="Arial"/>
                <w:szCs w:val="20"/>
              </w:rPr>
            </w:pPr>
            <w:r w:rsidRPr="00117572">
              <w:rPr>
                <w:rFonts w:asciiTheme="minorHAnsi" w:hAnsiTheme="minorHAnsi" w:cs="Arial"/>
                <w:szCs w:val="20"/>
              </w:rPr>
              <w:t>20</w:t>
            </w:r>
          </w:p>
        </w:tc>
        <w:tc>
          <w:tcPr>
            <w:tcW w:w="1043" w:type="dxa"/>
            <w:noWrap/>
          </w:tcPr>
          <w:p w:rsidR="00BD3FA0" w:rsidRPr="00117572" w:rsidRDefault="00BD3FA0" w:rsidP="00BD3FA0">
            <w:pPr>
              <w:keepNext/>
              <w:spacing w:after="0"/>
              <w:jc w:val="right"/>
              <w:cnfStyle w:val="000000010000" w:firstRow="0" w:lastRow="0" w:firstColumn="0" w:lastColumn="0" w:oddVBand="0" w:evenVBand="0" w:oddHBand="0" w:evenHBand="1" w:firstRowFirstColumn="0" w:firstRowLastColumn="0" w:lastRowFirstColumn="0" w:lastRowLastColumn="0"/>
              <w:rPr>
                <w:rFonts w:asciiTheme="minorHAnsi" w:hAnsiTheme="minorHAnsi" w:cs="Arial"/>
                <w:szCs w:val="20"/>
              </w:rPr>
            </w:pPr>
            <w:r w:rsidRPr="00117572">
              <w:rPr>
                <w:rFonts w:asciiTheme="minorHAnsi" w:hAnsiTheme="minorHAnsi" w:cs="Arial"/>
                <w:szCs w:val="20"/>
              </w:rPr>
              <w:t>16</w:t>
            </w:r>
          </w:p>
        </w:tc>
        <w:tc>
          <w:tcPr>
            <w:tcW w:w="1043" w:type="dxa"/>
            <w:noWrap/>
          </w:tcPr>
          <w:p w:rsidR="00BD3FA0" w:rsidRPr="00117572" w:rsidRDefault="00BD3FA0" w:rsidP="00BD3FA0">
            <w:pPr>
              <w:keepNext/>
              <w:spacing w:after="0"/>
              <w:jc w:val="right"/>
              <w:cnfStyle w:val="000000010000" w:firstRow="0" w:lastRow="0" w:firstColumn="0" w:lastColumn="0" w:oddVBand="0" w:evenVBand="0" w:oddHBand="0" w:evenHBand="1" w:firstRowFirstColumn="0" w:firstRowLastColumn="0" w:lastRowFirstColumn="0" w:lastRowLastColumn="0"/>
              <w:rPr>
                <w:rFonts w:asciiTheme="minorHAnsi" w:hAnsiTheme="minorHAnsi" w:cs="Arial"/>
                <w:szCs w:val="20"/>
              </w:rPr>
            </w:pPr>
            <w:r w:rsidRPr="00117572">
              <w:rPr>
                <w:rFonts w:asciiTheme="minorHAnsi" w:hAnsiTheme="minorHAnsi" w:cs="Arial"/>
                <w:szCs w:val="20"/>
              </w:rPr>
              <w:t>18</w:t>
            </w:r>
          </w:p>
        </w:tc>
        <w:tc>
          <w:tcPr>
            <w:tcW w:w="1044" w:type="dxa"/>
            <w:noWrap/>
          </w:tcPr>
          <w:p w:rsidR="00BD3FA0" w:rsidRPr="00117572" w:rsidRDefault="00BD3FA0" w:rsidP="00BD3FA0">
            <w:pPr>
              <w:keepNext/>
              <w:spacing w:after="0"/>
              <w:jc w:val="right"/>
              <w:cnfStyle w:val="000000010000" w:firstRow="0" w:lastRow="0" w:firstColumn="0" w:lastColumn="0" w:oddVBand="0" w:evenVBand="0" w:oddHBand="0" w:evenHBand="1" w:firstRowFirstColumn="0" w:firstRowLastColumn="0" w:lastRowFirstColumn="0" w:lastRowLastColumn="0"/>
              <w:rPr>
                <w:rFonts w:asciiTheme="minorHAnsi" w:hAnsiTheme="minorHAnsi" w:cs="Arial"/>
                <w:szCs w:val="20"/>
              </w:rPr>
            </w:pPr>
            <w:r w:rsidRPr="00117572">
              <w:rPr>
                <w:rFonts w:asciiTheme="minorHAnsi" w:hAnsiTheme="minorHAnsi" w:cs="Arial"/>
                <w:szCs w:val="20"/>
              </w:rPr>
              <w:t>29</w:t>
            </w:r>
          </w:p>
        </w:tc>
      </w:tr>
      <w:tr w:rsidR="00BD3FA0" w:rsidRPr="00117572">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2779" w:type="dxa"/>
            <w:noWrap/>
          </w:tcPr>
          <w:p w:rsidR="00BD3FA0" w:rsidRPr="00117572" w:rsidRDefault="00BD3FA0" w:rsidP="00BD3FA0">
            <w:pPr>
              <w:keepNext/>
              <w:spacing w:after="0"/>
              <w:jc w:val="left"/>
              <w:rPr>
                <w:rFonts w:asciiTheme="minorHAnsi" w:hAnsiTheme="minorHAnsi" w:cs="Arial"/>
                <w:szCs w:val="20"/>
              </w:rPr>
            </w:pPr>
            <w:r w:rsidRPr="00117572">
              <w:rPr>
                <w:rFonts w:asciiTheme="minorHAnsi" w:hAnsiTheme="minorHAnsi" w:cs="Arial"/>
                <w:szCs w:val="20"/>
              </w:rPr>
              <w:t>Colombia</w:t>
            </w:r>
          </w:p>
        </w:tc>
        <w:tc>
          <w:tcPr>
            <w:tcW w:w="1043" w:type="dxa"/>
            <w:noWrap/>
          </w:tcPr>
          <w:p w:rsidR="00BD3FA0" w:rsidRPr="00117572" w:rsidRDefault="00BD3FA0" w:rsidP="00BD3FA0">
            <w:pPr>
              <w:keepNext/>
              <w:spacing w:after="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20"/>
              </w:rPr>
            </w:pPr>
            <w:r w:rsidRPr="00117572">
              <w:rPr>
                <w:rFonts w:asciiTheme="minorHAnsi" w:hAnsiTheme="minorHAnsi" w:cs="Arial"/>
                <w:szCs w:val="20"/>
              </w:rPr>
              <w:t>6</w:t>
            </w:r>
          </w:p>
        </w:tc>
        <w:tc>
          <w:tcPr>
            <w:tcW w:w="1043" w:type="dxa"/>
            <w:noWrap/>
          </w:tcPr>
          <w:p w:rsidR="00BD3FA0" w:rsidRPr="00117572" w:rsidRDefault="00BD3FA0" w:rsidP="00BD3FA0">
            <w:pPr>
              <w:keepNext/>
              <w:spacing w:after="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20"/>
              </w:rPr>
            </w:pPr>
            <w:r w:rsidRPr="00117572">
              <w:rPr>
                <w:rFonts w:asciiTheme="minorHAnsi" w:hAnsiTheme="minorHAnsi" w:cs="Arial"/>
                <w:szCs w:val="20"/>
              </w:rPr>
              <w:t>1</w:t>
            </w:r>
          </w:p>
        </w:tc>
        <w:tc>
          <w:tcPr>
            <w:tcW w:w="1044" w:type="dxa"/>
            <w:noWrap/>
          </w:tcPr>
          <w:p w:rsidR="00BD3FA0" w:rsidRPr="00117572" w:rsidRDefault="00BD3FA0" w:rsidP="00BD3FA0">
            <w:pPr>
              <w:keepNext/>
              <w:spacing w:after="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20"/>
              </w:rPr>
            </w:pPr>
            <w:r w:rsidRPr="00117572">
              <w:rPr>
                <w:rFonts w:asciiTheme="minorHAnsi" w:hAnsiTheme="minorHAnsi" w:cs="Arial"/>
                <w:szCs w:val="20"/>
              </w:rPr>
              <w:t>6</w:t>
            </w:r>
          </w:p>
        </w:tc>
        <w:tc>
          <w:tcPr>
            <w:tcW w:w="1043" w:type="dxa"/>
            <w:noWrap/>
          </w:tcPr>
          <w:p w:rsidR="00BD3FA0" w:rsidRPr="00117572" w:rsidRDefault="00BD3FA0" w:rsidP="00BD3FA0">
            <w:pPr>
              <w:keepNext/>
              <w:spacing w:after="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20"/>
              </w:rPr>
            </w:pPr>
            <w:r w:rsidRPr="00117572">
              <w:rPr>
                <w:rFonts w:asciiTheme="minorHAnsi" w:hAnsiTheme="minorHAnsi" w:cs="Arial"/>
                <w:szCs w:val="20"/>
              </w:rPr>
              <w:t>5</w:t>
            </w:r>
          </w:p>
        </w:tc>
        <w:tc>
          <w:tcPr>
            <w:tcW w:w="1043" w:type="dxa"/>
            <w:noWrap/>
          </w:tcPr>
          <w:p w:rsidR="00BD3FA0" w:rsidRPr="00117572" w:rsidRDefault="00BD3FA0" w:rsidP="00BD3FA0">
            <w:pPr>
              <w:keepNext/>
              <w:spacing w:after="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20"/>
              </w:rPr>
            </w:pPr>
            <w:r w:rsidRPr="00117572">
              <w:rPr>
                <w:rFonts w:asciiTheme="minorHAnsi" w:hAnsiTheme="minorHAnsi" w:cs="Arial"/>
                <w:szCs w:val="20"/>
              </w:rPr>
              <w:t>2</w:t>
            </w:r>
          </w:p>
        </w:tc>
        <w:tc>
          <w:tcPr>
            <w:tcW w:w="1044" w:type="dxa"/>
            <w:noWrap/>
          </w:tcPr>
          <w:p w:rsidR="00BD3FA0" w:rsidRPr="00117572" w:rsidRDefault="00BD3FA0" w:rsidP="00BD3FA0">
            <w:pPr>
              <w:keepNext/>
              <w:spacing w:after="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20"/>
              </w:rPr>
            </w:pPr>
            <w:r w:rsidRPr="00117572">
              <w:rPr>
                <w:rFonts w:asciiTheme="minorHAnsi" w:hAnsiTheme="minorHAnsi" w:cs="Arial"/>
                <w:szCs w:val="20"/>
              </w:rPr>
              <w:t>10</w:t>
            </w:r>
          </w:p>
        </w:tc>
      </w:tr>
      <w:tr w:rsidR="00BD3FA0" w:rsidRPr="00117572">
        <w:trPr>
          <w:cnfStyle w:val="000000010000" w:firstRow="0" w:lastRow="0" w:firstColumn="0" w:lastColumn="0" w:oddVBand="0" w:evenVBand="0" w:oddHBand="0" w:evenHBand="1"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779" w:type="dxa"/>
            <w:noWrap/>
          </w:tcPr>
          <w:p w:rsidR="00BD3FA0" w:rsidRPr="00117572" w:rsidRDefault="00BD3FA0" w:rsidP="00BD3FA0">
            <w:pPr>
              <w:keepNext/>
              <w:spacing w:after="0"/>
              <w:jc w:val="left"/>
              <w:rPr>
                <w:rFonts w:asciiTheme="minorHAnsi" w:hAnsiTheme="minorHAnsi" w:cs="Arial"/>
                <w:szCs w:val="20"/>
              </w:rPr>
            </w:pPr>
            <w:r w:rsidRPr="00117572">
              <w:rPr>
                <w:rFonts w:asciiTheme="minorHAnsi" w:hAnsiTheme="minorHAnsi" w:cs="Arial"/>
                <w:szCs w:val="20"/>
              </w:rPr>
              <w:t>Costa Rica</w:t>
            </w:r>
          </w:p>
        </w:tc>
        <w:tc>
          <w:tcPr>
            <w:tcW w:w="1043" w:type="dxa"/>
            <w:noWrap/>
          </w:tcPr>
          <w:p w:rsidR="00BD3FA0" w:rsidRPr="00117572" w:rsidRDefault="00BD3FA0" w:rsidP="00BD3FA0">
            <w:pPr>
              <w:keepNext/>
              <w:spacing w:after="0"/>
              <w:jc w:val="right"/>
              <w:cnfStyle w:val="000000010000" w:firstRow="0" w:lastRow="0" w:firstColumn="0" w:lastColumn="0" w:oddVBand="0" w:evenVBand="0" w:oddHBand="0" w:evenHBand="1" w:firstRowFirstColumn="0" w:firstRowLastColumn="0" w:lastRowFirstColumn="0" w:lastRowLastColumn="0"/>
              <w:rPr>
                <w:rFonts w:asciiTheme="minorHAnsi" w:hAnsiTheme="minorHAnsi" w:cs="Arial"/>
                <w:szCs w:val="20"/>
              </w:rPr>
            </w:pPr>
            <w:r w:rsidRPr="00117572">
              <w:rPr>
                <w:rFonts w:asciiTheme="minorHAnsi" w:hAnsiTheme="minorHAnsi" w:cs="Arial"/>
                <w:szCs w:val="20"/>
              </w:rPr>
              <w:t>10</w:t>
            </w:r>
          </w:p>
        </w:tc>
        <w:tc>
          <w:tcPr>
            <w:tcW w:w="1043" w:type="dxa"/>
            <w:noWrap/>
          </w:tcPr>
          <w:p w:rsidR="00BD3FA0" w:rsidRPr="00117572" w:rsidRDefault="00BD3FA0" w:rsidP="00BD3FA0">
            <w:pPr>
              <w:keepNext/>
              <w:spacing w:after="0"/>
              <w:jc w:val="right"/>
              <w:cnfStyle w:val="000000010000" w:firstRow="0" w:lastRow="0" w:firstColumn="0" w:lastColumn="0" w:oddVBand="0" w:evenVBand="0" w:oddHBand="0" w:evenHBand="1" w:firstRowFirstColumn="0" w:firstRowLastColumn="0" w:lastRowFirstColumn="0" w:lastRowLastColumn="0"/>
              <w:rPr>
                <w:rFonts w:asciiTheme="minorHAnsi" w:hAnsiTheme="minorHAnsi" w:cs="Arial"/>
                <w:szCs w:val="20"/>
              </w:rPr>
            </w:pPr>
            <w:r w:rsidRPr="00117572">
              <w:rPr>
                <w:rFonts w:asciiTheme="minorHAnsi" w:hAnsiTheme="minorHAnsi" w:cs="Arial"/>
                <w:szCs w:val="20"/>
              </w:rPr>
              <w:t>14</w:t>
            </w:r>
          </w:p>
        </w:tc>
        <w:tc>
          <w:tcPr>
            <w:tcW w:w="1044" w:type="dxa"/>
            <w:noWrap/>
          </w:tcPr>
          <w:p w:rsidR="00BD3FA0" w:rsidRPr="00117572" w:rsidRDefault="00BD3FA0" w:rsidP="00BD3FA0">
            <w:pPr>
              <w:keepNext/>
              <w:spacing w:after="0"/>
              <w:jc w:val="right"/>
              <w:cnfStyle w:val="000000010000" w:firstRow="0" w:lastRow="0" w:firstColumn="0" w:lastColumn="0" w:oddVBand="0" w:evenVBand="0" w:oddHBand="0" w:evenHBand="1" w:firstRowFirstColumn="0" w:firstRowLastColumn="0" w:lastRowFirstColumn="0" w:lastRowLastColumn="0"/>
              <w:rPr>
                <w:rFonts w:asciiTheme="minorHAnsi" w:hAnsiTheme="minorHAnsi" w:cs="Arial"/>
                <w:szCs w:val="20"/>
              </w:rPr>
            </w:pPr>
            <w:r w:rsidRPr="00117572">
              <w:rPr>
                <w:rFonts w:asciiTheme="minorHAnsi" w:hAnsiTheme="minorHAnsi" w:cs="Arial"/>
                <w:szCs w:val="20"/>
              </w:rPr>
              <w:t>14</w:t>
            </w:r>
          </w:p>
        </w:tc>
        <w:tc>
          <w:tcPr>
            <w:tcW w:w="1043" w:type="dxa"/>
            <w:noWrap/>
          </w:tcPr>
          <w:p w:rsidR="00BD3FA0" w:rsidRPr="00117572" w:rsidRDefault="00BD3FA0" w:rsidP="00BD3FA0">
            <w:pPr>
              <w:keepNext/>
              <w:spacing w:after="0"/>
              <w:jc w:val="right"/>
              <w:cnfStyle w:val="000000010000" w:firstRow="0" w:lastRow="0" w:firstColumn="0" w:lastColumn="0" w:oddVBand="0" w:evenVBand="0" w:oddHBand="0" w:evenHBand="1" w:firstRowFirstColumn="0" w:firstRowLastColumn="0" w:lastRowFirstColumn="0" w:lastRowLastColumn="0"/>
              <w:rPr>
                <w:rFonts w:asciiTheme="minorHAnsi" w:hAnsiTheme="minorHAnsi" w:cs="Arial"/>
                <w:szCs w:val="20"/>
              </w:rPr>
            </w:pPr>
            <w:r w:rsidRPr="00117572">
              <w:rPr>
                <w:rFonts w:asciiTheme="minorHAnsi" w:hAnsiTheme="minorHAnsi" w:cs="Arial"/>
                <w:szCs w:val="20"/>
              </w:rPr>
              <w:t>17</w:t>
            </w:r>
          </w:p>
        </w:tc>
        <w:tc>
          <w:tcPr>
            <w:tcW w:w="1043" w:type="dxa"/>
            <w:noWrap/>
          </w:tcPr>
          <w:p w:rsidR="00BD3FA0" w:rsidRPr="00117572" w:rsidRDefault="00BD3FA0" w:rsidP="00BD3FA0">
            <w:pPr>
              <w:keepNext/>
              <w:spacing w:after="0"/>
              <w:jc w:val="right"/>
              <w:cnfStyle w:val="000000010000" w:firstRow="0" w:lastRow="0" w:firstColumn="0" w:lastColumn="0" w:oddVBand="0" w:evenVBand="0" w:oddHBand="0" w:evenHBand="1" w:firstRowFirstColumn="0" w:firstRowLastColumn="0" w:lastRowFirstColumn="0" w:lastRowLastColumn="0"/>
              <w:rPr>
                <w:rFonts w:asciiTheme="minorHAnsi" w:hAnsiTheme="minorHAnsi" w:cs="Arial"/>
                <w:szCs w:val="20"/>
              </w:rPr>
            </w:pPr>
            <w:r w:rsidRPr="00117572">
              <w:rPr>
                <w:rFonts w:asciiTheme="minorHAnsi" w:hAnsiTheme="minorHAnsi" w:cs="Arial"/>
                <w:szCs w:val="20"/>
              </w:rPr>
              <w:t>14</w:t>
            </w:r>
          </w:p>
        </w:tc>
        <w:tc>
          <w:tcPr>
            <w:tcW w:w="1044" w:type="dxa"/>
            <w:noWrap/>
          </w:tcPr>
          <w:p w:rsidR="00BD3FA0" w:rsidRPr="00117572" w:rsidRDefault="00BD3FA0" w:rsidP="00BD3FA0">
            <w:pPr>
              <w:keepNext/>
              <w:spacing w:after="0"/>
              <w:jc w:val="right"/>
              <w:cnfStyle w:val="000000010000" w:firstRow="0" w:lastRow="0" w:firstColumn="0" w:lastColumn="0" w:oddVBand="0" w:evenVBand="0" w:oddHBand="0" w:evenHBand="1" w:firstRowFirstColumn="0" w:firstRowLastColumn="0" w:lastRowFirstColumn="0" w:lastRowLastColumn="0"/>
              <w:rPr>
                <w:rFonts w:asciiTheme="minorHAnsi" w:hAnsiTheme="minorHAnsi" w:cs="Arial"/>
                <w:szCs w:val="20"/>
              </w:rPr>
            </w:pPr>
            <w:r w:rsidRPr="00117572">
              <w:rPr>
                <w:rFonts w:asciiTheme="minorHAnsi" w:hAnsiTheme="minorHAnsi" w:cs="Arial"/>
                <w:szCs w:val="20"/>
              </w:rPr>
              <w:t>15</w:t>
            </w:r>
          </w:p>
        </w:tc>
      </w:tr>
      <w:tr w:rsidR="00BD3FA0" w:rsidRPr="0011757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779" w:type="dxa"/>
            <w:noWrap/>
          </w:tcPr>
          <w:p w:rsidR="00BD3FA0" w:rsidRPr="00117572" w:rsidRDefault="00BD3FA0" w:rsidP="00BD3FA0">
            <w:pPr>
              <w:keepNext/>
              <w:spacing w:after="0"/>
              <w:jc w:val="left"/>
              <w:rPr>
                <w:rFonts w:asciiTheme="minorHAnsi" w:hAnsiTheme="minorHAnsi" w:cs="Arial"/>
                <w:szCs w:val="20"/>
              </w:rPr>
            </w:pPr>
            <w:r w:rsidRPr="00117572">
              <w:rPr>
                <w:rFonts w:asciiTheme="minorHAnsi" w:hAnsiTheme="minorHAnsi" w:cs="Arial"/>
                <w:szCs w:val="20"/>
              </w:rPr>
              <w:t>Croatia</w:t>
            </w:r>
          </w:p>
        </w:tc>
        <w:tc>
          <w:tcPr>
            <w:tcW w:w="1043" w:type="dxa"/>
            <w:noWrap/>
          </w:tcPr>
          <w:p w:rsidR="00BD3FA0" w:rsidRPr="00117572" w:rsidRDefault="00BD3FA0" w:rsidP="00BD3FA0">
            <w:pPr>
              <w:keepNext/>
              <w:spacing w:after="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20"/>
              </w:rPr>
            </w:pPr>
            <w:r w:rsidRPr="00117572">
              <w:rPr>
                <w:rFonts w:asciiTheme="minorHAnsi" w:hAnsiTheme="minorHAnsi" w:cs="Arial"/>
                <w:szCs w:val="20"/>
              </w:rPr>
              <w:t> 0</w:t>
            </w:r>
          </w:p>
        </w:tc>
        <w:tc>
          <w:tcPr>
            <w:tcW w:w="1043" w:type="dxa"/>
            <w:noWrap/>
          </w:tcPr>
          <w:p w:rsidR="00BD3FA0" w:rsidRPr="00117572" w:rsidRDefault="00BD3FA0" w:rsidP="00BD3FA0">
            <w:pPr>
              <w:keepNext/>
              <w:spacing w:after="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20"/>
              </w:rPr>
            </w:pPr>
            <w:r w:rsidRPr="00117572">
              <w:rPr>
                <w:rFonts w:asciiTheme="minorHAnsi" w:hAnsiTheme="minorHAnsi" w:cs="Arial"/>
                <w:szCs w:val="20"/>
              </w:rPr>
              <w:t>3</w:t>
            </w:r>
          </w:p>
        </w:tc>
        <w:tc>
          <w:tcPr>
            <w:tcW w:w="1044" w:type="dxa"/>
            <w:noWrap/>
          </w:tcPr>
          <w:p w:rsidR="00BD3FA0" w:rsidRPr="00117572" w:rsidRDefault="00BD3FA0" w:rsidP="00BD3FA0">
            <w:pPr>
              <w:keepNext/>
              <w:spacing w:after="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20"/>
              </w:rPr>
            </w:pPr>
            <w:r w:rsidRPr="00117572">
              <w:rPr>
                <w:rFonts w:asciiTheme="minorHAnsi" w:hAnsiTheme="minorHAnsi" w:cs="Arial"/>
                <w:szCs w:val="20"/>
              </w:rPr>
              <w:t>1</w:t>
            </w:r>
          </w:p>
        </w:tc>
        <w:tc>
          <w:tcPr>
            <w:tcW w:w="1043" w:type="dxa"/>
            <w:noWrap/>
          </w:tcPr>
          <w:p w:rsidR="00BD3FA0" w:rsidRPr="00117572" w:rsidRDefault="00BD3FA0" w:rsidP="00BD3FA0">
            <w:pPr>
              <w:keepNext/>
              <w:spacing w:after="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20"/>
              </w:rPr>
            </w:pPr>
            <w:r w:rsidRPr="00117572">
              <w:rPr>
                <w:rFonts w:asciiTheme="minorHAnsi" w:hAnsiTheme="minorHAnsi" w:cs="Arial"/>
                <w:szCs w:val="20"/>
              </w:rPr>
              <w:t>2</w:t>
            </w:r>
          </w:p>
        </w:tc>
        <w:tc>
          <w:tcPr>
            <w:tcW w:w="1043" w:type="dxa"/>
            <w:noWrap/>
          </w:tcPr>
          <w:p w:rsidR="00BD3FA0" w:rsidRPr="00117572" w:rsidRDefault="00BD3FA0" w:rsidP="00BD3FA0">
            <w:pPr>
              <w:keepNext/>
              <w:spacing w:after="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20"/>
              </w:rPr>
            </w:pPr>
            <w:r w:rsidRPr="00117572">
              <w:rPr>
                <w:rFonts w:asciiTheme="minorHAnsi" w:hAnsiTheme="minorHAnsi" w:cs="Arial"/>
                <w:szCs w:val="20"/>
              </w:rPr>
              <w:t>2</w:t>
            </w:r>
          </w:p>
        </w:tc>
        <w:tc>
          <w:tcPr>
            <w:tcW w:w="1044" w:type="dxa"/>
            <w:noWrap/>
          </w:tcPr>
          <w:p w:rsidR="00BD3FA0" w:rsidRPr="00117572" w:rsidRDefault="00BD3FA0" w:rsidP="00BD3FA0">
            <w:pPr>
              <w:keepNext/>
              <w:spacing w:after="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20"/>
              </w:rPr>
            </w:pPr>
            <w:r w:rsidRPr="00117572">
              <w:rPr>
                <w:rFonts w:asciiTheme="minorHAnsi" w:hAnsiTheme="minorHAnsi" w:cs="Arial"/>
                <w:szCs w:val="20"/>
              </w:rPr>
              <w:t>6</w:t>
            </w:r>
          </w:p>
        </w:tc>
      </w:tr>
      <w:tr w:rsidR="00BD3FA0" w:rsidRPr="00117572">
        <w:trPr>
          <w:cnfStyle w:val="000000010000" w:firstRow="0" w:lastRow="0" w:firstColumn="0" w:lastColumn="0" w:oddVBand="0" w:evenVBand="0" w:oddHBand="0" w:evenHBand="1"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779" w:type="dxa"/>
            <w:noWrap/>
          </w:tcPr>
          <w:p w:rsidR="00BD3FA0" w:rsidRPr="00117572" w:rsidRDefault="00BD3FA0" w:rsidP="00BD3FA0">
            <w:pPr>
              <w:keepNext/>
              <w:spacing w:after="0"/>
              <w:jc w:val="left"/>
              <w:rPr>
                <w:rFonts w:asciiTheme="minorHAnsi" w:hAnsiTheme="minorHAnsi" w:cs="Arial"/>
                <w:szCs w:val="20"/>
              </w:rPr>
            </w:pPr>
            <w:r w:rsidRPr="00117572">
              <w:rPr>
                <w:rFonts w:asciiTheme="minorHAnsi" w:hAnsiTheme="minorHAnsi" w:cs="Arial"/>
                <w:szCs w:val="20"/>
              </w:rPr>
              <w:t>Cuba</w:t>
            </w:r>
          </w:p>
        </w:tc>
        <w:tc>
          <w:tcPr>
            <w:tcW w:w="1043" w:type="dxa"/>
            <w:noWrap/>
          </w:tcPr>
          <w:p w:rsidR="00BD3FA0" w:rsidRPr="00117572" w:rsidRDefault="00BD3FA0" w:rsidP="00BD3FA0">
            <w:pPr>
              <w:keepNext/>
              <w:spacing w:after="0"/>
              <w:jc w:val="right"/>
              <w:cnfStyle w:val="000000010000" w:firstRow="0" w:lastRow="0" w:firstColumn="0" w:lastColumn="0" w:oddVBand="0" w:evenVBand="0" w:oddHBand="0" w:evenHBand="1" w:firstRowFirstColumn="0" w:firstRowLastColumn="0" w:lastRowFirstColumn="0" w:lastRowLastColumn="0"/>
              <w:rPr>
                <w:rFonts w:asciiTheme="minorHAnsi" w:hAnsiTheme="minorHAnsi" w:cs="Arial"/>
                <w:szCs w:val="20"/>
              </w:rPr>
            </w:pPr>
            <w:r w:rsidRPr="00117572">
              <w:rPr>
                <w:rFonts w:asciiTheme="minorHAnsi" w:hAnsiTheme="minorHAnsi" w:cs="Arial"/>
                <w:szCs w:val="20"/>
              </w:rPr>
              <w:t>15</w:t>
            </w:r>
          </w:p>
        </w:tc>
        <w:tc>
          <w:tcPr>
            <w:tcW w:w="1043" w:type="dxa"/>
            <w:noWrap/>
          </w:tcPr>
          <w:p w:rsidR="00BD3FA0" w:rsidRPr="00117572" w:rsidRDefault="00BD3FA0" w:rsidP="00BD3FA0">
            <w:pPr>
              <w:keepNext/>
              <w:spacing w:after="0"/>
              <w:jc w:val="right"/>
              <w:cnfStyle w:val="000000010000" w:firstRow="0" w:lastRow="0" w:firstColumn="0" w:lastColumn="0" w:oddVBand="0" w:evenVBand="0" w:oddHBand="0" w:evenHBand="1" w:firstRowFirstColumn="0" w:firstRowLastColumn="0" w:lastRowFirstColumn="0" w:lastRowLastColumn="0"/>
              <w:rPr>
                <w:rFonts w:asciiTheme="minorHAnsi" w:hAnsiTheme="minorHAnsi" w:cs="Arial"/>
                <w:szCs w:val="20"/>
              </w:rPr>
            </w:pPr>
            <w:r w:rsidRPr="00117572">
              <w:rPr>
                <w:rFonts w:asciiTheme="minorHAnsi" w:hAnsiTheme="minorHAnsi" w:cs="Arial"/>
                <w:szCs w:val="20"/>
              </w:rPr>
              <w:t>18</w:t>
            </w:r>
          </w:p>
        </w:tc>
        <w:tc>
          <w:tcPr>
            <w:tcW w:w="1044" w:type="dxa"/>
            <w:noWrap/>
          </w:tcPr>
          <w:p w:rsidR="00BD3FA0" w:rsidRPr="00117572" w:rsidRDefault="00BD3FA0" w:rsidP="00BD3FA0">
            <w:pPr>
              <w:keepNext/>
              <w:spacing w:after="0"/>
              <w:jc w:val="right"/>
              <w:cnfStyle w:val="000000010000" w:firstRow="0" w:lastRow="0" w:firstColumn="0" w:lastColumn="0" w:oddVBand="0" w:evenVBand="0" w:oddHBand="0" w:evenHBand="1" w:firstRowFirstColumn="0" w:firstRowLastColumn="0" w:lastRowFirstColumn="0" w:lastRowLastColumn="0"/>
              <w:rPr>
                <w:rFonts w:asciiTheme="minorHAnsi" w:hAnsiTheme="minorHAnsi" w:cs="Arial"/>
                <w:szCs w:val="20"/>
              </w:rPr>
            </w:pPr>
            <w:r w:rsidRPr="00117572">
              <w:rPr>
                <w:rFonts w:asciiTheme="minorHAnsi" w:hAnsiTheme="minorHAnsi" w:cs="Arial"/>
                <w:szCs w:val="20"/>
              </w:rPr>
              <w:t>17</w:t>
            </w:r>
          </w:p>
        </w:tc>
        <w:tc>
          <w:tcPr>
            <w:tcW w:w="1043" w:type="dxa"/>
            <w:noWrap/>
          </w:tcPr>
          <w:p w:rsidR="00BD3FA0" w:rsidRPr="00117572" w:rsidRDefault="00BD3FA0" w:rsidP="00BD3FA0">
            <w:pPr>
              <w:keepNext/>
              <w:spacing w:after="0"/>
              <w:jc w:val="right"/>
              <w:cnfStyle w:val="000000010000" w:firstRow="0" w:lastRow="0" w:firstColumn="0" w:lastColumn="0" w:oddVBand="0" w:evenVBand="0" w:oddHBand="0" w:evenHBand="1" w:firstRowFirstColumn="0" w:firstRowLastColumn="0" w:lastRowFirstColumn="0" w:lastRowLastColumn="0"/>
              <w:rPr>
                <w:rFonts w:asciiTheme="minorHAnsi" w:hAnsiTheme="minorHAnsi" w:cs="Arial"/>
                <w:szCs w:val="20"/>
              </w:rPr>
            </w:pPr>
            <w:r w:rsidRPr="00117572">
              <w:rPr>
                <w:rFonts w:asciiTheme="minorHAnsi" w:hAnsiTheme="minorHAnsi" w:cs="Arial"/>
                <w:szCs w:val="20"/>
              </w:rPr>
              <w:t>17</w:t>
            </w:r>
          </w:p>
        </w:tc>
        <w:tc>
          <w:tcPr>
            <w:tcW w:w="1043" w:type="dxa"/>
            <w:noWrap/>
          </w:tcPr>
          <w:p w:rsidR="00BD3FA0" w:rsidRPr="00117572" w:rsidRDefault="00BD3FA0" w:rsidP="00BD3FA0">
            <w:pPr>
              <w:keepNext/>
              <w:spacing w:after="0"/>
              <w:jc w:val="right"/>
              <w:cnfStyle w:val="000000010000" w:firstRow="0" w:lastRow="0" w:firstColumn="0" w:lastColumn="0" w:oddVBand="0" w:evenVBand="0" w:oddHBand="0" w:evenHBand="1" w:firstRowFirstColumn="0" w:firstRowLastColumn="0" w:lastRowFirstColumn="0" w:lastRowLastColumn="0"/>
              <w:rPr>
                <w:rFonts w:asciiTheme="minorHAnsi" w:hAnsiTheme="minorHAnsi" w:cs="Arial"/>
                <w:szCs w:val="20"/>
              </w:rPr>
            </w:pPr>
            <w:r w:rsidRPr="00117572">
              <w:rPr>
                <w:rFonts w:asciiTheme="minorHAnsi" w:hAnsiTheme="minorHAnsi" w:cs="Arial"/>
                <w:szCs w:val="20"/>
              </w:rPr>
              <w:t>23</w:t>
            </w:r>
          </w:p>
        </w:tc>
        <w:tc>
          <w:tcPr>
            <w:tcW w:w="1044" w:type="dxa"/>
            <w:noWrap/>
          </w:tcPr>
          <w:p w:rsidR="00BD3FA0" w:rsidRPr="00117572" w:rsidRDefault="00BD3FA0" w:rsidP="00BD3FA0">
            <w:pPr>
              <w:keepNext/>
              <w:spacing w:after="0"/>
              <w:jc w:val="right"/>
              <w:cnfStyle w:val="000000010000" w:firstRow="0" w:lastRow="0" w:firstColumn="0" w:lastColumn="0" w:oddVBand="0" w:evenVBand="0" w:oddHBand="0" w:evenHBand="1" w:firstRowFirstColumn="0" w:firstRowLastColumn="0" w:lastRowFirstColumn="0" w:lastRowLastColumn="0"/>
              <w:rPr>
                <w:rFonts w:asciiTheme="minorHAnsi" w:hAnsiTheme="minorHAnsi" w:cs="Arial"/>
                <w:szCs w:val="20"/>
              </w:rPr>
            </w:pPr>
            <w:r w:rsidRPr="00117572">
              <w:rPr>
                <w:rFonts w:asciiTheme="minorHAnsi" w:hAnsiTheme="minorHAnsi" w:cs="Arial"/>
                <w:szCs w:val="20"/>
              </w:rPr>
              <w:t>11</w:t>
            </w:r>
          </w:p>
        </w:tc>
      </w:tr>
      <w:tr w:rsidR="00BD3FA0" w:rsidRPr="0011757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779" w:type="dxa"/>
            <w:noWrap/>
          </w:tcPr>
          <w:p w:rsidR="00BD3FA0" w:rsidRPr="00117572" w:rsidRDefault="00BD3FA0" w:rsidP="00BD3FA0">
            <w:pPr>
              <w:keepNext/>
              <w:spacing w:after="0"/>
              <w:jc w:val="left"/>
              <w:rPr>
                <w:rFonts w:asciiTheme="minorHAnsi" w:hAnsiTheme="minorHAnsi" w:cs="Arial"/>
                <w:szCs w:val="20"/>
              </w:rPr>
            </w:pPr>
            <w:r w:rsidRPr="00117572">
              <w:rPr>
                <w:rFonts w:asciiTheme="minorHAnsi" w:hAnsiTheme="minorHAnsi" w:cs="Arial"/>
                <w:szCs w:val="20"/>
              </w:rPr>
              <w:t>Dominican Republic</w:t>
            </w:r>
          </w:p>
        </w:tc>
        <w:tc>
          <w:tcPr>
            <w:tcW w:w="1043" w:type="dxa"/>
            <w:noWrap/>
          </w:tcPr>
          <w:p w:rsidR="00BD3FA0" w:rsidRPr="00117572" w:rsidRDefault="00BD3FA0" w:rsidP="00BD3FA0">
            <w:pPr>
              <w:keepNext/>
              <w:spacing w:after="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20"/>
              </w:rPr>
            </w:pPr>
            <w:r w:rsidRPr="00117572">
              <w:rPr>
                <w:rFonts w:asciiTheme="minorHAnsi" w:hAnsiTheme="minorHAnsi" w:cs="Arial"/>
                <w:szCs w:val="20"/>
              </w:rPr>
              <w:t>1</w:t>
            </w:r>
          </w:p>
        </w:tc>
        <w:tc>
          <w:tcPr>
            <w:tcW w:w="1043" w:type="dxa"/>
            <w:noWrap/>
          </w:tcPr>
          <w:p w:rsidR="00BD3FA0" w:rsidRPr="00117572" w:rsidRDefault="00BD3FA0" w:rsidP="00BD3FA0">
            <w:pPr>
              <w:keepNext/>
              <w:spacing w:after="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20"/>
              </w:rPr>
            </w:pPr>
            <w:r w:rsidRPr="00117572">
              <w:rPr>
                <w:rFonts w:asciiTheme="minorHAnsi" w:hAnsiTheme="minorHAnsi" w:cs="Arial"/>
                <w:szCs w:val="20"/>
              </w:rPr>
              <w:t>2</w:t>
            </w:r>
          </w:p>
        </w:tc>
        <w:tc>
          <w:tcPr>
            <w:tcW w:w="1044" w:type="dxa"/>
            <w:noWrap/>
          </w:tcPr>
          <w:p w:rsidR="00BD3FA0" w:rsidRPr="00117572" w:rsidRDefault="00BD3FA0" w:rsidP="00BD3FA0">
            <w:pPr>
              <w:keepNext/>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20"/>
              </w:rPr>
            </w:pPr>
            <w:r w:rsidRPr="00117572">
              <w:rPr>
                <w:rFonts w:asciiTheme="minorHAnsi" w:hAnsiTheme="minorHAnsi" w:cs="Arial"/>
                <w:szCs w:val="20"/>
              </w:rPr>
              <w:t> </w:t>
            </w:r>
          </w:p>
        </w:tc>
        <w:tc>
          <w:tcPr>
            <w:tcW w:w="1043" w:type="dxa"/>
            <w:noWrap/>
          </w:tcPr>
          <w:p w:rsidR="00BD3FA0" w:rsidRPr="00117572" w:rsidRDefault="00BD3FA0" w:rsidP="00BD3FA0">
            <w:pPr>
              <w:keepNext/>
              <w:spacing w:after="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20"/>
              </w:rPr>
            </w:pPr>
            <w:r w:rsidRPr="00117572">
              <w:rPr>
                <w:rFonts w:asciiTheme="minorHAnsi" w:hAnsiTheme="minorHAnsi" w:cs="Arial"/>
                <w:szCs w:val="20"/>
              </w:rPr>
              <w:t>5</w:t>
            </w:r>
          </w:p>
        </w:tc>
        <w:tc>
          <w:tcPr>
            <w:tcW w:w="1043" w:type="dxa"/>
            <w:noWrap/>
          </w:tcPr>
          <w:p w:rsidR="00BD3FA0" w:rsidRPr="00117572" w:rsidRDefault="00BD3FA0" w:rsidP="00BD3FA0">
            <w:pPr>
              <w:keepNext/>
              <w:spacing w:after="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20"/>
              </w:rPr>
            </w:pPr>
            <w:r w:rsidRPr="00117572">
              <w:rPr>
                <w:rFonts w:asciiTheme="minorHAnsi" w:hAnsiTheme="minorHAnsi" w:cs="Arial"/>
                <w:szCs w:val="20"/>
              </w:rPr>
              <w:t>6</w:t>
            </w:r>
          </w:p>
        </w:tc>
        <w:tc>
          <w:tcPr>
            <w:tcW w:w="1044" w:type="dxa"/>
            <w:noWrap/>
          </w:tcPr>
          <w:p w:rsidR="00BD3FA0" w:rsidRPr="00117572" w:rsidRDefault="00BD3FA0" w:rsidP="00BD3FA0">
            <w:pPr>
              <w:keepNext/>
              <w:spacing w:after="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20"/>
              </w:rPr>
            </w:pPr>
            <w:r w:rsidRPr="00117572">
              <w:rPr>
                <w:rFonts w:asciiTheme="minorHAnsi" w:hAnsiTheme="minorHAnsi" w:cs="Arial"/>
                <w:szCs w:val="20"/>
              </w:rPr>
              <w:t>7</w:t>
            </w:r>
          </w:p>
        </w:tc>
      </w:tr>
      <w:tr w:rsidR="00BD3FA0" w:rsidRPr="00117572">
        <w:trPr>
          <w:cnfStyle w:val="000000010000" w:firstRow="0" w:lastRow="0" w:firstColumn="0" w:lastColumn="0" w:oddVBand="0" w:evenVBand="0" w:oddHBand="0" w:evenHBand="1"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779" w:type="dxa"/>
            <w:noWrap/>
          </w:tcPr>
          <w:p w:rsidR="00BD3FA0" w:rsidRPr="00117572" w:rsidRDefault="00BD3FA0" w:rsidP="00BD3FA0">
            <w:pPr>
              <w:keepNext/>
              <w:spacing w:after="0"/>
              <w:jc w:val="left"/>
              <w:rPr>
                <w:rFonts w:asciiTheme="minorHAnsi" w:hAnsiTheme="minorHAnsi" w:cs="Arial"/>
                <w:szCs w:val="20"/>
              </w:rPr>
            </w:pPr>
            <w:r w:rsidRPr="00117572">
              <w:rPr>
                <w:rFonts w:asciiTheme="minorHAnsi" w:hAnsiTheme="minorHAnsi" w:cs="Arial"/>
                <w:szCs w:val="20"/>
              </w:rPr>
              <w:t>Ecuador</w:t>
            </w:r>
          </w:p>
        </w:tc>
        <w:tc>
          <w:tcPr>
            <w:tcW w:w="1043" w:type="dxa"/>
            <w:noWrap/>
          </w:tcPr>
          <w:p w:rsidR="00BD3FA0" w:rsidRPr="00117572" w:rsidRDefault="00BD3FA0" w:rsidP="00BD3FA0">
            <w:pPr>
              <w:keepNext/>
              <w:spacing w:after="0"/>
              <w:jc w:val="right"/>
              <w:cnfStyle w:val="000000010000" w:firstRow="0" w:lastRow="0" w:firstColumn="0" w:lastColumn="0" w:oddVBand="0" w:evenVBand="0" w:oddHBand="0" w:evenHBand="1" w:firstRowFirstColumn="0" w:firstRowLastColumn="0" w:lastRowFirstColumn="0" w:lastRowLastColumn="0"/>
              <w:rPr>
                <w:rFonts w:asciiTheme="minorHAnsi" w:hAnsiTheme="minorHAnsi" w:cs="Arial"/>
                <w:szCs w:val="20"/>
              </w:rPr>
            </w:pPr>
            <w:r w:rsidRPr="00117572">
              <w:rPr>
                <w:rFonts w:asciiTheme="minorHAnsi" w:hAnsiTheme="minorHAnsi" w:cs="Arial"/>
                <w:szCs w:val="20"/>
              </w:rPr>
              <w:t>1</w:t>
            </w:r>
          </w:p>
        </w:tc>
        <w:tc>
          <w:tcPr>
            <w:tcW w:w="1043" w:type="dxa"/>
            <w:noWrap/>
          </w:tcPr>
          <w:p w:rsidR="00BD3FA0" w:rsidRPr="00117572" w:rsidRDefault="00BD3FA0" w:rsidP="00BD3FA0">
            <w:pPr>
              <w:keepNext/>
              <w:spacing w:after="0"/>
              <w:jc w:val="right"/>
              <w:cnfStyle w:val="000000010000" w:firstRow="0" w:lastRow="0" w:firstColumn="0" w:lastColumn="0" w:oddVBand="0" w:evenVBand="0" w:oddHBand="0" w:evenHBand="1" w:firstRowFirstColumn="0" w:firstRowLastColumn="0" w:lastRowFirstColumn="0" w:lastRowLastColumn="0"/>
              <w:rPr>
                <w:rFonts w:asciiTheme="minorHAnsi" w:hAnsiTheme="minorHAnsi" w:cs="Arial"/>
                <w:szCs w:val="20"/>
              </w:rPr>
            </w:pPr>
            <w:r w:rsidRPr="00117572">
              <w:rPr>
                <w:rFonts w:asciiTheme="minorHAnsi" w:hAnsiTheme="minorHAnsi" w:cs="Arial"/>
                <w:szCs w:val="20"/>
              </w:rPr>
              <w:t>3</w:t>
            </w:r>
          </w:p>
        </w:tc>
        <w:tc>
          <w:tcPr>
            <w:tcW w:w="1044" w:type="dxa"/>
            <w:noWrap/>
          </w:tcPr>
          <w:p w:rsidR="00BD3FA0" w:rsidRPr="00117572" w:rsidRDefault="00BD3FA0" w:rsidP="00BD3FA0">
            <w:pPr>
              <w:keepNext/>
              <w:spacing w:after="0"/>
              <w:jc w:val="right"/>
              <w:cnfStyle w:val="000000010000" w:firstRow="0" w:lastRow="0" w:firstColumn="0" w:lastColumn="0" w:oddVBand="0" w:evenVBand="0" w:oddHBand="0" w:evenHBand="1" w:firstRowFirstColumn="0" w:firstRowLastColumn="0" w:lastRowFirstColumn="0" w:lastRowLastColumn="0"/>
              <w:rPr>
                <w:rFonts w:asciiTheme="minorHAnsi" w:hAnsiTheme="minorHAnsi" w:cs="Arial"/>
                <w:szCs w:val="20"/>
              </w:rPr>
            </w:pPr>
            <w:r w:rsidRPr="00117572">
              <w:rPr>
                <w:rFonts w:asciiTheme="minorHAnsi" w:hAnsiTheme="minorHAnsi" w:cs="Arial"/>
                <w:szCs w:val="20"/>
              </w:rPr>
              <w:t>5</w:t>
            </w:r>
          </w:p>
        </w:tc>
        <w:tc>
          <w:tcPr>
            <w:tcW w:w="1043" w:type="dxa"/>
            <w:noWrap/>
          </w:tcPr>
          <w:p w:rsidR="00BD3FA0" w:rsidRPr="00117572" w:rsidRDefault="00BD3FA0" w:rsidP="00BD3FA0">
            <w:pPr>
              <w:keepNext/>
              <w:spacing w:after="0"/>
              <w:jc w:val="right"/>
              <w:cnfStyle w:val="000000010000" w:firstRow="0" w:lastRow="0" w:firstColumn="0" w:lastColumn="0" w:oddVBand="0" w:evenVBand="0" w:oddHBand="0" w:evenHBand="1" w:firstRowFirstColumn="0" w:firstRowLastColumn="0" w:lastRowFirstColumn="0" w:lastRowLastColumn="0"/>
              <w:rPr>
                <w:rFonts w:asciiTheme="minorHAnsi" w:hAnsiTheme="minorHAnsi" w:cs="Arial"/>
                <w:szCs w:val="20"/>
              </w:rPr>
            </w:pPr>
            <w:r w:rsidRPr="00117572">
              <w:rPr>
                <w:rFonts w:asciiTheme="minorHAnsi" w:hAnsiTheme="minorHAnsi" w:cs="Arial"/>
                <w:szCs w:val="20"/>
              </w:rPr>
              <w:t>4</w:t>
            </w:r>
          </w:p>
        </w:tc>
        <w:tc>
          <w:tcPr>
            <w:tcW w:w="1043" w:type="dxa"/>
            <w:noWrap/>
          </w:tcPr>
          <w:p w:rsidR="00BD3FA0" w:rsidRPr="00117572" w:rsidRDefault="00BD3FA0" w:rsidP="00BD3FA0">
            <w:pPr>
              <w:keepNext/>
              <w:spacing w:after="0"/>
              <w:jc w:val="right"/>
              <w:cnfStyle w:val="000000010000" w:firstRow="0" w:lastRow="0" w:firstColumn="0" w:lastColumn="0" w:oddVBand="0" w:evenVBand="0" w:oddHBand="0" w:evenHBand="1" w:firstRowFirstColumn="0" w:firstRowLastColumn="0" w:lastRowFirstColumn="0" w:lastRowLastColumn="0"/>
              <w:rPr>
                <w:rFonts w:asciiTheme="minorHAnsi" w:hAnsiTheme="minorHAnsi" w:cs="Arial"/>
                <w:szCs w:val="20"/>
              </w:rPr>
            </w:pPr>
            <w:r w:rsidRPr="00117572">
              <w:rPr>
                <w:rFonts w:asciiTheme="minorHAnsi" w:hAnsiTheme="minorHAnsi" w:cs="Arial"/>
                <w:szCs w:val="20"/>
              </w:rPr>
              <w:t>2</w:t>
            </w:r>
          </w:p>
        </w:tc>
        <w:tc>
          <w:tcPr>
            <w:tcW w:w="1044" w:type="dxa"/>
            <w:noWrap/>
          </w:tcPr>
          <w:p w:rsidR="00BD3FA0" w:rsidRPr="00117572" w:rsidRDefault="00BD3FA0" w:rsidP="00BD3FA0">
            <w:pPr>
              <w:keepNext/>
              <w:spacing w:after="0"/>
              <w:jc w:val="right"/>
              <w:cnfStyle w:val="000000010000" w:firstRow="0" w:lastRow="0" w:firstColumn="0" w:lastColumn="0" w:oddVBand="0" w:evenVBand="0" w:oddHBand="0" w:evenHBand="1" w:firstRowFirstColumn="0" w:firstRowLastColumn="0" w:lastRowFirstColumn="0" w:lastRowLastColumn="0"/>
              <w:rPr>
                <w:rFonts w:asciiTheme="minorHAnsi" w:hAnsiTheme="minorHAnsi" w:cs="Arial"/>
                <w:szCs w:val="20"/>
              </w:rPr>
            </w:pPr>
            <w:r w:rsidRPr="00117572">
              <w:rPr>
                <w:rFonts w:asciiTheme="minorHAnsi" w:hAnsiTheme="minorHAnsi" w:cs="Arial"/>
                <w:szCs w:val="20"/>
              </w:rPr>
              <w:t>3</w:t>
            </w:r>
          </w:p>
        </w:tc>
      </w:tr>
      <w:tr w:rsidR="00BD3FA0" w:rsidRPr="0011757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779" w:type="dxa"/>
            <w:noWrap/>
          </w:tcPr>
          <w:p w:rsidR="00BD3FA0" w:rsidRPr="00117572" w:rsidRDefault="00BD3FA0" w:rsidP="00BD3FA0">
            <w:pPr>
              <w:keepNext/>
              <w:spacing w:after="0"/>
              <w:jc w:val="left"/>
              <w:rPr>
                <w:rFonts w:asciiTheme="minorHAnsi" w:hAnsiTheme="minorHAnsi" w:cs="Arial"/>
                <w:szCs w:val="20"/>
              </w:rPr>
            </w:pPr>
            <w:r w:rsidRPr="00117572">
              <w:rPr>
                <w:rFonts w:asciiTheme="minorHAnsi" w:hAnsiTheme="minorHAnsi" w:cs="Arial"/>
                <w:szCs w:val="20"/>
              </w:rPr>
              <w:t>El salvador</w:t>
            </w:r>
          </w:p>
        </w:tc>
        <w:tc>
          <w:tcPr>
            <w:tcW w:w="1043" w:type="dxa"/>
            <w:noWrap/>
          </w:tcPr>
          <w:p w:rsidR="00BD3FA0" w:rsidRPr="00117572" w:rsidRDefault="00BD3FA0" w:rsidP="00BD3FA0">
            <w:pPr>
              <w:keepNext/>
              <w:spacing w:after="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20"/>
              </w:rPr>
            </w:pPr>
            <w:r w:rsidRPr="00117572">
              <w:rPr>
                <w:rFonts w:asciiTheme="minorHAnsi" w:hAnsiTheme="minorHAnsi" w:cs="Arial"/>
                <w:szCs w:val="20"/>
              </w:rPr>
              <w:t> 0</w:t>
            </w:r>
          </w:p>
        </w:tc>
        <w:tc>
          <w:tcPr>
            <w:tcW w:w="1043" w:type="dxa"/>
            <w:noWrap/>
          </w:tcPr>
          <w:p w:rsidR="00BD3FA0" w:rsidRPr="00117572" w:rsidRDefault="00BD3FA0" w:rsidP="00BD3FA0">
            <w:pPr>
              <w:keepNext/>
              <w:spacing w:after="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20"/>
              </w:rPr>
            </w:pPr>
            <w:r w:rsidRPr="00117572">
              <w:rPr>
                <w:rFonts w:asciiTheme="minorHAnsi" w:hAnsiTheme="minorHAnsi" w:cs="Arial"/>
                <w:szCs w:val="20"/>
              </w:rPr>
              <w:t>5</w:t>
            </w:r>
          </w:p>
        </w:tc>
        <w:tc>
          <w:tcPr>
            <w:tcW w:w="1044" w:type="dxa"/>
            <w:noWrap/>
          </w:tcPr>
          <w:p w:rsidR="00BD3FA0" w:rsidRPr="00117572" w:rsidRDefault="00BD3FA0" w:rsidP="00BD3FA0">
            <w:pPr>
              <w:keepNext/>
              <w:spacing w:after="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20"/>
              </w:rPr>
            </w:pPr>
            <w:r w:rsidRPr="00117572">
              <w:rPr>
                <w:rFonts w:asciiTheme="minorHAnsi" w:hAnsiTheme="minorHAnsi" w:cs="Arial"/>
                <w:szCs w:val="20"/>
              </w:rPr>
              <w:t>1</w:t>
            </w:r>
          </w:p>
        </w:tc>
        <w:tc>
          <w:tcPr>
            <w:tcW w:w="1043" w:type="dxa"/>
            <w:noWrap/>
          </w:tcPr>
          <w:p w:rsidR="00BD3FA0" w:rsidRPr="00117572" w:rsidRDefault="00BD3FA0" w:rsidP="00BD3FA0">
            <w:pPr>
              <w:keepNext/>
              <w:spacing w:after="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20"/>
              </w:rPr>
            </w:pPr>
            <w:r w:rsidRPr="00117572">
              <w:rPr>
                <w:rFonts w:asciiTheme="minorHAnsi" w:hAnsiTheme="minorHAnsi" w:cs="Arial"/>
                <w:szCs w:val="20"/>
              </w:rPr>
              <w:t>1</w:t>
            </w:r>
          </w:p>
        </w:tc>
        <w:tc>
          <w:tcPr>
            <w:tcW w:w="1043" w:type="dxa"/>
            <w:noWrap/>
          </w:tcPr>
          <w:p w:rsidR="00BD3FA0" w:rsidRPr="00117572" w:rsidRDefault="00BD3FA0" w:rsidP="00BD3FA0">
            <w:pPr>
              <w:keepNext/>
              <w:spacing w:after="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20"/>
              </w:rPr>
            </w:pPr>
            <w:r w:rsidRPr="00117572">
              <w:rPr>
                <w:rFonts w:asciiTheme="minorHAnsi" w:hAnsiTheme="minorHAnsi" w:cs="Arial"/>
                <w:szCs w:val="20"/>
              </w:rPr>
              <w:t>4</w:t>
            </w:r>
          </w:p>
        </w:tc>
        <w:tc>
          <w:tcPr>
            <w:tcW w:w="1044" w:type="dxa"/>
            <w:noWrap/>
          </w:tcPr>
          <w:p w:rsidR="00BD3FA0" w:rsidRPr="00117572" w:rsidRDefault="00BD3FA0" w:rsidP="00BD3FA0">
            <w:pPr>
              <w:keepNext/>
              <w:spacing w:after="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20"/>
              </w:rPr>
            </w:pPr>
            <w:r w:rsidRPr="00117572">
              <w:rPr>
                <w:rFonts w:asciiTheme="minorHAnsi" w:hAnsiTheme="minorHAnsi" w:cs="Arial"/>
                <w:szCs w:val="20"/>
              </w:rPr>
              <w:t>1</w:t>
            </w:r>
          </w:p>
        </w:tc>
      </w:tr>
      <w:tr w:rsidR="00BD3FA0" w:rsidRPr="00117572">
        <w:trPr>
          <w:cnfStyle w:val="000000010000" w:firstRow="0" w:lastRow="0" w:firstColumn="0" w:lastColumn="0" w:oddVBand="0" w:evenVBand="0" w:oddHBand="0" w:evenHBand="1"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779" w:type="dxa"/>
            <w:noWrap/>
          </w:tcPr>
          <w:p w:rsidR="00BD3FA0" w:rsidRPr="00117572" w:rsidRDefault="00BD3FA0" w:rsidP="00BD3FA0">
            <w:pPr>
              <w:keepNext/>
              <w:spacing w:after="0"/>
              <w:jc w:val="left"/>
              <w:rPr>
                <w:rFonts w:asciiTheme="minorHAnsi" w:hAnsiTheme="minorHAnsi" w:cs="Arial"/>
                <w:szCs w:val="20"/>
              </w:rPr>
            </w:pPr>
            <w:r w:rsidRPr="00117572">
              <w:rPr>
                <w:rFonts w:asciiTheme="minorHAnsi" w:hAnsiTheme="minorHAnsi" w:cs="Arial"/>
                <w:szCs w:val="20"/>
              </w:rPr>
              <w:t>Guatemala</w:t>
            </w:r>
          </w:p>
        </w:tc>
        <w:tc>
          <w:tcPr>
            <w:tcW w:w="1043" w:type="dxa"/>
            <w:noWrap/>
          </w:tcPr>
          <w:p w:rsidR="00BD3FA0" w:rsidRPr="00117572" w:rsidRDefault="00BD3FA0" w:rsidP="00BD3FA0">
            <w:pPr>
              <w:keepNext/>
              <w:spacing w:after="0"/>
              <w:jc w:val="right"/>
              <w:cnfStyle w:val="000000010000" w:firstRow="0" w:lastRow="0" w:firstColumn="0" w:lastColumn="0" w:oddVBand="0" w:evenVBand="0" w:oddHBand="0" w:evenHBand="1" w:firstRowFirstColumn="0" w:firstRowLastColumn="0" w:lastRowFirstColumn="0" w:lastRowLastColumn="0"/>
              <w:rPr>
                <w:rFonts w:asciiTheme="minorHAnsi" w:hAnsiTheme="minorHAnsi" w:cs="Arial"/>
                <w:szCs w:val="20"/>
              </w:rPr>
            </w:pPr>
            <w:r w:rsidRPr="00117572">
              <w:rPr>
                <w:rFonts w:asciiTheme="minorHAnsi" w:hAnsiTheme="minorHAnsi" w:cs="Arial"/>
                <w:szCs w:val="20"/>
              </w:rPr>
              <w:t>3</w:t>
            </w:r>
          </w:p>
        </w:tc>
        <w:tc>
          <w:tcPr>
            <w:tcW w:w="1043" w:type="dxa"/>
            <w:noWrap/>
          </w:tcPr>
          <w:p w:rsidR="00BD3FA0" w:rsidRPr="00117572" w:rsidRDefault="00BD3FA0" w:rsidP="00BD3FA0">
            <w:pPr>
              <w:keepNext/>
              <w:spacing w:after="0"/>
              <w:jc w:val="right"/>
              <w:cnfStyle w:val="000000010000" w:firstRow="0" w:lastRow="0" w:firstColumn="0" w:lastColumn="0" w:oddVBand="0" w:evenVBand="0" w:oddHBand="0" w:evenHBand="1" w:firstRowFirstColumn="0" w:firstRowLastColumn="0" w:lastRowFirstColumn="0" w:lastRowLastColumn="0"/>
              <w:rPr>
                <w:rFonts w:asciiTheme="minorHAnsi" w:hAnsiTheme="minorHAnsi" w:cs="Arial"/>
                <w:szCs w:val="20"/>
              </w:rPr>
            </w:pPr>
            <w:r w:rsidRPr="00117572">
              <w:rPr>
                <w:rFonts w:asciiTheme="minorHAnsi" w:hAnsiTheme="minorHAnsi" w:cs="Arial"/>
                <w:szCs w:val="20"/>
              </w:rPr>
              <w:t>2</w:t>
            </w:r>
          </w:p>
        </w:tc>
        <w:tc>
          <w:tcPr>
            <w:tcW w:w="1044" w:type="dxa"/>
            <w:noWrap/>
          </w:tcPr>
          <w:p w:rsidR="00BD3FA0" w:rsidRPr="00117572" w:rsidRDefault="00BD3FA0" w:rsidP="00BD3FA0">
            <w:pPr>
              <w:keepNext/>
              <w:spacing w:after="0"/>
              <w:jc w:val="right"/>
              <w:cnfStyle w:val="000000010000" w:firstRow="0" w:lastRow="0" w:firstColumn="0" w:lastColumn="0" w:oddVBand="0" w:evenVBand="0" w:oddHBand="0" w:evenHBand="1" w:firstRowFirstColumn="0" w:firstRowLastColumn="0" w:lastRowFirstColumn="0" w:lastRowLastColumn="0"/>
              <w:rPr>
                <w:rFonts w:asciiTheme="minorHAnsi" w:hAnsiTheme="minorHAnsi" w:cs="Arial"/>
                <w:szCs w:val="20"/>
              </w:rPr>
            </w:pPr>
            <w:r w:rsidRPr="00117572">
              <w:rPr>
                <w:rFonts w:asciiTheme="minorHAnsi" w:hAnsiTheme="minorHAnsi" w:cs="Arial"/>
                <w:szCs w:val="20"/>
              </w:rPr>
              <w:t>3</w:t>
            </w:r>
          </w:p>
        </w:tc>
        <w:tc>
          <w:tcPr>
            <w:tcW w:w="1043" w:type="dxa"/>
            <w:noWrap/>
          </w:tcPr>
          <w:p w:rsidR="00BD3FA0" w:rsidRPr="00117572" w:rsidRDefault="00BD3FA0" w:rsidP="00BD3FA0">
            <w:pPr>
              <w:keepNext/>
              <w:spacing w:after="0"/>
              <w:jc w:val="right"/>
              <w:cnfStyle w:val="000000010000" w:firstRow="0" w:lastRow="0" w:firstColumn="0" w:lastColumn="0" w:oddVBand="0" w:evenVBand="0" w:oddHBand="0" w:evenHBand="1" w:firstRowFirstColumn="0" w:firstRowLastColumn="0" w:lastRowFirstColumn="0" w:lastRowLastColumn="0"/>
              <w:rPr>
                <w:rFonts w:asciiTheme="minorHAnsi" w:hAnsiTheme="minorHAnsi" w:cs="Arial"/>
                <w:szCs w:val="20"/>
              </w:rPr>
            </w:pPr>
            <w:r w:rsidRPr="00117572">
              <w:rPr>
                <w:rFonts w:asciiTheme="minorHAnsi" w:hAnsiTheme="minorHAnsi" w:cs="Arial"/>
                <w:szCs w:val="20"/>
              </w:rPr>
              <w:t>6</w:t>
            </w:r>
          </w:p>
        </w:tc>
        <w:tc>
          <w:tcPr>
            <w:tcW w:w="1043" w:type="dxa"/>
            <w:noWrap/>
          </w:tcPr>
          <w:p w:rsidR="00BD3FA0" w:rsidRPr="00117572" w:rsidRDefault="00BD3FA0" w:rsidP="00BD3FA0">
            <w:pPr>
              <w:keepNext/>
              <w:spacing w:after="0"/>
              <w:jc w:val="right"/>
              <w:cnfStyle w:val="000000010000" w:firstRow="0" w:lastRow="0" w:firstColumn="0" w:lastColumn="0" w:oddVBand="0" w:evenVBand="0" w:oddHBand="0" w:evenHBand="1" w:firstRowFirstColumn="0" w:firstRowLastColumn="0" w:lastRowFirstColumn="0" w:lastRowLastColumn="0"/>
              <w:rPr>
                <w:rFonts w:asciiTheme="minorHAnsi" w:hAnsiTheme="minorHAnsi" w:cs="Arial"/>
                <w:szCs w:val="20"/>
              </w:rPr>
            </w:pPr>
            <w:r w:rsidRPr="00117572">
              <w:rPr>
                <w:rFonts w:asciiTheme="minorHAnsi" w:hAnsiTheme="minorHAnsi" w:cs="Arial"/>
                <w:szCs w:val="20"/>
              </w:rPr>
              <w:t>10</w:t>
            </w:r>
          </w:p>
        </w:tc>
        <w:tc>
          <w:tcPr>
            <w:tcW w:w="1044" w:type="dxa"/>
            <w:noWrap/>
          </w:tcPr>
          <w:p w:rsidR="00BD3FA0" w:rsidRPr="00117572" w:rsidRDefault="00BD3FA0" w:rsidP="00BD3FA0">
            <w:pPr>
              <w:keepNext/>
              <w:spacing w:after="0"/>
              <w:jc w:val="right"/>
              <w:cnfStyle w:val="000000010000" w:firstRow="0" w:lastRow="0" w:firstColumn="0" w:lastColumn="0" w:oddVBand="0" w:evenVBand="0" w:oddHBand="0" w:evenHBand="1" w:firstRowFirstColumn="0" w:firstRowLastColumn="0" w:lastRowFirstColumn="0" w:lastRowLastColumn="0"/>
              <w:rPr>
                <w:rFonts w:asciiTheme="minorHAnsi" w:hAnsiTheme="minorHAnsi" w:cs="Arial"/>
                <w:szCs w:val="20"/>
              </w:rPr>
            </w:pPr>
            <w:r w:rsidRPr="00117572">
              <w:rPr>
                <w:rFonts w:asciiTheme="minorHAnsi" w:hAnsiTheme="minorHAnsi" w:cs="Arial"/>
                <w:szCs w:val="20"/>
              </w:rPr>
              <w:t>8</w:t>
            </w:r>
          </w:p>
        </w:tc>
      </w:tr>
      <w:tr w:rsidR="00BD3FA0" w:rsidRPr="0011757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779" w:type="dxa"/>
            <w:noWrap/>
          </w:tcPr>
          <w:p w:rsidR="00BD3FA0" w:rsidRPr="00117572" w:rsidRDefault="00BD3FA0" w:rsidP="00BD3FA0">
            <w:pPr>
              <w:keepNext/>
              <w:spacing w:after="0"/>
              <w:jc w:val="left"/>
              <w:rPr>
                <w:rFonts w:asciiTheme="minorHAnsi" w:hAnsiTheme="minorHAnsi" w:cs="Arial"/>
                <w:szCs w:val="20"/>
              </w:rPr>
            </w:pPr>
            <w:r w:rsidRPr="00117572">
              <w:rPr>
                <w:rFonts w:asciiTheme="minorHAnsi" w:hAnsiTheme="minorHAnsi" w:cs="Arial"/>
                <w:szCs w:val="20"/>
              </w:rPr>
              <w:t>Iran</w:t>
            </w:r>
          </w:p>
        </w:tc>
        <w:tc>
          <w:tcPr>
            <w:tcW w:w="1043" w:type="dxa"/>
            <w:noWrap/>
          </w:tcPr>
          <w:p w:rsidR="00BD3FA0" w:rsidRPr="00117572" w:rsidRDefault="00BD3FA0" w:rsidP="00BD3FA0">
            <w:pPr>
              <w:keepNext/>
              <w:spacing w:after="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20"/>
              </w:rPr>
            </w:pPr>
            <w:r w:rsidRPr="00117572">
              <w:rPr>
                <w:rFonts w:asciiTheme="minorHAnsi" w:hAnsiTheme="minorHAnsi" w:cs="Arial"/>
                <w:szCs w:val="20"/>
              </w:rPr>
              <w:t>16</w:t>
            </w:r>
          </w:p>
        </w:tc>
        <w:tc>
          <w:tcPr>
            <w:tcW w:w="1043" w:type="dxa"/>
            <w:noWrap/>
          </w:tcPr>
          <w:p w:rsidR="00BD3FA0" w:rsidRPr="00117572" w:rsidRDefault="00BD3FA0" w:rsidP="00BD3FA0">
            <w:pPr>
              <w:keepNext/>
              <w:spacing w:after="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20"/>
              </w:rPr>
            </w:pPr>
            <w:r w:rsidRPr="00117572">
              <w:rPr>
                <w:rFonts w:asciiTheme="minorHAnsi" w:hAnsiTheme="minorHAnsi" w:cs="Arial"/>
                <w:szCs w:val="20"/>
              </w:rPr>
              <w:t>11</w:t>
            </w:r>
          </w:p>
        </w:tc>
        <w:tc>
          <w:tcPr>
            <w:tcW w:w="1044" w:type="dxa"/>
            <w:noWrap/>
          </w:tcPr>
          <w:p w:rsidR="00BD3FA0" w:rsidRPr="00117572" w:rsidRDefault="00BD3FA0" w:rsidP="00BD3FA0">
            <w:pPr>
              <w:keepNext/>
              <w:spacing w:after="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20"/>
              </w:rPr>
            </w:pPr>
            <w:r w:rsidRPr="00117572">
              <w:rPr>
                <w:rFonts w:asciiTheme="minorHAnsi" w:hAnsiTheme="minorHAnsi" w:cs="Arial"/>
                <w:szCs w:val="20"/>
              </w:rPr>
              <w:t>12</w:t>
            </w:r>
          </w:p>
        </w:tc>
        <w:tc>
          <w:tcPr>
            <w:tcW w:w="1043" w:type="dxa"/>
            <w:noWrap/>
          </w:tcPr>
          <w:p w:rsidR="00BD3FA0" w:rsidRPr="00117572" w:rsidRDefault="00BD3FA0" w:rsidP="00BD3FA0">
            <w:pPr>
              <w:keepNext/>
              <w:spacing w:after="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20"/>
              </w:rPr>
            </w:pPr>
            <w:r w:rsidRPr="00117572">
              <w:rPr>
                <w:rFonts w:asciiTheme="minorHAnsi" w:hAnsiTheme="minorHAnsi" w:cs="Arial"/>
                <w:szCs w:val="20"/>
              </w:rPr>
              <w:t>12</w:t>
            </w:r>
          </w:p>
        </w:tc>
        <w:tc>
          <w:tcPr>
            <w:tcW w:w="1043" w:type="dxa"/>
            <w:noWrap/>
          </w:tcPr>
          <w:p w:rsidR="00BD3FA0" w:rsidRPr="00117572" w:rsidRDefault="00BD3FA0" w:rsidP="00BD3FA0">
            <w:pPr>
              <w:keepNext/>
              <w:spacing w:after="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20"/>
              </w:rPr>
            </w:pPr>
            <w:r w:rsidRPr="00117572">
              <w:rPr>
                <w:rFonts w:asciiTheme="minorHAnsi" w:hAnsiTheme="minorHAnsi" w:cs="Arial"/>
                <w:szCs w:val="20"/>
              </w:rPr>
              <w:t>22</w:t>
            </w:r>
          </w:p>
        </w:tc>
        <w:tc>
          <w:tcPr>
            <w:tcW w:w="1044" w:type="dxa"/>
            <w:noWrap/>
          </w:tcPr>
          <w:p w:rsidR="00BD3FA0" w:rsidRPr="00117572" w:rsidRDefault="00BD3FA0" w:rsidP="00BD3FA0">
            <w:pPr>
              <w:keepNext/>
              <w:spacing w:after="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20"/>
              </w:rPr>
            </w:pPr>
            <w:r w:rsidRPr="00117572">
              <w:rPr>
                <w:rFonts w:asciiTheme="minorHAnsi" w:hAnsiTheme="minorHAnsi" w:cs="Arial"/>
                <w:szCs w:val="20"/>
              </w:rPr>
              <w:t>12</w:t>
            </w:r>
          </w:p>
        </w:tc>
      </w:tr>
      <w:tr w:rsidR="00BD3FA0" w:rsidRPr="00117572">
        <w:trPr>
          <w:cnfStyle w:val="000000010000" w:firstRow="0" w:lastRow="0" w:firstColumn="0" w:lastColumn="0" w:oddVBand="0" w:evenVBand="0" w:oddHBand="0" w:evenHBand="1"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779" w:type="dxa"/>
            <w:noWrap/>
          </w:tcPr>
          <w:p w:rsidR="00BD3FA0" w:rsidRPr="00117572" w:rsidRDefault="00BD3FA0" w:rsidP="00BD3FA0">
            <w:pPr>
              <w:keepNext/>
              <w:spacing w:after="0"/>
              <w:jc w:val="left"/>
              <w:rPr>
                <w:rFonts w:asciiTheme="minorHAnsi" w:hAnsiTheme="minorHAnsi" w:cs="Arial"/>
                <w:szCs w:val="20"/>
              </w:rPr>
            </w:pPr>
            <w:r w:rsidRPr="00117572">
              <w:rPr>
                <w:rFonts w:asciiTheme="minorHAnsi" w:hAnsiTheme="minorHAnsi" w:cs="Arial"/>
                <w:szCs w:val="20"/>
              </w:rPr>
              <w:t>Lithuania</w:t>
            </w:r>
          </w:p>
        </w:tc>
        <w:tc>
          <w:tcPr>
            <w:tcW w:w="1043" w:type="dxa"/>
            <w:noWrap/>
          </w:tcPr>
          <w:p w:rsidR="00BD3FA0" w:rsidRPr="00117572" w:rsidRDefault="00BD3FA0" w:rsidP="00BD3FA0">
            <w:pPr>
              <w:keepNext/>
              <w:spacing w:after="0"/>
              <w:jc w:val="right"/>
              <w:cnfStyle w:val="000000010000" w:firstRow="0" w:lastRow="0" w:firstColumn="0" w:lastColumn="0" w:oddVBand="0" w:evenVBand="0" w:oddHBand="0" w:evenHBand="1" w:firstRowFirstColumn="0" w:firstRowLastColumn="0" w:lastRowFirstColumn="0" w:lastRowLastColumn="0"/>
              <w:rPr>
                <w:rFonts w:asciiTheme="minorHAnsi" w:hAnsiTheme="minorHAnsi" w:cs="Arial"/>
                <w:szCs w:val="20"/>
              </w:rPr>
            </w:pPr>
            <w:r w:rsidRPr="00117572">
              <w:rPr>
                <w:rFonts w:asciiTheme="minorHAnsi" w:hAnsiTheme="minorHAnsi" w:cs="Arial"/>
                <w:szCs w:val="20"/>
              </w:rPr>
              <w:t>1</w:t>
            </w:r>
          </w:p>
        </w:tc>
        <w:tc>
          <w:tcPr>
            <w:tcW w:w="1043" w:type="dxa"/>
            <w:noWrap/>
          </w:tcPr>
          <w:p w:rsidR="00BD3FA0" w:rsidRPr="00117572" w:rsidRDefault="00BD3FA0" w:rsidP="00BD3FA0">
            <w:pPr>
              <w:keepNext/>
              <w:spacing w:after="0"/>
              <w:jc w:val="right"/>
              <w:cnfStyle w:val="000000010000" w:firstRow="0" w:lastRow="0" w:firstColumn="0" w:lastColumn="0" w:oddVBand="0" w:evenVBand="0" w:oddHBand="0" w:evenHBand="1" w:firstRowFirstColumn="0" w:firstRowLastColumn="0" w:lastRowFirstColumn="0" w:lastRowLastColumn="0"/>
              <w:rPr>
                <w:rFonts w:asciiTheme="minorHAnsi" w:hAnsiTheme="minorHAnsi" w:cs="Arial"/>
                <w:szCs w:val="20"/>
              </w:rPr>
            </w:pPr>
            <w:r w:rsidRPr="00117572">
              <w:rPr>
                <w:rFonts w:asciiTheme="minorHAnsi" w:hAnsiTheme="minorHAnsi" w:cs="Arial"/>
                <w:szCs w:val="20"/>
              </w:rPr>
              <w:t>6</w:t>
            </w:r>
          </w:p>
        </w:tc>
        <w:tc>
          <w:tcPr>
            <w:tcW w:w="1044" w:type="dxa"/>
            <w:noWrap/>
          </w:tcPr>
          <w:p w:rsidR="00BD3FA0" w:rsidRPr="00117572" w:rsidRDefault="00BD3FA0" w:rsidP="00BD3FA0">
            <w:pPr>
              <w:keepNext/>
              <w:spacing w:after="0"/>
              <w:jc w:val="right"/>
              <w:cnfStyle w:val="000000010000" w:firstRow="0" w:lastRow="0" w:firstColumn="0" w:lastColumn="0" w:oddVBand="0" w:evenVBand="0" w:oddHBand="0" w:evenHBand="1" w:firstRowFirstColumn="0" w:firstRowLastColumn="0" w:lastRowFirstColumn="0" w:lastRowLastColumn="0"/>
              <w:rPr>
                <w:rFonts w:asciiTheme="minorHAnsi" w:hAnsiTheme="minorHAnsi" w:cs="Arial"/>
                <w:szCs w:val="20"/>
              </w:rPr>
            </w:pPr>
            <w:r w:rsidRPr="00117572">
              <w:rPr>
                <w:rFonts w:asciiTheme="minorHAnsi" w:hAnsiTheme="minorHAnsi" w:cs="Arial"/>
                <w:szCs w:val="20"/>
              </w:rPr>
              <w:t>6</w:t>
            </w:r>
          </w:p>
        </w:tc>
        <w:tc>
          <w:tcPr>
            <w:tcW w:w="1043" w:type="dxa"/>
            <w:noWrap/>
          </w:tcPr>
          <w:p w:rsidR="00BD3FA0" w:rsidRPr="00117572" w:rsidRDefault="00BD3FA0" w:rsidP="00BD3FA0">
            <w:pPr>
              <w:keepNext/>
              <w:spacing w:after="0"/>
              <w:jc w:val="right"/>
              <w:cnfStyle w:val="000000010000" w:firstRow="0" w:lastRow="0" w:firstColumn="0" w:lastColumn="0" w:oddVBand="0" w:evenVBand="0" w:oddHBand="0" w:evenHBand="1" w:firstRowFirstColumn="0" w:firstRowLastColumn="0" w:lastRowFirstColumn="0" w:lastRowLastColumn="0"/>
              <w:rPr>
                <w:rFonts w:asciiTheme="minorHAnsi" w:hAnsiTheme="minorHAnsi" w:cs="Arial"/>
                <w:szCs w:val="20"/>
              </w:rPr>
            </w:pPr>
            <w:r w:rsidRPr="00117572">
              <w:rPr>
                <w:rFonts w:asciiTheme="minorHAnsi" w:hAnsiTheme="minorHAnsi" w:cs="Arial"/>
                <w:szCs w:val="20"/>
              </w:rPr>
              <w:t>4</w:t>
            </w:r>
          </w:p>
        </w:tc>
        <w:tc>
          <w:tcPr>
            <w:tcW w:w="1043" w:type="dxa"/>
            <w:noWrap/>
          </w:tcPr>
          <w:p w:rsidR="00BD3FA0" w:rsidRPr="00117572" w:rsidRDefault="00BD3FA0" w:rsidP="00BD3FA0">
            <w:pPr>
              <w:keepNext/>
              <w:spacing w:after="0"/>
              <w:jc w:val="right"/>
              <w:cnfStyle w:val="000000010000" w:firstRow="0" w:lastRow="0" w:firstColumn="0" w:lastColumn="0" w:oddVBand="0" w:evenVBand="0" w:oddHBand="0" w:evenHBand="1" w:firstRowFirstColumn="0" w:firstRowLastColumn="0" w:lastRowFirstColumn="0" w:lastRowLastColumn="0"/>
              <w:rPr>
                <w:rFonts w:asciiTheme="minorHAnsi" w:hAnsiTheme="minorHAnsi" w:cs="Arial"/>
                <w:szCs w:val="20"/>
              </w:rPr>
            </w:pPr>
            <w:r w:rsidRPr="00117572">
              <w:rPr>
                <w:rFonts w:asciiTheme="minorHAnsi" w:hAnsiTheme="minorHAnsi" w:cs="Arial"/>
                <w:szCs w:val="20"/>
              </w:rPr>
              <w:t>4</w:t>
            </w:r>
          </w:p>
        </w:tc>
        <w:tc>
          <w:tcPr>
            <w:tcW w:w="1044" w:type="dxa"/>
            <w:noWrap/>
          </w:tcPr>
          <w:p w:rsidR="00BD3FA0" w:rsidRPr="00117572" w:rsidRDefault="00BD3FA0" w:rsidP="00BD3FA0">
            <w:pPr>
              <w:keepNext/>
              <w:spacing w:after="0"/>
              <w:jc w:val="right"/>
              <w:cnfStyle w:val="000000010000" w:firstRow="0" w:lastRow="0" w:firstColumn="0" w:lastColumn="0" w:oddVBand="0" w:evenVBand="0" w:oddHBand="0" w:evenHBand="1" w:firstRowFirstColumn="0" w:firstRowLastColumn="0" w:lastRowFirstColumn="0" w:lastRowLastColumn="0"/>
              <w:rPr>
                <w:rFonts w:asciiTheme="minorHAnsi" w:hAnsiTheme="minorHAnsi" w:cs="Arial"/>
                <w:szCs w:val="20"/>
              </w:rPr>
            </w:pPr>
            <w:r w:rsidRPr="00117572">
              <w:rPr>
                <w:rFonts w:asciiTheme="minorHAnsi" w:hAnsiTheme="minorHAnsi" w:cs="Arial"/>
                <w:szCs w:val="20"/>
              </w:rPr>
              <w:t>2</w:t>
            </w:r>
          </w:p>
        </w:tc>
      </w:tr>
      <w:tr w:rsidR="00BD3FA0" w:rsidRPr="0011757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779" w:type="dxa"/>
            <w:noWrap/>
          </w:tcPr>
          <w:p w:rsidR="00BD3FA0" w:rsidRPr="00117572" w:rsidRDefault="00BD3FA0" w:rsidP="00BD3FA0">
            <w:pPr>
              <w:keepNext/>
              <w:spacing w:after="0"/>
              <w:jc w:val="left"/>
              <w:rPr>
                <w:rFonts w:asciiTheme="minorHAnsi" w:hAnsiTheme="minorHAnsi" w:cs="Arial"/>
                <w:szCs w:val="20"/>
              </w:rPr>
            </w:pPr>
            <w:r w:rsidRPr="00117572">
              <w:rPr>
                <w:rFonts w:asciiTheme="minorHAnsi" w:hAnsiTheme="minorHAnsi" w:cs="Arial"/>
                <w:szCs w:val="20"/>
              </w:rPr>
              <w:t>Mexico</w:t>
            </w:r>
          </w:p>
        </w:tc>
        <w:tc>
          <w:tcPr>
            <w:tcW w:w="1043" w:type="dxa"/>
            <w:noWrap/>
          </w:tcPr>
          <w:p w:rsidR="00BD3FA0" w:rsidRPr="00117572" w:rsidRDefault="00BD3FA0" w:rsidP="00BD3FA0">
            <w:pPr>
              <w:keepNext/>
              <w:spacing w:after="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20"/>
              </w:rPr>
            </w:pPr>
            <w:r w:rsidRPr="00117572">
              <w:rPr>
                <w:rFonts w:asciiTheme="minorHAnsi" w:hAnsiTheme="minorHAnsi" w:cs="Arial"/>
                <w:szCs w:val="20"/>
              </w:rPr>
              <w:t>29</w:t>
            </w:r>
          </w:p>
        </w:tc>
        <w:tc>
          <w:tcPr>
            <w:tcW w:w="1043" w:type="dxa"/>
            <w:noWrap/>
          </w:tcPr>
          <w:p w:rsidR="00BD3FA0" w:rsidRPr="00117572" w:rsidRDefault="00BD3FA0" w:rsidP="00BD3FA0">
            <w:pPr>
              <w:keepNext/>
              <w:spacing w:after="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20"/>
              </w:rPr>
            </w:pPr>
            <w:r w:rsidRPr="00117572">
              <w:rPr>
                <w:rFonts w:asciiTheme="minorHAnsi" w:hAnsiTheme="minorHAnsi" w:cs="Arial"/>
                <w:szCs w:val="20"/>
              </w:rPr>
              <w:t>39</w:t>
            </w:r>
          </w:p>
        </w:tc>
        <w:tc>
          <w:tcPr>
            <w:tcW w:w="1044" w:type="dxa"/>
            <w:noWrap/>
          </w:tcPr>
          <w:p w:rsidR="00BD3FA0" w:rsidRPr="00117572" w:rsidRDefault="00BD3FA0" w:rsidP="00BD3FA0">
            <w:pPr>
              <w:keepNext/>
              <w:spacing w:after="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20"/>
              </w:rPr>
            </w:pPr>
            <w:r w:rsidRPr="00117572">
              <w:rPr>
                <w:rFonts w:asciiTheme="minorHAnsi" w:hAnsiTheme="minorHAnsi" w:cs="Arial"/>
                <w:szCs w:val="20"/>
              </w:rPr>
              <w:t>63</w:t>
            </w:r>
          </w:p>
        </w:tc>
        <w:tc>
          <w:tcPr>
            <w:tcW w:w="1043" w:type="dxa"/>
            <w:noWrap/>
          </w:tcPr>
          <w:p w:rsidR="00BD3FA0" w:rsidRPr="00117572" w:rsidRDefault="00BD3FA0" w:rsidP="00BD3FA0">
            <w:pPr>
              <w:keepNext/>
              <w:spacing w:after="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20"/>
              </w:rPr>
            </w:pPr>
            <w:r w:rsidRPr="00117572">
              <w:rPr>
                <w:rFonts w:asciiTheme="minorHAnsi" w:hAnsiTheme="minorHAnsi" w:cs="Arial"/>
                <w:szCs w:val="20"/>
              </w:rPr>
              <w:t>46</w:t>
            </w:r>
          </w:p>
        </w:tc>
        <w:tc>
          <w:tcPr>
            <w:tcW w:w="1043" w:type="dxa"/>
            <w:noWrap/>
          </w:tcPr>
          <w:p w:rsidR="00BD3FA0" w:rsidRPr="00117572" w:rsidRDefault="00BD3FA0" w:rsidP="00BD3FA0">
            <w:pPr>
              <w:keepNext/>
              <w:spacing w:after="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20"/>
              </w:rPr>
            </w:pPr>
            <w:r w:rsidRPr="00117572">
              <w:rPr>
                <w:rFonts w:asciiTheme="minorHAnsi" w:hAnsiTheme="minorHAnsi" w:cs="Arial"/>
                <w:szCs w:val="20"/>
              </w:rPr>
              <w:t>52</w:t>
            </w:r>
          </w:p>
        </w:tc>
        <w:tc>
          <w:tcPr>
            <w:tcW w:w="1044" w:type="dxa"/>
            <w:noWrap/>
          </w:tcPr>
          <w:p w:rsidR="00BD3FA0" w:rsidRPr="00117572" w:rsidRDefault="00BD3FA0" w:rsidP="00BD3FA0">
            <w:pPr>
              <w:keepNext/>
              <w:spacing w:after="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20"/>
              </w:rPr>
            </w:pPr>
            <w:r w:rsidRPr="00117572">
              <w:rPr>
                <w:rFonts w:asciiTheme="minorHAnsi" w:hAnsiTheme="minorHAnsi" w:cs="Arial"/>
                <w:szCs w:val="20"/>
              </w:rPr>
              <w:t>29</w:t>
            </w:r>
          </w:p>
        </w:tc>
      </w:tr>
      <w:tr w:rsidR="00BD3FA0" w:rsidRPr="00117572">
        <w:trPr>
          <w:cnfStyle w:val="000000010000" w:firstRow="0" w:lastRow="0" w:firstColumn="0" w:lastColumn="0" w:oddVBand="0" w:evenVBand="0" w:oddHBand="0" w:evenHBand="1"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779" w:type="dxa"/>
            <w:noWrap/>
          </w:tcPr>
          <w:p w:rsidR="00BD3FA0" w:rsidRPr="00117572" w:rsidRDefault="00BD3FA0" w:rsidP="00BD3FA0">
            <w:pPr>
              <w:keepNext/>
              <w:spacing w:after="0"/>
              <w:jc w:val="left"/>
              <w:rPr>
                <w:rFonts w:asciiTheme="minorHAnsi" w:hAnsiTheme="minorHAnsi" w:cs="Arial"/>
                <w:szCs w:val="20"/>
              </w:rPr>
            </w:pPr>
            <w:r w:rsidRPr="00117572">
              <w:rPr>
                <w:rFonts w:asciiTheme="minorHAnsi" w:hAnsiTheme="minorHAnsi" w:cs="Arial"/>
                <w:szCs w:val="20"/>
              </w:rPr>
              <w:t>Morocco</w:t>
            </w:r>
          </w:p>
        </w:tc>
        <w:tc>
          <w:tcPr>
            <w:tcW w:w="1043" w:type="dxa"/>
            <w:noWrap/>
          </w:tcPr>
          <w:p w:rsidR="00BD3FA0" w:rsidRPr="00117572" w:rsidRDefault="00BD3FA0" w:rsidP="00BD3FA0">
            <w:pPr>
              <w:keepNext/>
              <w:spacing w:after="0"/>
              <w:jc w:val="right"/>
              <w:cnfStyle w:val="000000010000" w:firstRow="0" w:lastRow="0" w:firstColumn="0" w:lastColumn="0" w:oddVBand="0" w:evenVBand="0" w:oddHBand="0" w:evenHBand="1" w:firstRowFirstColumn="0" w:firstRowLastColumn="0" w:lastRowFirstColumn="0" w:lastRowLastColumn="0"/>
              <w:rPr>
                <w:rFonts w:asciiTheme="minorHAnsi" w:hAnsiTheme="minorHAnsi" w:cs="Arial"/>
                <w:szCs w:val="20"/>
              </w:rPr>
            </w:pPr>
            <w:r w:rsidRPr="00117572">
              <w:rPr>
                <w:rFonts w:asciiTheme="minorHAnsi" w:hAnsiTheme="minorHAnsi" w:cs="Arial"/>
                <w:szCs w:val="20"/>
              </w:rPr>
              <w:t>21</w:t>
            </w:r>
          </w:p>
        </w:tc>
        <w:tc>
          <w:tcPr>
            <w:tcW w:w="1043" w:type="dxa"/>
            <w:noWrap/>
          </w:tcPr>
          <w:p w:rsidR="00BD3FA0" w:rsidRPr="00117572" w:rsidRDefault="00BD3FA0" w:rsidP="00BD3FA0">
            <w:pPr>
              <w:keepNext/>
              <w:spacing w:after="0"/>
              <w:jc w:val="right"/>
              <w:cnfStyle w:val="000000010000" w:firstRow="0" w:lastRow="0" w:firstColumn="0" w:lastColumn="0" w:oddVBand="0" w:evenVBand="0" w:oddHBand="0" w:evenHBand="1" w:firstRowFirstColumn="0" w:firstRowLastColumn="0" w:lastRowFirstColumn="0" w:lastRowLastColumn="0"/>
              <w:rPr>
                <w:rFonts w:asciiTheme="minorHAnsi" w:hAnsiTheme="minorHAnsi" w:cs="Arial"/>
                <w:szCs w:val="20"/>
              </w:rPr>
            </w:pPr>
            <w:r w:rsidRPr="00117572">
              <w:rPr>
                <w:rFonts w:asciiTheme="minorHAnsi" w:hAnsiTheme="minorHAnsi" w:cs="Arial"/>
                <w:szCs w:val="20"/>
              </w:rPr>
              <w:t>18</w:t>
            </w:r>
          </w:p>
        </w:tc>
        <w:tc>
          <w:tcPr>
            <w:tcW w:w="1044" w:type="dxa"/>
            <w:noWrap/>
          </w:tcPr>
          <w:p w:rsidR="00BD3FA0" w:rsidRPr="00117572" w:rsidRDefault="00BD3FA0" w:rsidP="00BD3FA0">
            <w:pPr>
              <w:keepNext/>
              <w:spacing w:after="0"/>
              <w:jc w:val="right"/>
              <w:cnfStyle w:val="000000010000" w:firstRow="0" w:lastRow="0" w:firstColumn="0" w:lastColumn="0" w:oddVBand="0" w:evenVBand="0" w:oddHBand="0" w:evenHBand="1" w:firstRowFirstColumn="0" w:firstRowLastColumn="0" w:lastRowFirstColumn="0" w:lastRowLastColumn="0"/>
              <w:rPr>
                <w:rFonts w:asciiTheme="minorHAnsi" w:hAnsiTheme="minorHAnsi" w:cs="Arial"/>
                <w:szCs w:val="20"/>
              </w:rPr>
            </w:pPr>
            <w:r w:rsidRPr="00117572">
              <w:rPr>
                <w:rFonts w:asciiTheme="minorHAnsi" w:hAnsiTheme="minorHAnsi" w:cs="Arial"/>
                <w:szCs w:val="20"/>
              </w:rPr>
              <w:t>33</w:t>
            </w:r>
          </w:p>
        </w:tc>
        <w:tc>
          <w:tcPr>
            <w:tcW w:w="1043" w:type="dxa"/>
            <w:noWrap/>
          </w:tcPr>
          <w:p w:rsidR="00BD3FA0" w:rsidRPr="00117572" w:rsidRDefault="00BD3FA0" w:rsidP="00BD3FA0">
            <w:pPr>
              <w:keepNext/>
              <w:spacing w:after="0"/>
              <w:jc w:val="right"/>
              <w:cnfStyle w:val="000000010000" w:firstRow="0" w:lastRow="0" w:firstColumn="0" w:lastColumn="0" w:oddVBand="0" w:evenVBand="0" w:oddHBand="0" w:evenHBand="1" w:firstRowFirstColumn="0" w:firstRowLastColumn="0" w:lastRowFirstColumn="0" w:lastRowLastColumn="0"/>
              <w:rPr>
                <w:rFonts w:asciiTheme="minorHAnsi" w:hAnsiTheme="minorHAnsi" w:cs="Arial"/>
                <w:szCs w:val="20"/>
              </w:rPr>
            </w:pPr>
            <w:r w:rsidRPr="00117572">
              <w:rPr>
                <w:rFonts w:asciiTheme="minorHAnsi" w:hAnsiTheme="minorHAnsi" w:cs="Arial"/>
                <w:szCs w:val="20"/>
              </w:rPr>
              <w:t>29</w:t>
            </w:r>
          </w:p>
        </w:tc>
        <w:tc>
          <w:tcPr>
            <w:tcW w:w="1043" w:type="dxa"/>
            <w:noWrap/>
          </w:tcPr>
          <w:p w:rsidR="00BD3FA0" w:rsidRPr="00117572" w:rsidRDefault="00BD3FA0" w:rsidP="00BD3FA0">
            <w:pPr>
              <w:keepNext/>
              <w:spacing w:after="0"/>
              <w:jc w:val="right"/>
              <w:cnfStyle w:val="000000010000" w:firstRow="0" w:lastRow="0" w:firstColumn="0" w:lastColumn="0" w:oddVBand="0" w:evenVBand="0" w:oddHBand="0" w:evenHBand="1" w:firstRowFirstColumn="0" w:firstRowLastColumn="0" w:lastRowFirstColumn="0" w:lastRowLastColumn="0"/>
              <w:rPr>
                <w:rFonts w:asciiTheme="minorHAnsi" w:hAnsiTheme="minorHAnsi" w:cs="Arial"/>
                <w:szCs w:val="20"/>
              </w:rPr>
            </w:pPr>
            <w:r w:rsidRPr="00117572">
              <w:rPr>
                <w:rFonts w:asciiTheme="minorHAnsi" w:hAnsiTheme="minorHAnsi" w:cs="Arial"/>
                <w:szCs w:val="20"/>
              </w:rPr>
              <w:t>24</w:t>
            </w:r>
          </w:p>
        </w:tc>
        <w:tc>
          <w:tcPr>
            <w:tcW w:w="1044" w:type="dxa"/>
            <w:noWrap/>
          </w:tcPr>
          <w:p w:rsidR="00BD3FA0" w:rsidRPr="00117572" w:rsidRDefault="00BD3FA0" w:rsidP="00BD3FA0">
            <w:pPr>
              <w:keepNext/>
              <w:spacing w:after="0"/>
              <w:jc w:val="right"/>
              <w:cnfStyle w:val="000000010000" w:firstRow="0" w:lastRow="0" w:firstColumn="0" w:lastColumn="0" w:oddVBand="0" w:evenVBand="0" w:oddHBand="0" w:evenHBand="1" w:firstRowFirstColumn="0" w:firstRowLastColumn="0" w:lastRowFirstColumn="0" w:lastRowLastColumn="0"/>
              <w:rPr>
                <w:rFonts w:asciiTheme="minorHAnsi" w:hAnsiTheme="minorHAnsi" w:cs="Arial"/>
                <w:szCs w:val="20"/>
              </w:rPr>
            </w:pPr>
            <w:r w:rsidRPr="00117572">
              <w:rPr>
                <w:rFonts w:asciiTheme="minorHAnsi" w:hAnsiTheme="minorHAnsi" w:cs="Arial"/>
                <w:szCs w:val="20"/>
              </w:rPr>
              <w:t>43</w:t>
            </w:r>
          </w:p>
        </w:tc>
      </w:tr>
      <w:tr w:rsidR="00BD3FA0" w:rsidRPr="0011757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779" w:type="dxa"/>
            <w:noWrap/>
          </w:tcPr>
          <w:p w:rsidR="00BD3FA0" w:rsidRPr="00117572" w:rsidRDefault="00BD3FA0" w:rsidP="00BD3FA0">
            <w:pPr>
              <w:keepNext/>
              <w:spacing w:after="0"/>
              <w:jc w:val="left"/>
              <w:rPr>
                <w:rFonts w:asciiTheme="minorHAnsi" w:hAnsiTheme="minorHAnsi" w:cs="Arial"/>
                <w:szCs w:val="20"/>
              </w:rPr>
            </w:pPr>
            <w:r w:rsidRPr="00117572">
              <w:rPr>
                <w:rFonts w:asciiTheme="minorHAnsi" w:hAnsiTheme="minorHAnsi" w:cs="Arial"/>
                <w:szCs w:val="20"/>
              </w:rPr>
              <w:t>Panama</w:t>
            </w:r>
          </w:p>
        </w:tc>
        <w:tc>
          <w:tcPr>
            <w:tcW w:w="1043" w:type="dxa"/>
            <w:noWrap/>
          </w:tcPr>
          <w:p w:rsidR="00BD3FA0" w:rsidRPr="00117572" w:rsidRDefault="00BD3FA0" w:rsidP="00BD3FA0">
            <w:pPr>
              <w:keepNext/>
              <w:spacing w:after="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20"/>
              </w:rPr>
            </w:pPr>
            <w:r w:rsidRPr="00117572">
              <w:rPr>
                <w:rFonts w:asciiTheme="minorHAnsi" w:hAnsiTheme="minorHAnsi" w:cs="Arial"/>
                <w:szCs w:val="20"/>
              </w:rPr>
              <w:t>1</w:t>
            </w:r>
          </w:p>
        </w:tc>
        <w:tc>
          <w:tcPr>
            <w:tcW w:w="1043" w:type="dxa"/>
            <w:noWrap/>
          </w:tcPr>
          <w:p w:rsidR="00BD3FA0" w:rsidRPr="00117572" w:rsidRDefault="00BD3FA0" w:rsidP="00BD3FA0">
            <w:pPr>
              <w:keepNext/>
              <w:spacing w:after="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20"/>
              </w:rPr>
            </w:pPr>
            <w:r w:rsidRPr="00117572">
              <w:rPr>
                <w:rFonts w:asciiTheme="minorHAnsi" w:hAnsiTheme="minorHAnsi" w:cs="Arial"/>
                <w:szCs w:val="20"/>
              </w:rPr>
              <w:t>3</w:t>
            </w:r>
          </w:p>
        </w:tc>
        <w:tc>
          <w:tcPr>
            <w:tcW w:w="1044" w:type="dxa"/>
            <w:noWrap/>
          </w:tcPr>
          <w:p w:rsidR="00BD3FA0" w:rsidRPr="00117572" w:rsidRDefault="00BD3FA0" w:rsidP="00BD3FA0">
            <w:pPr>
              <w:keepNext/>
              <w:spacing w:after="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20"/>
              </w:rPr>
            </w:pPr>
            <w:r w:rsidRPr="00117572">
              <w:rPr>
                <w:rFonts w:asciiTheme="minorHAnsi" w:hAnsiTheme="minorHAnsi" w:cs="Arial"/>
                <w:szCs w:val="20"/>
              </w:rPr>
              <w:t>2</w:t>
            </w:r>
          </w:p>
        </w:tc>
        <w:tc>
          <w:tcPr>
            <w:tcW w:w="1043" w:type="dxa"/>
            <w:noWrap/>
          </w:tcPr>
          <w:p w:rsidR="00BD3FA0" w:rsidRPr="00117572" w:rsidRDefault="00BD3FA0" w:rsidP="00BD3FA0">
            <w:pPr>
              <w:keepNext/>
              <w:spacing w:after="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20"/>
              </w:rPr>
            </w:pPr>
            <w:r w:rsidRPr="00117572">
              <w:rPr>
                <w:rFonts w:asciiTheme="minorHAnsi" w:hAnsiTheme="minorHAnsi" w:cs="Arial"/>
                <w:szCs w:val="20"/>
              </w:rPr>
              <w:t>4</w:t>
            </w:r>
          </w:p>
        </w:tc>
        <w:tc>
          <w:tcPr>
            <w:tcW w:w="1043" w:type="dxa"/>
            <w:noWrap/>
          </w:tcPr>
          <w:p w:rsidR="00BD3FA0" w:rsidRPr="00117572" w:rsidRDefault="00BD3FA0" w:rsidP="00BD3FA0">
            <w:pPr>
              <w:keepNext/>
              <w:spacing w:after="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20"/>
              </w:rPr>
            </w:pPr>
            <w:r w:rsidRPr="00117572">
              <w:rPr>
                <w:rFonts w:asciiTheme="minorHAnsi" w:hAnsiTheme="minorHAnsi" w:cs="Arial"/>
                <w:szCs w:val="20"/>
              </w:rPr>
              <w:t>6</w:t>
            </w:r>
          </w:p>
        </w:tc>
        <w:tc>
          <w:tcPr>
            <w:tcW w:w="1044" w:type="dxa"/>
            <w:noWrap/>
          </w:tcPr>
          <w:p w:rsidR="00BD3FA0" w:rsidRPr="00117572" w:rsidRDefault="00BD3FA0" w:rsidP="00BD3FA0">
            <w:pPr>
              <w:keepNext/>
              <w:spacing w:after="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20"/>
              </w:rPr>
            </w:pPr>
            <w:r w:rsidRPr="00117572">
              <w:rPr>
                <w:rFonts w:asciiTheme="minorHAnsi" w:hAnsiTheme="minorHAnsi" w:cs="Arial"/>
                <w:szCs w:val="20"/>
              </w:rPr>
              <w:t>4</w:t>
            </w:r>
          </w:p>
        </w:tc>
      </w:tr>
      <w:tr w:rsidR="00BD3FA0" w:rsidRPr="00117572">
        <w:trPr>
          <w:cnfStyle w:val="000000010000" w:firstRow="0" w:lastRow="0" w:firstColumn="0" w:lastColumn="0" w:oddVBand="0" w:evenVBand="0" w:oddHBand="0" w:evenHBand="1"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779" w:type="dxa"/>
            <w:noWrap/>
          </w:tcPr>
          <w:p w:rsidR="00BD3FA0" w:rsidRPr="00117572" w:rsidRDefault="00BD3FA0" w:rsidP="00BD3FA0">
            <w:pPr>
              <w:keepNext/>
              <w:spacing w:after="0"/>
              <w:jc w:val="left"/>
              <w:rPr>
                <w:rFonts w:asciiTheme="minorHAnsi" w:hAnsiTheme="minorHAnsi" w:cs="Arial"/>
                <w:szCs w:val="20"/>
              </w:rPr>
            </w:pPr>
            <w:r w:rsidRPr="00117572">
              <w:rPr>
                <w:rFonts w:asciiTheme="minorHAnsi" w:hAnsiTheme="minorHAnsi" w:cs="Arial"/>
                <w:szCs w:val="20"/>
              </w:rPr>
              <w:t>Paraguay</w:t>
            </w:r>
          </w:p>
        </w:tc>
        <w:tc>
          <w:tcPr>
            <w:tcW w:w="1043" w:type="dxa"/>
            <w:noWrap/>
          </w:tcPr>
          <w:p w:rsidR="00BD3FA0" w:rsidRPr="00117572" w:rsidRDefault="00BD3FA0" w:rsidP="00BD3FA0">
            <w:pPr>
              <w:keepNext/>
              <w:spacing w:after="0"/>
              <w:jc w:val="right"/>
              <w:cnfStyle w:val="000000010000" w:firstRow="0" w:lastRow="0" w:firstColumn="0" w:lastColumn="0" w:oddVBand="0" w:evenVBand="0" w:oddHBand="0" w:evenHBand="1" w:firstRowFirstColumn="0" w:firstRowLastColumn="0" w:lastRowFirstColumn="0" w:lastRowLastColumn="0"/>
              <w:rPr>
                <w:rFonts w:asciiTheme="minorHAnsi" w:hAnsiTheme="minorHAnsi" w:cs="Arial"/>
                <w:szCs w:val="20"/>
              </w:rPr>
            </w:pPr>
            <w:r w:rsidRPr="00117572">
              <w:rPr>
                <w:rFonts w:asciiTheme="minorHAnsi" w:hAnsiTheme="minorHAnsi" w:cs="Arial"/>
                <w:szCs w:val="20"/>
              </w:rPr>
              <w:t>9</w:t>
            </w:r>
          </w:p>
        </w:tc>
        <w:tc>
          <w:tcPr>
            <w:tcW w:w="1043" w:type="dxa"/>
            <w:noWrap/>
          </w:tcPr>
          <w:p w:rsidR="00BD3FA0" w:rsidRPr="00117572" w:rsidRDefault="00BD3FA0" w:rsidP="00BD3FA0">
            <w:pPr>
              <w:keepNext/>
              <w:spacing w:after="0"/>
              <w:jc w:val="right"/>
              <w:cnfStyle w:val="000000010000" w:firstRow="0" w:lastRow="0" w:firstColumn="0" w:lastColumn="0" w:oddVBand="0" w:evenVBand="0" w:oddHBand="0" w:evenHBand="1" w:firstRowFirstColumn="0" w:firstRowLastColumn="0" w:lastRowFirstColumn="0" w:lastRowLastColumn="0"/>
              <w:rPr>
                <w:rFonts w:asciiTheme="minorHAnsi" w:hAnsiTheme="minorHAnsi" w:cs="Arial"/>
                <w:szCs w:val="20"/>
              </w:rPr>
            </w:pPr>
            <w:r w:rsidRPr="00117572">
              <w:rPr>
                <w:rFonts w:asciiTheme="minorHAnsi" w:hAnsiTheme="minorHAnsi" w:cs="Arial"/>
                <w:szCs w:val="20"/>
              </w:rPr>
              <w:t>11</w:t>
            </w:r>
          </w:p>
        </w:tc>
        <w:tc>
          <w:tcPr>
            <w:tcW w:w="1044" w:type="dxa"/>
            <w:noWrap/>
          </w:tcPr>
          <w:p w:rsidR="00BD3FA0" w:rsidRPr="00117572" w:rsidRDefault="00BD3FA0" w:rsidP="00BD3FA0">
            <w:pPr>
              <w:keepNext/>
              <w:spacing w:after="0"/>
              <w:jc w:val="right"/>
              <w:cnfStyle w:val="000000010000" w:firstRow="0" w:lastRow="0" w:firstColumn="0" w:lastColumn="0" w:oddVBand="0" w:evenVBand="0" w:oddHBand="0" w:evenHBand="1" w:firstRowFirstColumn="0" w:firstRowLastColumn="0" w:lastRowFirstColumn="0" w:lastRowLastColumn="0"/>
              <w:rPr>
                <w:rFonts w:asciiTheme="minorHAnsi" w:hAnsiTheme="minorHAnsi" w:cs="Arial"/>
                <w:szCs w:val="20"/>
              </w:rPr>
            </w:pPr>
            <w:r w:rsidRPr="00117572">
              <w:rPr>
                <w:rFonts w:asciiTheme="minorHAnsi" w:hAnsiTheme="minorHAnsi" w:cs="Arial"/>
                <w:szCs w:val="20"/>
              </w:rPr>
              <w:t>7</w:t>
            </w:r>
          </w:p>
        </w:tc>
        <w:tc>
          <w:tcPr>
            <w:tcW w:w="1043" w:type="dxa"/>
            <w:noWrap/>
          </w:tcPr>
          <w:p w:rsidR="00BD3FA0" w:rsidRPr="00117572" w:rsidRDefault="00BD3FA0" w:rsidP="00BD3FA0">
            <w:pPr>
              <w:keepNext/>
              <w:spacing w:after="0"/>
              <w:jc w:val="right"/>
              <w:cnfStyle w:val="000000010000" w:firstRow="0" w:lastRow="0" w:firstColumn="0" w:lastColumn="0" w:oddVBand="0" w:evenVBand="0" w:oddHBand="0" w:evenHBand="1" w:firstRowFirstColumn="0" w:firstRowLastColumn="0" w:lastRowFirstColumn="0" w:lastRowLastColumn="0"/>
              <w:rPr>
                <w:rFonts w:asciiTheme="minorHAnsi" w:hAnsiTheme="minorHAnsi" w:cs="Arial"/>
                <w:szCs w:val="20"/>
              </w:rPr>
            </w:pPr>
            <w:r w:rsidRPr="00117572">
              <w:rPr>
                <w:rFonts w:asciiTheme="minorHAnsi" w:hAnsiTheme="minorHAnsi" w:cs="Arial"/>
                <w:szCs w:val="20"/>
              </w:rPr>
              <w:t>15</w:t>
            </w:r>
          </w:p>
        </w:tc>
        <w:tc>
          <w:tcPr>
            <w:tcW w:w="1043" w:type="dxa"/>
            <w:noWrap/>
          </w:tcPr>
          <w:p w:rsidR="00BD3FA0" w:rsidRPr="00117572" w:rsidRDefault="00BD3FA0" w:rsidP="00BD3FA0">
            <w:pPr>
              <w:keepNext/>
              <w:spacing w:after="0"/>
              <w:jc w:val="right"/>
              <w:cnfStyle w:val="000000010000" w:firstRow="0" w:lastRow="0" w:firstColumn="0" w:lastColumn="0" w:oddVBand="0" w:evenVBand="0" w:oddHBand="0" w:evenHBand="1" w:firstRowFirstColumn="0" w:firstRowLastColumn="0" w:lastRowFirstColumn="0" w:lastRowLastColumn="0"/>
              <w:rPr>
                <w:rFonts w:asciiTheme="minorHAnsi" w:hAnsiTheme="minorHAnsi" w:cs="Arial"/>
                <w:szCs w:val="20"/>
              </w:rPr>
            </w:pPr>
            <w:r w:rsidRPr="00117572">
              <w:rPr>
                <w:rFonts w:asciiTheme="minorHAnsi" w:hAnsiTheme="minorHAnsi" w:cs="Arial"/>
                <w:szCs w:val="20"/>
              </w:rPr>
              <w:t>10</w:t>
            </w:r>
          </w:p>
        </w:tc>
        <w:tc>
          <w:tcPr>
            <w:tcW w:w="1044" w:type="dxa"/>
            <w:noWrap/>
          </w:tcPr>
          <w:p w:rsidR="00BD3FA0" w:rsidRPr="00117572" w:rsidRDefault="00BD3FA0" w:rsidP="00BD3FA0">
            <w:pPr>
              <w:keepNext/>
              <w:spacing w:after="0"/>
              <w:jc w:val="right"/>
              <w:cnfStyle w:val="000000010000" w:firstRow="0" w:lastRow="0" w:firstColumn="0" w:lastColumn="0" w:oddVBand="0" w:evenVBand="0" w:oddHBand="0" w:evenHBand="1" w:firstRowFirstColumn="0" w:firstRowLastColumn="0" w:lastRowFirstColumn="0" w:lastRowLastColumn="0"/>
              <w:rPr>
                <w:rFonts w:asciiTheme="minorHAnsi" w:hAnsiTheme="minorHAnsi" w:cs="Arial"/>
                <w:szCs w:val="20"/>
              </w:rPr>
            </w:pPr>
            <w:r w:rsidRPr="00117572">
              <w:rPr>
                <w:rFonts w:asciiTheme="minorHAnsi" w:hAnsiTheme="minorHAnsi" w:cs="Arial"/>
                <w:szCs w:val="20"/>
              </w:rPr>
              <w:t>14</w:t>
            </w:r>
          </w:p>
        </w:tc>
      </w:tr>
      <w:tr w:rsidR="00BD3FA0" w:rsidRPr="0011757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779" w:type="dxa"/>
            <w:noWrap/>
          </w:tcPr>
          <w:p w:rsidR="00BD3FA0" w:rsidRPr="00117572" w:rsidRDefault="00BD3FA0" w:rsidP="00BD3FA0">
            <w:pPr>
              <w:keepNext/>
              <w:spacing w:after="0"/>
              <w:jc w:val="left"/>
              <w:rPr>
                <w:rFonts w:asciiTheme="minorHAnsi" w:hAnsiTheme="minorHAnsi" w:cs="Arial"/>
                <w:szCs w:val="20"/>
              </w:rPr>
            </w:pPr>
            <w:r w:rsidRPr="00117572">
              <w:rPr>
                <w:rFonts w:asciiTheme="minorHAnsi" w:hAnsiTheme="minorHAnsi" w:cs="Arial"/>
                <w:szCs w:val="20"/>
              </w:rPr>
              <w:t>Peru</w:t>
            </w:r>
          </w:p>
        </w:tc>
        <w:tc>
          <w:tcPr>
            <w:tcW w:w="1043" w:type="dxa"/>
            <w:noWrap/>
          </w:tcPr>
          <w:p w:rsidR="00BD3FA0" w:rsidRPr="00117572" w:rsidRDefault="00BD3FA0" w:rsidP="00BD3FA0">
            <w:pPr>
              <w:keepNext/>
              <w:spacing w:after="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20"/>
              </w:rPr>
            </w:pPr>
            <w:r w:rsidRPr="00117572">
              <w:rPr>
                <w:rFonts w:asciiTheme="minorHAnsi" w:hAnsiTheme="minorHAnsi" w:cs="Arial"/>
                <w:szCs w:val="20"/>
              </w:rPr>
              <w:t>4</w:t>
            </w:r>
          </w:p>
        </w:tc>
        <w:tc>
          <w:tcPr>
            <w:tcW w:w="1043" w:type="dxa"/>
            <w:noWrap/>
          </w:tcPr>
          <w:p w:rsidR="00BD3FA0" w:rsidRPr="00117572" w:rsidRDefault="00BD3FA0" w:rsidP="00BD3FA0">
            <w:pPr>
              <w:keepNext/>
              <w:spacing w:after="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20"/>
              </w:rPr>
            </w:pPr>
            <w:r w:rsidRPr="00117572">
              <w:rPr>
                <w:rFonts w:asciiTheme="minorHAnsi" w:hAnsiTheme="minorHAnsi" w:cs="Arial"/>
                <w:szCs w:val="20"/>
              </w:rPr>
              <w:t>6</w:t>
            </w:r>
          </w:p>
        </w:tc>
        <w:tc>
          <w:tcPr>
            <w:tcW w:w="1044" w:type="dxa"/>
            <w:noWrap/>
          </w:tcPr>
          <w:p w:rsidR="00BD3FA0" w:rsidRPr="00117572" w:rsidRDefault="00BD3FA0" w:rsidP="00BD3FA0">
            <w:pPr>
              <w:keepNext/>
              <w:spacing w:after="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20"/>
              </w:rPr>
            </w:pPr>
            <w:r w:rsidRPr="00117572">
              <w:rPr>
                <w:rFonts w:asciiTheme="minorHAnsi" w:hAnsiTheme="minorHAnsi" w:cs="Arial"/>
                <w:szCs w:val="20"/>
              </w:rPr>
              <w:t>6</w:t>
            </w:r>
          </w:p>
        </w:tc>
        <w:tc>
          <w:tcPr>
            <w:tcW w:w="1043" w:type="dxa"/>
            <w:noWrap/>
          </w:tcPr>
          <w:p w:rsidR="00BD3FA0" w:rsidRPr="00117572" w:rsidRDefault="00BD3FA0" w:rsidP="00BD3FA0">
            <w:pPr>
              <w:keepNext/>
              <w:spacing w:after="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20"/>
              </w:rPr>
            </w:pPr>
            <w:r w:rsidRPr="00117572">
              <w:rPr>
                <w:rFonts w:asciiTheme="minorHAnsi" w:hAnsiTheme="minorHAnsi" w:cs="Arial"/>
                <w:szCs w:val="20"/>
              </w:rPr>
              <w:t>1</w:t>
            </w:r>
          </w:p>
        </w:tc>
        <w:tc>
          <w:tcPr>
            <w:tcW w:w="1043" w:type="dxa"/>
            <w:noWrap/>
          </w:tcPr>
          <w:p w:rsidR="00BD3FA0" w:rsidRPr="00117572" w:rsidRDefault="00BD3FA0" w:rsidP="00BD3FA0">
            <w:pPr>
              <w:keepNext/>
              <w:spacing w:after="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20"/>
              </w:rPr>
            </w:pPr>
            <w:r w:rsidRPr="00117572">
              <w:rPr>
                <w:rFonts w:asciiTheme="minorHAnsi" w:hAnsiTheme="minorHAnsi" w:cs="Arial"/>
                <w:szCs w:val="20"/>
              </w:rPr>
              <w:t>1</w:t>
            </w:r>
          </w:p>
        </w:tc>
        <w:tc>
          <w:tcPr>
            <w:tcW w:w="1044" w:type="dxa"/>
            <w:noWrap/>
          </w:tcPr>
          <w:p w:rsidR="00BD3FA0" w:rsidRPr="00117572" w:rsidRDefault="00BD3FA0" w:rsidP="00BD3FA0">
            <w:pPr>
              <w:keepNext/>
              <w:spacing w:after="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20"/>
              </w:rPr>
            </w:pPr>
            <w:r w:rsidRPr="00117572">
              <w:rPr>
                <w:rFonts w:asciiTheme="minorHAnsi" w:hAnsiTheme="minorHAnsi" w:cs="Arial"/>
                <w:szCs w:val="20"/>
              </w:rPr>
              <w:t>8</w:t>
            </w:r>
          </w:p>
        </w:tc>
      </w:tr>
      <w:tr w:rsidR="00BD3FA0" w:rsidRPr="00117572">
        <w:trPr>
          <w:cnfStyle w:val="000000010000" w:firstRow="0" w:lastRow="0" w:firstColumn="0" w:lastColumn="0" w:oddVBand="0" w:evenVBand="0" w:oddHBand="0" w:evenHBand="1"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779" w:type="dxa"/>
            <w:noWrap/>
          </w:tcPr>
          <w:p w:rsidR="00BD3FA0" w:rsidRPr="00117572" w:rsidRDefault="00BD3FA0" w:rsidP="00BD3FA0">
            <w:pPr>
              <w:keepNext/>
              <w:spacing w:after="0"/>
              <w:jc w:val="left"/>
              <w:rPr>
                <w:rFonts w:asciiTheme="minorHAnsi" w:hAnsiTheme="minorHAnsi" w:cs="Arial"/>
                <w:szCs w:val="20"/>
              </w:rPr>
            </w:pPr>
            <w:r w:rsidRPr="00117572">
              <w:rPr>
                <w:rFonts w:asciiTheme="minorHAnsi" w:hAnsiTheme="minorHAnsi" w:cs="Arial"/>
                <w:szCs w:val="20"/>
              </w:rPr>
              <w:t>Poland</w:t>
            </w:r>
          </w:p>
        </w:tc>
        <w:tc>
          <w:tcPr>
            <w:tcW w:w="1043" w:type="dxa"/>
            <w:noWrap/>
          </w:tcPr>
          <w:p w:rsidR="00BD3FA0" w:rsidRPr="00117572" w:rsidRDefault="00BD3FA0" w:rsidP="00BD3FA0">
            <w:pPr>
              <w:keepNext/>
              <w:spacing w:after="0"/>
              <w:jc w:val="right"/>
              <w:cnfStyle w:val="000000010000" w:firstRow="0" w:lastRow="0" w:firstColumn="0" w:lastColumn="0" w:oddVBand="0" w:evenVBand="0" w:oddHBand="0" w:evenHBand="1" w:firstRowFirstColumn="0" w:firstRowLastColumn="0" w:lastRowFirstColumn="0" w:lastRowLastColumn="0"/>
              <w:rPr>
                <w:rFonts w:asciiTheme="minorHAnsi" w:hAnsiTheme="minorHAnsi" w:cs="Arial"/>
                <w:szCs w:val="20"/>
              </w:rPr>
            </w:pPr>
            <w:r w:rsidRPr="00117572">
              <w:rPr>
                <w:rFonts w:asciiTheme="minorHAnsi" w:hAnsiTheme="minorHAnsi" w:cs="Arial"/>
                <w:szCs w:val="20"/>
              </w:rPr>
              <w:t>12</w:t>
            </w:r>
          </w:p>
        </w:tc>
        <w:tc>
          <w:tcPr>
            <w:tcW w:w="1043" w:type="dxa"/>
            <w:noWrap/>
          </w:tcPr>
          <w:p w:rsidR="00BD3FA0" w:rsidRPr="00117572" w:rsidRDefault="00BD3FA0" w:rsidP="00BD3FA0">
            <w:pPr>
              <w:keepNext/>
              <w:spacing w:after="0"/>
              <w:jc w:val="right"/>
              <w:cnfStyle w:val="000000010000" w:firstRow="0" w:lastRow="0" w:firstColumn="0" w:lastColumn="0" w:oddVBand="0" w:evenVBand="0" w:oddHBand="0" w:evenHBand="1" w:firstRowFirstColumn="0" w:firstRowLastColumn="0" w:lastRowFirstColumn="0" w:lastRowLastColumn="0"/>
              <w:rPr>
                <w:rFonts w:asciiTheme="minorHAnsi" w:hAnsiTheme="minorHAnsi" w:cs="Arial"/>
                <w:szCs w:val="20"/>
              </w:rPr>
            </w:pPr>
            <w:r w:rsidRPr="00117572">
              <w:rPr>
                <w:rFonts w:asciiTheme="minorHAnsi" w:hAnsiTheme="minorHAnsi" w:cs="Arial"/>
                <w:szCs w:val="20"/>
              </w:rPr>
              <w:t>19</w:t>
            </w:r>
          </w:p>
        </w:tc>
        <w:tc>
          <w:tcPr>
            <w:tcW w:w="1044" w:type="dxa"/>
            <w:noWrap/>
          </w:tcPr>
          <w:p w:rsidR="00BD3FA0" w:rsidRPr="00117572" w:rsidRDefault="00BD3FA0" w:rsidP="00BD3FA0">
            <w:pPr>
              <w:keepNext/>
              <w:spacing w:after="0"/>
              <w:jc w:val="right"/>
              <w:cnfStyle w:val="000000010000" w:firstRow="0" w:lastRow="0" w:firstColumn="0" w:lastColumn="0" w:oddVBand="0" w:evenVBand="0" w:oddHBand="0" w:evenHBand="1" w:firstRowFirstColumn="0" w:firstRowLastColumn="0" w:lastRowFirstColumn="0" w:lastRowLastColumn="0"/>
              <w:rPr>
                <w:rFonts w:asciiTheme="minorHAnsi" w:hAnsiTheme="minorHAnsi" w:cs="Arial"/>
                <w:szCs w:val="20"/>
              </w:rPr>
            </w:pPr>
            <w:r w:rsidRPr="00117572">
              <w:rPr>
                <w:rFonts w:asciiTheme="minorHAnsi" w:hAnsiTheme="minorHAnsi" w:cs="Arial"/>
                <w:szCs w:val="20"/>
              </w:rPr>
              <w:t>14</w:t>
            </w:r>
          </w:p>
        </w:tc>
        <w:tc>
          <w:tcPr>
            <w:tcW w:w="1043" w:type="dxa"/>
            <w:noWrap/>
          </w:tcPr>
          <w:p w:rsidR="00BD3FA0" w:rsidRPr="00117572" w:rsidRDefault="00BD3FA0" w:rsidP="00BD3FA0">
            <w:pPr>
              <w:keepNext/>
              <w:spacing w:after="0"/>
              <w:jc w:val="right"/>
              <w:cnfStyle w:val="000000010000" w:firstRow="0" w:lastRow="0" w:firstColumn="0" w:lastColumn="0" w:oddVBand="0" w:evenVBand="0" w:oddHBand="0" w:evenHBand="1" w:firstRowFirstColumn="0" w:firstRowLastColumn="0" w:lastRowFirstColumn="0" w:lastRowLastColumn="0"/>
              <w:rPr>
                <w:rFonts w:asciiTheme="minorHAnsi" w:hAnsiTheme="minorHAnsi" w:cs="Arial"/>
                <w:szCs w:val="20"/>
              </w:rPr>
            </w:pPr>
            <w:r w:rsidRPr="00117572">
              <w:rPr>
                <w:rFonts w:asciiTheme="minorHAnsi" w:hAnsiTheme="minorHAnsi" w:cs="Arial"/>
                <w:szCs w:val="20"/>
              </w:rPr>
              <w:t>17</w:t>
            </w:r>
          </w:p>
        </w:tc>
        <w:tc>
          <w:tcPr>
            <w:tcW w:w="1043" w:type="dxa"/>
            <w:noWrap/>
          </w:tcPr>
          <w:p w:rsidR="00BD3FA0" w:rsidRPr="00117572" w:rsidRDefault="00BD3FA0" w:rsidP="00BD3FA0">
            <w:pPr>
              <w:keepNext/>
              <w:spacing w:after="0"/>
              <w:jc w:val="right"/>
              <w:cnfStyle w:val="000000010000" w:firstRow="0" w:lastRow="0" w:firstColumn="0" w:lastColumn="0" w:oddVBand="0" w:evenVBand="0" w:oddHBand="0" w:evenHBand="1" w:firstRowFirstColumn="0" w:firstRowLastColumn="0" w:lastRowFirstColumn="0" w:lastRowLastColumn="0"/>
              <w:rPr>
                <w:rFonts w:asciiTheme="minorHAnsi" w:hAnsiTheme="minorHAnsi" w:cs="Arial"/>
                <w:szCs w:val="20"/>
              </w:rPr>
            </w:pPr>
            <w:r w:rsidRPr="00117572">
              <w:rPr>
                <w:rFonts w:asciiTheme="minorHAnsi" w:hAnsiTheme="minorHAnsi" w:cs="Arial"/>
                <w:szCs w:val="20"/>
              </w:rPr>
              <w:t>9</w:t>
            </w:r>
          </w:p>
        </w:tc>
        <w:tc>
          <w:tcPr>
            <w:tcW w:w="1044" w:type="dxa"/>
            <w:noWrap/>
          </w:tcPr>
          <w:p w:rsidR="00BD3FA0" w:rsidRPr="00117572" w:rsidRDefault="00BD3FA0" w:rsidP="00BD3FA0">
            <w:pPr>
              <w:keepNext/>
              <w:spacing w:after="0"/>
              <w:jc w:val="right"/>
              <w:cnfStyle w:val="000000010000" w:firstRow="0" w:lastRow="0" w:firstColumn="0" w:lastColumn="0" w:oddVBand="0" w:evenVBand="0" w:oddHBand="0" w:evenHBand="1" w:firstRowFirstColumn="0" w:firstRowLastColumn="0" w:lastRowFirstColumn="0" w:lastRowLastColumn="0"/>
              <w:rPr>
                <w:rFonts w:asciiTheme="minorHAnsi" w:hAnsiTheme="minorHAnsi" w:cs="Arial"/>
                <w:szCs w:val="20"/>
              </w:rPr>
            </w:pPr>
            <w:r w:rsidRPr="00117572">
              <w:rPr>
                <w:rFonts w:asciiTheme="minorHAnsi" w:hAnsiTheme="minorHAnsi" w:cs="Arial"/>
                <w:szCs w:val="20"/>
              </w:rPr>
              <w:t>9</w:t>
            </w:r>
          </w:p>
        </w:tc>
      </w:tr>
      <w:tr w:rsidR="00BD3FA0" w:rsidRPr="0011757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779" w:type="dxa"/>
            <w:noWrap/>
          </w:tcPr>
          <w:p w:rsidR="00BD3FA0" w:rsidRPr="00117572" w:rsidRDefault="00BD3FA0" w:rsidP="00BD3FA0">
            <w:pPr>
              <w:keepNext/>
              <w:spacing w:after="0"/>
              <w:jc w:val="left"/>
              <w:rPr>
                <w:rFonts w:asciiTheme="minorHAnsi" w:hAnsiTheme="minorHAnsi" w:cs="Arial"/>
                <w:szCs w:val="20"/>
              </w:rPr>
            </w:pPr>
            <w:r w:rsidRPr="00117572">
              <w:rPr>
                <w:rFonts w:asciiTheme="minorHAnsi" w:hAnsiTheme="minorHAnsi" w:cs="Arial"/>
                <w:szCs w:val="20"/>
              </w:rPr>
              <w:t>Seychelles</w:t>
            </w:r>
          </w:p>
        </w:tc>
        <w:tc>
          <w:tcPr>
            <w:tcW w:w="1043" w:type="dxa"/>
            <w:noWrap/>
          </w:tcPr>
          <w:p w:rsidR="00BD3FA0" w:rsidRPr="00117572" w:rsidRDefault="00BD3FA0" w:rsidP="00BD3FA0">
            <w:pPr>
              <w:keepNext/>
              <w:spacing w:after="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20"/>
              </w:rPr>
            </w:pPr>
            <w:r w:rsidRPr="00117572">
              <w:rPr>
                <w:rFonts w:asciiTheme="minorHAnsi" w:hAnsiTheme="minorHAnsi" w:cs="Arial"/>
                <w:szCs w:val="20"/>
              </w:rPr>
              <w:t> 0</w:t>
            </w:r>
          </w:p>
        </w:tc>
        <w:tc>
          <w:tcPr>
            <w:tcW w:w="1043" w:type="dxa"/>
            <w:noWrap/>
          </w:tcPr>
          <w:p w:rsidR="00BD3FA0" w:rsidRPr="00117572" w:rsidRDefault="00BD3FA0" w:rsidP="00BD3FA0">
            <w:pPr>
              <w:keepNext/>
              <w:spacing w:after="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20"/>
              </w:rPr>
            </w:pPr>
            <w:r w:rsidRPr="00117572">
              <w:rPr>
                <w:rFonts w:asciiTheme="minorHAnsi" w:hAnsiTheme="minorHAnsi" w:cs="Arial"/>
                <w:szCs w:val="20"/>
              </w:rPr>
              <w:t>0 </w:t>
            </w:r>
          </w:p>
        </w:tc>
        <w:tc>
          <w:tcPr>
            <w:tcW w:w="1044" w:type="dxa"/>
            <w:noWrap/>
          </w:tcPr>
          <w:p w:rsidR="00BD3FA0" w:rsidRPr="00117572" w:rsidRDefault="00BD3FA0" w:rsidP="00BD3FA0">
            <w:pPr>
              <w:keepNext/>
              <w:spacing w:after="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20"/>
              </w:rPr>
            </w:pPr>
            <w:r w:rsidRPr="00117572">
              <w:rPr>
                <w:rFonts w:asciiTheme="minorHAnsi" w:hAnsiTheme="minorHAnsi" w:cs="Arial"/>
                <w:szCs w:val="20"/>
              </w:rPr>
              <w:t>0 </w:t>
            </w:r>
          </w:p>
        </w:tc>
        <w:tc>
          <w:tcPr>
            <w:tcW w:w="1043" w:type="dxa"/>
            <w:noWrap/>
          </w:tcPr>
          <w:p w:rsidR="00BD3FA0" w:rsidRPr="00117572" w:rsidRDefault="00BD3FA0" w:rsidP="00BD3FA0">
            <w:pPr>
              <w:keepNext/>
              <w:spacing w:after="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20"/>
              </w:rPr>
            </w:pPr>
            <w:r w:rsidRPr="00117572">
              <w:rPr>
                <w:rFonts w:asciiTheme="minorHAnsi" w:hAnsiTheme="minorHAnsi" w:cs="Arial"/>
                <w:szCs w:val="20"/>
              </w:rPr>
              <w:t>0 </w:t>
            </w:r>
          </w:p>
        </w:tc>
        <w:tc>
          <w:tcPr>
            <w:tcW w:w="1043" w:type="dxa"/>
            <w:noWrap/>
          </w:tcPr>
          <w:p w:rsidR="00BD3FA0" w:rsidRPr="00117572" w:rsidRDefault="00BD3FA0" w:rsidP="00BD3FA0">
            <w:pPr>
              <w:keepNext/>
              <w:spacing w:after="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20"/>
              </w:rPr>
            </w:pPr>
            <w:r w:rsidRPr="00117572">
              <w:rPr>
                <w:rFonts w:asciiTheme="minorHAnsi" w:hAnsiTheme="minorHAnsi" w:cs="Arial"/>
                <w:szCs w:val="20"/>
              </w:rPr>
              <w:t>0 </w:t>
            </w:r>
          </w:p>
        </w:tc>
        <w:tc>
          <w:tcPr>
            <w:tcW w:w="1044" w:type="dxa"/>
            <w:noWrap/>
          </w:tcPr>
          <w:p w:rsidR="00BD3FA0" w:rsidRPr="00117572" w:rsidRDefault="00BD3FA0" w:rsidP="00BD3FA0">
            <w:pPr>
              <w:keepNext/>
              <w:spacing w:after="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20"/>
              </w:rPr>
            </w:pPr>
            <w:r w:rsidRPr="00117572">
              <w:rPr>
                <w:rFonts w:asciiTheme="minorHAnsi" w:hAnsiTheme="minorHAnsi" w:cs="Arial"/>
                <w:szCs w:val="20"/>
              </w:rPr>
              <w:t>1</w:t>
            </w:r>
          </w:p>
        </w:tc>
      </w:tr>
      <w:tr w:rsidR="00BD3FA0" w:rsidRPr="00117572">
        <w:trPr>
          <w:cnfStyle w:val="000000010000" w:firstRow="0" w:lastRow="0" w:firstColumn="0" w:lastColumn="0" w:oddVBand="0" w:evenVBand="0" w:oddHBand="0" w:evenHBand="1"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779" w:type="dxa"/>
            <w:noWrap/>
          </w:tcPr>
          <w:p w:rsidR="00BD3FA0" w:rsidRPr="00117572" w:rsidRDefault="00BD3FA0" w:rsidP="00BD3FA0">
            <w:pPr>
              <w:keepNext/>
              <w:spacing w:after="0"/>
              <w:jc w:val="left"/>
              <w:rPr>
                <w:rFonts w:asciiTheme="minorHAnsi" w:hAnsiTheme="minorHAnsi" w:cs="Arial"/>
                <w:szCs w:val="20"/>
              </w:rPr>
            </w:pPr>
            <w:r w:rsidRPr="00117572">
              <w:rPr>
                <w:rFonts w:asciiTheme="minorHAnsi" w:hAnsiTheme="minorHAnsi" w:cs="Arial"/>
                <w:szCs w:val="20"/>
              </w:rPr>
              <w:t>Tunisia</w:t>
            </w:r>
          </w:p>
        </w:tc>
        <w:tc>
          <w:tcPr>
            <w:tcW w:w="1043" w:type="dxa"/>
            <w:noWrap/>
          </w:tcPr>
          <w:p w:rsidR="00BD3FA0" w:rsidRPr="00117572" w:rsidRDefault="00BD3FA0" w:rsidP="00BD3FA0">
            <w:pPr>
              <w:keepNext/>
              <w:spacing w:after="0"/>
              <w:jc w:val="right"/>
              <w:cnfStyle w:val="000000010000" w:firstRow="0" w:lastRow="0" w:firstColumn="0" w:lastColumn="0" w:oddVBand="0" w:evenVBand="0" w:oddHBand="0" w:evenHBand="1" w:firstRowFirstColumn="0" w:firstRowLastColumn="0" w:lastRowFirstColumn="0" w:lastRowLastColumn="0"/>
              <w:rPr>
                <w:rFonts w:asciiTheme="minorHAnsi" w:hAnsiTheme="minorHAnsi" w:cs="Arial"/>
                <w:szCs w:val="20"/>
              </w:rPr>
            </w:pPr>
            <w:r w:rsidRPr="00117572">
              <w:rPr>
                <w:rFonts w:asciiTheme="minorHAnsi" w:hAnsiTheme="minorHAnsi" w:cs="Arial"/>
                <w:szCs w:val="20"/>
              </w:rPr>
              <w:t>14</w:t>
            </w:r>
          </w:p>
        </w:tc>
        <w:tc>
          <w:tcPr>
            <w:tcW w:w="1043" w:type="dxa"/>
            <w:noWrap/>
          </w:tcPr>
          <w:p w:rsidR="00BD3FA0" w:rsidRPr="00117572" w:rsidRDefault="00BD3FA0" w:rsidP="00BD3FA0">
            <w:pPr>
              <w:keepNext/>
              <w:spacing w:after="0"/>
              <w:jc w:val="right"/>
              <w:cnfStyle w:val="000000010000" w:firstRow="0" w:lastRow="0" w:firstColumn="0" w:lastColumn="0" w:oddVBand="0" w:evenVBand="0" w:oddHBand="0" w:evenHBand="1" w:firstRowFirstColumn="0" w:firstRowLastColumn="0" w:lastRowFirstColumn="0" w:lastRowLastColumn="0"/>
              <w:rPr>
                <w:rFonts w:asciiTheme="minorHAnsi" w:hAnsiTheme="minorHAnsi" w:cs="Arial"/>
                <w:szCs w:val="20"/>
              </w:rPr>
            </w:pPr>
            <w:r w:rsidRPr="00117572">
              <w:rPr>
                <w:rFonts w:asciiTheme="minorHAnsi" w:hAnsiTheme="minorHAnsi" w:cs="Arial"/>
                <w:szCs w:val="20"/>
              </w:rPr>
              <w:t>15</w:t>
            </w:r>
          </w:p>
        </w:tc>
        <w:tc>
          <w:tcPr>
            <w:tcW w:w="1044" w:type="dxa"/>
            <w:noWrap/>
          </w:tcPr>
          <w:p w:rsidR="00BD3FA0" w:rsidRPr="00117572" w:rsidRDefault="00BD3FA0" w:rsidP="00BD3FA0">
            <w:pPr>
              <w:keepNext/>
              <w:spacing w:after="0"/>
              <w:jc w:val="right"/>
              <w:cnfStyle w:val="000000010000" w:firstRow="0" w:lastRow="0" w:firstColumn="0" w:lastColumn="0" w:oddVBand="0" w:evenVBand="0" w:oddHBand="0" w:evenHBand="1" w:firstRowFirstColumn="0" w:firstRowLastColumn="0" w:lastRowFirstColumn="0" w:lastRowLastColumn="0"/>
              <w:rPr>
                <w:rFonts w:asciiTheme="minorHAnsi" w:hAnsiTheme="minorHAnsi" w:cs="Arial"/>
                <w:szCs w:val="20"/>
              </w:rPr>
            </w:pPr>
            <w:r w:rsidRPr="00117572">
              <w:rPr>
                <w:rFonts w:asciiTheme="minorHAnsi" w:hAnsiTheme="minorHAnsi" w:cs="Arial"/>
                <w:szCs w:val="20"/>
              </w:rPr>
              <w:t>12</w:t>
            </w:r>
          </w:p>
        </w:tc>
        <w:tc>
          <w:tcPr>
            <w:tcW w:w="1043" w:type="dxa"/>
            <w:noWrap/>
          </w:tcPr>
          <w:p w:rsidR="00BD3FA0" w:rsidRPr="00117572" w:rsidRDefault="00BD3FA0" w:rsidP="00BD3FA0">
            <w:pPr>
              <w:keepNext/>
              <w:spacing w:after="0"/>
              <w:jc w:val="right"/>
              <w:cnfStyle w:val="000000010000" w:firstRow="0" w:lastRow="0" w:firstColumn="0" w:lastColumn="0" w:oddVBand="0" w:evenVBand="0" w:oddHBand="0" w:evenHBand="1" w:firstRowFirstColumn="0" w:firstRowLastColumn="0" w:lastRowFirstColumn="0" w:lastRowLastColumn="0"/>
              <w:rPr>
                <w:rFonts w:asciiTheme="minorHAnsi" w:hAnsiTheme="minorHAnsi" w:cs="Arial"/>
                <w:szCs w:val="20"/>
              </w:rPr>
            </w:pPr>
            <w:r w:rsidRPr="00117572">
              <w:rPr>
                <w:rFonts w:asciiTheme="minorHAnsi" w:hAnsiTheme="minorHAnsi" w:cs="Arial"/>
                <w:szCs w:val="20"/>
              </w:rPr>
              <w:t>12</w:t>
            </w:r>
          </w:p>
        </w:tc>
        <w:tc>
          <w:tcPr>
            <w:tcW w:w="1043" w:type="dxa"/>
            <w:noWrap/>
          </w:tcPr>
          <w:p w:rsidR="00BD3FA0" w:rsidRPr="00117572" w:rsidRDefault="00BD3FA0" w:rsidP="00BD3FA0">
            <w:pPr>
              <w:keepNext/>
              <w:spacing w:after="0"/>
              <w:jc w:val="right"/>
              <w:cnfStyle w:val="000000010000" w:firstRow="0" w:lastRow="0" w:firstColumn="0" w:lastColumn="0" w:oddVBand="0" w:evenVBand="0" w:oddHBand="0" w:evenHBand="1" w:firstRowFirstColumn="0" w:firstRowLastColumn="0" w:lastRowFirstColumn="0" w:lastRowLastColumn="0"/>
              <w:rPr>
                <w:rFonts w:asciiTheme="minorHAnsi" w:hAnsiTheme="minorHAnsi" w:cs="Arial"/>
                <w:szCs w:val="20"/>
              </w:rPr>
            </w:pPr>
            <w:r w:rsidRPr="00117572">
              <w:rPr>
                <w:rFonts w:asciiTheme="minorHAnsi" w:hAnsiTheme="minorHAnsi" w:cs="Arial"/>
                <w:szCs w:val="20"/>
              </w:rPr>
              <w:t>10</w:t>
            </w:r>
          </w:p>
        </w:tc>
        <w:tc>
          <w:tcPr>
            <w:tcW w:w="1044" w:type="dxa"/>
            <w:noWrap/>
          </w:tcPr>
          <w:p w:rsidR="00BD3FA0" w:rsidRPr="00117572" w:rsidRDefault="00BD3FA0" w:rsidP="00BD3FA0">
            <w:pPr>
              <w:keepNext/>
              <w:spacing w:after="0"/>
              <w:jc w:val="right"/>
              <w:cnfStyle w:val="000000010000" w:firstRow="0" w:lastRow="0" w:firstColumn="0" w:lastColumn="0" w:oddVBand="0" w:evenVBand="0" w:oddHBand="0" w:evenHBand="1" w:firstRowFirstColumn="0" w:firstRowLastColumn="0" w:lastRowFirstColumn="0" w:lastRowLastColumn="0"/>
              <w:rPr>
                <w:rFonts w:asciiTheme="minorHAnsi" w:hAnsiTheme="minorHAnsi" w:cs="Arial"/>
                <w:szCs w:val="20"/>
              </w:rPr>
            </w:pPr>
            <w:r w:rsidRPr="00117572">
              <w:rPr>
                <w:rFonts w:asciiTheme="minorHAnsi" w:hAnsiTheme="minorHAnsi" w:cs="Arial"/>
                <w:szCs w:val="20"/>
              </w:rPr>
              <w:t>14</w:t>
            </w:r>
          </w:p>
        </w:tc>
      </w:tr>
      <w:tr w:rsidR="00BD3FA0" w:rsidRPr="0011757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779" w:type="dxa"/>
            <w:noWrap/>
          </w:tcPr>
          <w:p w:rsidR="00BD3FA0" w:rsidRPr="00117572" w:rsidRDefault="00BD3FA0" w:rsidP="00BD3FA0">
            <w:pPr>
              <w:keepNext/>
              <w:spacing w:after="0"/>
              <w:jc w:val="left"/>
              <w:rPr>
                <w:rFonts w:asciiTheme="minorHAnsi" w:hAnsiTheme="minorHAnsi" w:cs="Arial"/>
                <w:szCs w:val="20"/>
              </w:rPr>
            </w:pPr>
            <w:r w:rsidRPr="00117572">
              <w:rPr>
                <w:rFonts w:asciiTheme="minorHAnsi" w:hAnsiTheme="minorHAnsi" w:cs="Arial"/>
                <w:szCs w:val="20"/>
              </w:rPr>
              <w:t>Uruguay</w:t>
            </w:r>
          </w:p>
        </w:tc>
        <w:tc>
          <w:tcPr>
            <w:tcW w:w="1043" w:type="dxa"/>
            <w:noWrap/>
          </w:tcPr>
          <w:p w:rsidR="00BD3FA0" w:rsidRPr="00117572" w:rsidRDefault="00BD3FA0" w:rsidP="00BD3FA0">
            <w:pPr>
              <w:keepNext/>
              <w:spacing w:after="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20"/>
              </w:rPr>
            </w:pPr>
            <w:r w:rsidRPr="00117572">
              <w:rPr>
                <w:rFonts w:asciiTheme="minorHAnsi" w:hAnsiTheme="minorHAnsi" w:cs="Arial"/>
                <w:szCs w:val="20"/>
              </w:rPr>
              <w:t>8</w:t>
            </w:r>
          </w:p>
        </w:tc>
        <w:tc>
          <w:tcPr>
            <w:tcW w:w="1043" w:type="dxa"/>
            <w:noWrap/>
          </w:tcPr>
          <w:p w:rsidR="00BD3FA0" w:rsidRPr="00117572" w:rsidRDefault="00BD3FA0" w:rsidP="00BD3FA0">
            <w:pPr>
              <w:keepNext/>
              <w:spacing w:after="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20"/>
              </w:rPr>
            </w:pPr>
            <w:r w:rsidRPr="00117572">
              <w:rPr>
                <w:rFonts w:asciiTheme="minorHAnsi" w:hAnsiTheme="minorHAnsi" w:cs="Arial"/>
                <w:szCs w:val="20"/>
              </w:rPr>
              <w:t>5</w:t>
            </w:r>
          </w:p>
        </w:tc>
        <w:tc>
          <w:tcPr>
            <w:tcW w:w="1044" w:type="dxa"/>
            <w:noWrap/>
          </w:tcPr>
          <w:p w:rsidR="00BD3FA0" w:rsidRPr="00117572" w:rsidRDefault="00BD3FA0" w:rsidP="00BD3FA0">
            <w:pPr>
              <w:keepNext/>
              <w:spacing w:after="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20"/>
              </w:rPr>
            </w:pPr>
            <w:r w:rsidRPr="00117572">
              <w:rPr>
                <w:rFonts w:asciiTheme="minorHAnsi" w:hAnsiTheme="minorHAnsi" w:cs="Arial"/>
                <w:szCs w:val="20"/>
              </w:rPr>
              <w:t>1</w:t>
            </w:r>
          </w:p>
        </w:tc>
        <w:tc>
          <w:tcPr>
            <w:tcW w:w="1043" w:type="dxa"/>
            <w:noWrap/>
          </w:tcPr>
          <w:p w:rsidR="00BD3FA0" w:rsidRPr="00117572" w:rsidRDefault="00BD3FA0" w:rsidP="00BD3FA0">
            <w:pPr>
              <w:keepNext/>
              <w:spacing w:after="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20"/>
              </w:rPr>
            </w:pPr>
            <w:r w:rsidRPr="00117572">
              <w:rPr>
                <w:rFonts w:asciiTheme="minorHAnsi" w:hAnsiTheme="minorHAnsi" w:cs="Arial"/>
                <w:szCs w:val="20"/>
              </w:rPr>
              <w:t>3</w:t>
            </w:r>
          </w:p>
        </w:tc>
        <w:tc>
          <w:tcPr>
            <w:tcW w:w="1043" w:type="dxa"/>
            <w:noWrap/>
          </w:tcPr>
          <w:p w:rsidR="00BD3FA0" w:rsidRPr="00117572" w:rsidRDefault="00BD3FA0" w:rsidP="00BD3FA0">
            <w:pPr>
              <w:keepNext/>
              <w:spacing w:after="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20"/>
              </w:rPr>
            </w:pPr>
            <w:r w:rsidRPr="00117572">
              <w:rPr>
                <w:rFonts w:asciiTheme="minorHAnsi" w:hAnsiTheme="minorHAnsi" w:cs="Arial"/>
                <w:szCs w:val="20"/>
              </w:rPr>
              <w:t>2</w:t>
            </w:r>
          </w:p>
        </w:tc>
        <w:tc>
          <w:tcPr>
            <w:tcW w:w="1044" w:type="dxa"/>
            <w:noWrap/>
          </w:tcPr>
          <w:p w:rsidR="00BD3FA0" w:rsidRPr="00117572" w:rsidRDefault="00BD3FA0" w:rsidP="00BD3FA0">
            <w:pPr>
              <w:keepNext/>
              <w:spacing w:after="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20"/>
              </w:rPr>
            </w:pPr>
            <w:r w:rsidRPr="00117572">
              <w:rPr>
                <w:rFonts w:asciiTheme="minorHAnsi" w:hAnsiTheme="minorHAnsi" w:cs="Arial"/>
                <w:szCs w:val="20"/>
              </w:rPr>
              <w:t>11</w:t>
            </w:r>
          </w:p>
        </w:tc>
      </w:tr>
    </w:tbl>
    <w:p w:rsidR="00BD3FA0" w:rsidRDefault="00BD3FA0" w:rsidP="00BD3FA0">
      <w:pPr>
        <w:spacing w:after="100" w:afterAutospacing="1"/>
        <w:rPr>
          <w:sz w:val="22"/>
          <w:lang w:val="en-GB"/>
        </w:rPr>
      </w:pPr>
    </w:p>
    <w:p w:rsidR="00D85203" w:rsidRDefault="00332D84" w:rsidP="001C6613">
      <w:pPr>
        <w:pStyle w:val="Caption"/>
        <w:keepNext/>
        <w:rPr>
          <w:lang w:val="en-US"/>
        </w:rPr>
      </w:pPr>
      <w:bookmarkStart w:id="73" w:name="_Ref256597101"/>
      <w:bookmarkStart w:id="74" w:name="_Toc260036741"/>
      <w:r w:rsidRPr="00332D84">
        <w:rPr>
          <w:lang w:val="en-US"/>
        </w:rPr>
        <w:t xml:space="preserve">Table </w:t>
      </w:r>
      <w:r w:rsidR="00AE227F">
        <w:fldChar w:fldCharType="begin"/>
      </w:r>
      <w:r w:rsidRPr="00332D84">
        <w:rPr>
          <w:lang w:val="en-US"/>
        </w:rPr>
        <w:instrText xml:space="preserve"> SEQ Table \* ARABIC </w:instrText>
      </w:r>
      <w:r w:rsidR="00AE227F">
        <w:fldChar w:fldCharType="separate"/>
      </w:r>
      <w:r w:rsidR="004F08A8">
        <w:rPr>
          <w:noProof/>
          <w:lang w:val="en-US"/>
        </w:rPr>
        <w:t>6</w:t>
      </w:r>
      <w:r w:rsidR="00AE227F">
        <w:fldChar w:fldCharType="end"/>
      </w:r>
      <w:bookmarkEnd w:id="73"/>
      <w:r w:rsidRPr="00332D84">
        <w:rPr>
          <w:lang w:val="en-US"/>
        </w:rPr>
        <w:t xml:space="preserve"> </w:t>
      </w:r>
      <w:r w:rsidR="00CF0FCF" w:rsidRPr="00366A0E">
        <w:rPr>
          <w:lang w:val="en-US"/>
        </w:rPr>
        <w:t>Number of participants funded by n</w:t>
      </w:r>
      <w:r w:rsidR="00CF0FCF">
        <w:rPr>
          <w:lang w:val="en-US"/>
        </w:rPr>
        <w:t>on-C</w:t>
      </w:r>
      <w:r w:rsidR="00CF0FCF" w:rsidRPr="00366A0E">
        <w:rPr>
          <w:lang w:val="en-US"/>
        </w:rPr>
        <w:t>TF sources</w:t>
      </w:r>
      <w:r w:rsidR="00CF0FCF">
        <w:rPr>
          <w:lang w:val="en-US"/>
        </w:rPr>
        <w:t xml:space="preserve"> of countries for which 2009 was the first year on </w:t>
      </w:r>
      <w:r w:rsidRPr="00332D84">
        <w:rPr>
          <w:lang w:val="en-US"/>
        </w:rPr>
        <w:t xml:space="preserve">matched funding, </w:t>
      </w:r>
      <w:r w:rsidR="00CF0FCF">
        <w:rPr>
          <w:lang w:val="en-US"/>
        </w:rPr>
        <w:t xml:space="preserve">by </w:t>
      </w:r>
      <w:r w:rsidRPr="00332D84">
        <w:rPr>
          <w:lang w:val="en-US"/>
        </w:rPr>
        <w:t>initial group</w:t>
      </w:r>
      <w:bookmarkEnd w:id="74"/>
    </w:p>
    <w:tbl>
      <w:tblPr>
        <w:tblStyle w:val="MediumGrid3-Accent1"/>
        <w:tblW w:w="9280" w:type="dxa"/>
        <w:tblLook w:val="04A0" w:firstRow="1" w:lastRow="0" w:firstColumn="1" w:lastColumn="0" w:noHBand="0" w:noVBand="1"/>
      </w:tblPr>
      <w:tblGrid>
        <w:gridCol w:w="1951"/>
        <w:gridCol w:w="992"/>
        <w:gridCol w:w="993"/>
        <w:gridCol w:w="1275"/>
        <w:gridCol w:w="1969"/>
        <w:gridCol w:w="980"/>
        <w:gridCol w:w="1120"/>
      </w:tblGrid>
      <w:tr w:rsidR="00214E7E" w:rsidRPr="00117572">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951" w:type="dxa"/>
            <w:noWrap/>
          </w:tcPr>
          <w:p w:rsidR="00E4655B" w:rsidRDefault="00214E7E">
            <w:pPr>
              <w:keepNext/>
              <w:spacing w:after="0"/>
              <w:rPr>
                <w:rFonts w:asciiTheme="minorHAnsi" w:hAnsiTheme="minorHAnsi" w:cs="Arial"/>
                <w:b w:val="0"/>
                <w:bCs w:val="0"/>
                <w:color w:val="auto"/>
                <w:sz w:val="24"/>
                <w:szCs w:val="20"/>
                <w:lang w:val="en-US"/>
              </w:rPr>
            </w:pPr>
            <w:r w:rsidRPr="00117572">
              <w:rPr>
                <w:rFonts w:asciiTheme="minorHAnsi" w:hAnsiTheme="minorHAnsi" w:cs="Arial"/>
                <w:szCs w:val="20"/>
                <w:lang w:val="en-US"/>
              </w:rPr>
              <w:t> </w:t>
            </w:r>
          </w:p>
        </w:tc>
        <w:tc>
          <w:tcPr>
            <w:tcW w:w="992" w:type="dxa"/>
            <w:noWrap/>
          </w:tcPr>
          <w:p w:rsidR="00E4655B" w:rsidRDefault="00214E7E">
            <w:pPr>
              <w:keepNext/>
              <w:spacing w:after="0"/>
              <w:jc w:val="right"/>
              <w:cnfStyle w:val="100000000000" w:firstRow="1" w:lastRow="0" w:firstColumn="0" w:lastColumn="0" w:oddVBand="0" w:evenVBand="0" w:oddHBand="0" w:evenHBand="0" w:firstRowFirstColumn="0" w:firstRowLastColumn="0" w:lastRowFirstColumn="0" w:lastRowLastColumn="0"/>
              <w:rPr>
                <w:rFonts w:asciiTheme="minorHAnsi" w:hAnsiTheme="minorHAnsi" w:cs="Arial"/>
                <w:b w:val="0"/>
                <w:bCs w:val="0"/>
                <w:color w:val="auto"/>
                <w:sz w:val="24"/>
                <w:szCs w:val="20"/>
              </w:rPr>
            </w:pPr>
            <w:r w:rsidRPr="00117572">
              <w:rPr>
                <w:rFonts w:asciiTheme="minorHAnsi" w:hAnsiTheme="minorHAnsi" w:cs="Arial"/>
                <w:szCs w:val="20"/>
              </w:rPr>
              <w:t>2008</w:t>
            </w:r>
          </w:p>
        </w:tc>
        <w:tc>
          <w:tcPr>
            <w:tcW w:w="993" w:type="dxa"/>
            <w:noWrap/>
          </w:tcPr>
          <w:p w:rsidR="00E4655B" w:rsidRDefault="00214E7E">
            <w:pPr>
              <w:keepNext/>
              <w:spacing w:after="0"/>
              <w:jc w:val="right"/>
              <w:cnfStyle w:val="100000000000" w:firstRow="1" w:lastRow="0" w:firstColumn="0" w:lastColumn="0" w:oddVBand="0" w:evenVBand="0" w:oddHBand="0" w:evenHBand="0" w:firstRowFirstColumn="0" w:firstRowLastColumn="0" w:lastRowFirstColumn="0" w:lastRowLastColumn="0"/>
              <w:rPr>
                <w:rFonts w:asciiTheme="minorHAnsi" w:hAnsiTheme="minorHAnsi" w:cs="Arial"/>
                <w:b w:val="0"/>
                <w:bCs w:val="0"/>
                <w:color w:val="auto"/>
                <w:sz w:val="24"/>
                <w:szCs w:val="20"/>
              </w:rPr>
            </w:pPr>
            <w:r w:rsidRPr="00117572">
              <w:rPr>
                <w:rFonts w:asciiTheme="minorHAnsi" w:hAnsiTheme="minorHAnsi" w:cs="Arial"/>
                <w:szCs w:val="20"/>
              </w:rPr>
              <w:t>2009</w:t>
            </w:r>
          </w:p>
        </w:tc>
        <w:tc>
          <w:tcPr>
            <w:tcW w:w="1275" w:type="dxa"/>
          </w:tcPr>
          <w:p w:rsidR="00E4655B" w:rsidRDefault="00E4655B">
            <w:pPr>
              <w:keepNext/>
              <w:spacing w:after="0"/>
              <w:cnfStyle w:val="100000000000" w:firstRow="1" w:lastRow="0" w:firstColumn="0" w:lastColumn="0" w:oddVBand="0" w:evenVBand="0" w:oddHBand="0" w:evenHBand="0" w:firstRowFirstColumn="0" w:firstRowLastColumn="0" w:lastRowFirstColumn="0" w:lastRowLastColumn="0"/>
              <w:rPr>
                <w:rFonts w:asciiTheme="minorHAnsi" w:hAnsiTheme="minorHAnsi" w:cs="Arial"/>
                <w:b w:val="0"/>
                <w:bCs w:val="0"/>
                <w:color w:val="auto"/>
                <w:sz w:val="24"/>
                <w:szCs w:val="20"/>
              </w:rPr>
            </w:pPr>
          </w:p>
        </w:tc>
        <w:tc>
          <w:tcPr>
            <w:tcW w:w="1969" w:type="dxa"/>
            <w:noWrap/>
          </w:tcPr>
          <w:p w:rsidR="00E4655B" w:rsidRDefault="00214E7E">
            <w:pPr>
              <w:keepNext/>
              <w:spacing w:after="0"/>
              <w:cnfStyle w:val="100000000000" w:firstRow="1" w:lastRow="0" w:firstColumn="0" w:lastColumn="0" w:oddVBand="0" w:evenVBand="0" w:oddHBand="0" w:evenHBand="0" w:firstRowFirstColumn="0" w:firstRowLastColumn="0" w:lastRowFirstColumn="0" w:lastRowLastColumn="0"/>
              <w:rPr>
                <w:rFonts w:asciiTheme="minorHAnsi" w:hAnsiTheme="minorHAnsi" w:cs="Arial"/>
                <w:b w:val="0"/>
                <w:bCs w:val="0"/>
                <w:color w:val="auto"/>
                <w:sz w:val="24"/>
                <w:szCs w:val="20"/>
              </w:rPr>
            </w:pPr>
            <w:r w:rsidRPr="00117572">
              <w:rPr>
                <w:rFonts w:asciiTheme="minorHAnsi" w:hAnsiTheme="minorHAnsi" w:cs="Arial"/>
                <w:szCs w:val="20"/>
              </w:rPr>
              <w:t> </w:t>
            </w:r>
          </w:p>
        </w:tc>
        <w:tc>
          <w:tcPr>
            <w:tcW w:w="980" w:type="dxa"/>
            <w:noWrap/>
          </w:tcPr>
          <w:p w:rsidR="00E4655B" w:rsidRDefault="00214E7E">
            <w:pPr>
              <w:keepNext/>
              <w:spacing w:after="0"/>
              <w:jc w:val="right"/>
              <w:cnfStyle w:val="100000000000" w:firstRow="1" w:lastRow="0" w:firstColumn="0" w:lastColumn="0" w:oddVBand="0" w:evenVBand="0" w:oddHBand="0" w:evenHBand="0" w:firstRowFirstColumn="0" w:firstRowLastColumn="0" w:lastRowFirstColumn="0" w:lastRowLastColumn="0"/>
              <w:rPr>
                <w:rFonts w:asciiTheme="minorHAnsi" w:hAnsiTheme="minorHAnsi" w:cs="Arial"/>
                <w:b w:val="0"/>
                <w:bCs w:val="0"/>
                <w:color w:val="auto"/>
                <w:sz w:val="24"/>
                <w:szCs w:val="20"/>
              </w:rPr>
            </w:pPr>
            <w:r w:rsidRPr="00117572">
              <w:rPr>
                <w:rFonts w:asciiTheme="minorHAnsi" w:hAnsiTheme="minorHAnsi" w:cs="Arial"/>
                <w:szCs w:val="20"/>
              </w:rPr>
              <w:t>2008</w:t>
            </w:r>
          </w:p>
        </w:tc>
        <w:tc>
          <w:tcPr>
            <w:tcW w:w="1120" w:type="dxa"/>
            <w:noWrap/>
          </w:tcPr>
          <w:p w:rsidR="00E4655B" w:rsidRDefault="00214E7E">
            <w:pPr>
              <w:keepNext/>
              <w:spacing w:after="0"/>
              <w:jc w:val="right"/>
              <w:cnfStyle w:val="100000000000" w:firstRow="1" w:lastRow="0" w:firstColumn="0" w:lastColumn="0" w:oddVBand="0" w:evenVBand="0" w:oddHBand="0" w:evenHBand="0" w:firstRowFirstColumn="0" w:firstRowLastColumn="0" w:lastRowFirstColumn="0" w:lastRowLastColumn="0"/>
              <w:rPr>
                <w:rFonts w:asciiTheme="minorHAnsi" w:hAnsiTheme="minorHAnsi" w:cs="Arial"/>
                <w:b w:val="0"/>
                <w:bCs w:val="0"/>
                <w:color w:val="auto"/>
                <w:sz w:val="24"/>
                <w:szCs w:val="20"/>
              </w:rPr>
            </w:pPr>
            <w:r w:rsidRPr="00117572">
              <w:rPr>
                <w:rFonts w:asciiTheme="minorHAnsi" w:hAnsiTheme="minorHAnsi" w:cs="Arial"/>
                <w:szCs w:val="20"/>
              </w:rPr>
              <w:t>2009</w:t>
            </w:r>
          </w:p>
        </w:tc>
      </w:tr>
      <w:tr w:rsidR="00214E7E" w:rsidRPr="0011757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951" w:type="dxa"/>
            <w:noWrap/>
          </w:tcPr>
          <w:p w:rsidR="00E4655B" w:rsidRDefault="00214E7E">
            <w:pPr>
              <w:keepNext/>
              <w:spacing w:after="0"/>
              <w:rPr>
                <w:rFonts w:asciiTheme="minorHAnsi" w:hAnsiTheme="minorHAnsi" w:cs="Arial"/>
                <w:b/>
                <w:bCs w:val="0"/>
                <w:sz w:val="24"/>
                <w:szCs w:val="20"/>
              </w:rPr>
            </w:pPr>
            <w:r w:rsidRPr="00117572">
              <w:rPr>
                <w:rFonts w:asciiTheme="minorHAnsi" w:hAnsiTheme="minorHAnsi" w:cs="Arial"/>
                <w:b/>
                <w:szCs w:val="20"/>
              </w:rPr>
              <w:t>Group 1a</w:t>
            </w:r>
          </w:p>
        </w:tc>
        <w:tc>
          <w:tcPr>
            <w:tcW w:w="992" w:type="dxa"/>
            <w:noWrap/>
          </w:tcPr>
          <w:p w:rsidR="00E4655B" w:rsidRDefault="00214E7E">
            <w:pPr>
              <w:keepNext/>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4"/>
                <w:szCs w:val="20"/>
              </w:rPr>
            </w:pPr>
            <w:r w:rsidRPr="00117572">
              <w:rPr>
                <w:rFonts w:asciiTheme="minorHAnsi" w:hAnsiTheme="minorHAnsi" w:cs="Arial"/>
                <w:szCs w:val="20"/>
              </w:rPr>
              <w:t> </w:t>
            </w:r>
          </w:p>
        </w:tc>
        <w:tc>
          <w:tcPr>
            <w:tcW w:w="993" w:type="dxa"/>
            <w:noWrap/>
          </w:tcPr>
          <w:p w:rsidR="00E4655B" w:rsidRDefault="00214E7E">
            <w:pPr>
              <w:keepNext/>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4"/>
                <w:szCs w:val="20"/>
              </w:rPr>
            </w:pPr>
            <w:r w:rsidRPr="00117572">
              <w:rPr>
                <w:rFonts w:asciiTheme="minorHAnsi" w:hAnsiTheme="minorHAnsi" w:cs="Arial"/>
                <w:szCs w:val="20"/>
              </w:rPr>
              <w:t> </w:t>
            </w:r>
          </w:p>
        </w:tc>
        <w:tc>
          <w:tcPr>
            <w:tcW w:w="1275" w:type="dxa"/>
          </w:tcPr>
          <w:p w:rsidR="00E4655B" w:rsidRDefault="00E4655B">
            <w:pPr>
              <w:keepNext/>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Arial"/>
                <w:b/>
                <w:sz w:val="24"/>
                <w:szCs w:val="20"/>
              </w:rPr>
            </w:pPr>
          </w:p>
        </w:tc>
        <w:tc>
          <w:tcPr>
            <w:tcW w:w="1969" w:type="dxa"/>
            <w:noWrap/>
          </w:tcPr>
          <w:p w:rsidR="00E4655B" w:rsidRDefault="00214E7E">
            <w:pPr>
              <w:keepNext/>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Arial"/>
                <w:b/>
                <w:sz w:val="24"/>
                <w:szCs w:val="20"/>
              </w:rPr>
            </w:pPr>
            <w:r w:rsidRPr="00117572">
              <w:rPr>
                <w:rFonts w:asciiTheme="minorHAnsi" w:hAnsiTheme="minorHAnsi" w:cs="Arial"/>
                <w:b/>
                <w:szCs w:val="20"/>
              </w:rPr>
              <w:t>Group 1b</w:t>
            </w:r>
          </w:p>
        </w:tc>
        <w:tc>
          <w:tcPr>
            <w:tcW w:w="980" w:type="dxa"/>
            <w:noWrap/>
          </w:tcPr>
          <w:p w:rsidR="00E4655B" w:rsidRDefault="00214E7E">
            <w:pPr>
              <w:keepNext/>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4"/>
                <w:szCs w:val="20"/>
              </w:rPr>
            </w:pPr>
            <w:r w:rsidRPr="00117572">
              <w:rPr>
                <w:rFonts w:asciiTheme="minorHAnsi" w:hAnsiTheme="minorHAnsi" w:cs="Arial"/>
                <w:szCs w:val="20"/>
              </w:rPr>
              <w:t> </w:t>
            </w:r>
          </w:p>
        </w:tc>
        <w:tc>
          <w:tcPr>
            <w:tcW w:w="1120" w:type="dxa"/>
            <w:noWrap/>
          </w:tcPr>
          <w:p w:rsidR="00E4655B" w:rsidRDefault="00214E7E">
            <w:pPr>
              <w:keepNext/>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4"/>
                <w:szCs w:val="20"/>
              </w:rPr>
            </w:pPr>
            <w:r w:rsidRPr="00117572">
              <w:rPr>
                <w:rFonts w:asciiTheme="minorHAnsi" w:hAnsiTheme="minorHAnsi" w:cs="Arial"/>
                <w:szCs w:val="20"/>
              </w:rPr>
              <w:t> </w:t>
            </w:r>
          </w:p>
        </w:tc>
      </w:tr>
      <w:tr w:rsidR="00214E7E" w:rsidRPr="00117572">
        <w:trPr>
          <w:cnfStyle w:val="000000010000" w:firstRow="0" w:lastRow="0" w:firstColumn="0" w:lastColumn="0" w:oddVBand="0" w:evenVBand="0" w:oddHBand="0" w:evenHBand="1"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951" w:type="dxa"/>
            <w:noWrap/>
          </w:tcPr>
          <w:p w:rsidR="00E4655B" w:rsidRDefault="00214E7E">
            <w:pPr>
              <w:keepNext/>
              <w:spacing w:after="0"/>
              <w:rPr>
                <w:rFonts w:asciiTheme="minorHAnsi" w:hAnsiTheme="minorHAnsi" w:cs="Arial"/>
                <w:bCs w:val="0"/>
                <w:sz w:val="24"/>
                <w:szCs w:val="20"/>
              </w:rPr>
            </w:pPr>
            <w:r w:rsidRPr="00117572">
              <w:rPr>
                <w:rFonts w:asciiTheme="minorHAnsi" w:hAnsiTheme="minorHAnsi" w:cs="Arial"/>
                <w:szCs w:val="20"/>
              </w:rPr>
              <w:t>Bhutan</w:t>
            </w:r>
          </w:p>
        </w:tc>
        <w:tc>
          <w:tcPr>
            <w:tcW w:w="992" w:type="dxa"/>
            <w:noWrap/>
          </w:tcPr>
          <w:p w:rsidR="00E4655B" w:rsidRDefault="00214E7E">
            <w:pPr>
              <w:keepNext/>
              <w:spacing w:after="0"/>
              <w:jc w:val="right"/>
              <w:cnfStyle w:val="000000010000" w:firstRow="0" w:lastRow="0" w:firstColumn="0" w:lastColumn="0" w:oddVBand="0" w:evenVBand="0" w:oddHBand="0" w:evenHBand="1" w:firstRowFirstColumn="0" w:firstRowLastColumn="0" w:lastRowFirstColumn="0" w:lastRowLastColumn="0"/>
              <w:rPr>
                <w:rFonts w:asciiTheme="minorHAnsi" w:hAnsiTheme="minorHAnsi" w:cs="Arial"/>
                <w:sz w:val="24"/>
                <w:szCs w:val="20"/>
              </w:rPr>
            </w:pPr>
            <w:r w:rsidRPr="00117572">
              <w:rPr>
                <w:rFonts w:asciiTheme="minorHAnsi" w:hAnsiTheme="minorHAnsi" w:cs="Arial"/>
                <w:szCs w:val="20"/>
              </w:rPr>
              <w:t>2</w:t>
            </w:r>
          </w:p>
        </w:tc>
        <w:tc>
          <w:tcPr>
            <w:tcW w:w="993" w:type="dxa"/>
            <w:noWrap/>
          </w:tcPr>
          <w:p w:rsidR="00E4655B" w:rsidRDefault="00214E7E">
            <w:pPr>
              <w:keepNext/>
              <w:spacing w:after="0"/>
              <w:jc w:val="right"/>
              <w:cnfStyle w:val="000000010000" w:firstRow="0" w:lastRow="0" w:firstColumn="0" w:lastColumn="0" w:oddVBand="0" w:evenVBand="0" w:oddHBand="0" w:evenHBand="1" w:firstRowFirstColumn="0" w:firstRowLastColumn="0" w:lastRowFirstColumn="0" w:lastRowLastColumn="0"/>
              <w:rPr>
                <w:rFonts w:asciiTheme="minorHAnsi" w:hAnsiTheme="minorHAnsi" w:cs="Arial"/>
                <w:sz w:val="24"/>
                <w:szCs w:val="20"/>
              </w:rPr>
            </w:pPr>
            <w:r w:rsidRPr="00117572">
              <w:rPr>
                <w:rFonts w:asciiTheme="minorHAnsi" w:hAnsiTheme="minorHAnsi" w:cs="Arial"/>
                <w:szCs w:val="20"/>
              </w:rPr>
              <w:t>4</w:t>
            </w:r>
          </w:p>
        </w:tc>
        <w:tc>
          <w:tcPr>
            <w:tcW w:w="1275" w:type="dxa"/>
          </w:tcPr>
          <w:p w:rsidR="00E4655B" w:rsidRDefault="00E4655B">
            <w:pPr>
              <w:keepNext/>
              <w:spacing w:after="0"/>
              <w:cnfStyle w:val="000000010000" w:firstRow="0" w:lastRow="0" w:firstColumn="0" w:lastColumn="0" w:oddVBand="0" w:evenVBand="0" w:oddHBand="0" w:evenHBand="1" w:firstRowFirstColumn="0" w:firstRowLastColumn="0" w:lastRowFirstColumn="0" w:lastRowLastColumn="0"/>
              <w:rPr>
                <w:rFonts w:asciiTheme="minorHAnsi" w:hAnsiTheme="minorHAnsi" w:cs="Arial"/>
                <w:sz w:val="24"/>
                <w:szCs w:val="20"/>
              </w:rPr>
            </w:pPr>
          </w:p>
        </w:tc>
        <w:tc>
          <w:tcPr>
            <w:tcW w:w="1969" w:type="dxa"/>
            <w:noWrap/>
          </w:tcPr>
          <w:p w:rsidR="00E4655B" w:rsidRDefault="00214E7E">
            <w:pPr>
              <w:keepNext/>
              <w:spacing w:after="0"/>
              <w:cnfStyle w:val="000000010000" w:firstRow="0" w:lastRow="0" w:firstColumn="0" w:lastColumn="0" w:oddVBand="0" w:evenVBand="0" w:oddHBand="0" w:evenHBand="1" w:firstRowFirstColumn="0" w:firstRowLastColumn="0" w:lastRowFirstColumn="0" w:lastRowLastColumn="0"/>
              <w:rPr>
                <w:rFonts w:asciiTheme="minorHAnsi" w:hAnsiTheme="minorHAnsi" w:cs="Arial"/>
                <w:sz w:val="24"/>
                <w:szCs w:val="20"/>
              </w:rPr>
            </w:pPr>
            <w:r w:rsidRPr="00117572">
              <w:rPr>
                <w:rFonts w:asciiTheme="minorHAnsi" w:hAnsiTheme="minorHAnsi" w:cs="Arial"/>
                <w:szCs w:val="20"/>
              </w:rPr>
              <w:t>Ghana</w:t>
            </w:r>
          </w:p>
        </w:tc>
        <w:tc>
          <w:tcPr>
            <w:tcW w:w="980" w:type="dxa"/>
            <w:noWrap/>
          </w:tcPr>
          <w:p w:rsidR="00E4655B" w:rsidRDefault="00214E7E">
            <w:pPr>
              <w:keepNext/>
              <w:spacing w:after="0"/>
              <w:jc w:val="right"/>
              <w:cnfStyle w:val="000000010000" w:firstRow="0" w:lastRow="0" w:firstColumn="0" w:lastColumn="0" w:oddVBand="0" w:evenVBand="0" w:oddHBand="0" w:evenHBand="1" w:firstRowFirstColumn="0" w:firstRowLastColumn="0" w:lastRowFirstColumn="0" w:lastRowLastColumn="0"/>
              <w:rPr>
                <w:rFonts w:asciiTheme="minorHAnsi" w:hAnsiTheme="minorHAnsi" w:cs="Arial"/>
                <w:sz w:val="24"/>
                <w:szCs w:val="20"/>
              </w:rPr>
            </w:pPr>
            <w:r w:rsidRPr="00117572">
              <w:rPr>
                <w:rFonts w:asciiTheme="minorHAnsi" w:hAnsiTheme="minorHAnsi" w:cs="Arial"/>
                <w:szCs w:val="20"/>
              </w:rPr>
              <w:t>14</w:t>
            </w:r>
          </w:p>
        </w:tc>
        <w:tc>
          <w:tcPr>
            <w:tcW w:w="1120" w:type="dxa"/>
            <w:noWrap/>
          </w:tcPr>
          <w:p w:rsidR="00E4655B" w:rsidRDefault="00214E7E">
            <w:pPr>
              <w:keepNext/>
              <w:spacing w:after="0"/>
              <w:jc w:val="right"/>
              <w:cnfStyle w:val="000000010000" w:firstRow="0" w:lastRow="0" w:firstColumn="0" w:lastColumn="0" w:oddVBand="0" w:evenVBand="0" w:oddHBand="0" w:evenHBand="1" w:firstRowFirstColumn="0" w:firstRowLastColumn="0" w:lastRowFirstColumn="0" w:lastRowLastColumn="0"/>
              <w:rPr>
                <w:rFonts w:asciiTheme="minorHAnsi" w:hAnsiTheme="minorHAnsi" w:cs="Arial"/>
                <w:sz w:val="24"/>
                <w:szCs w:val="20"/>
              </w:rPr>
            </w:pPr>
            <w:r w:rsidRPr="00117572">
              <w:rPr>
                <w:rFonts w:asciiTheme="minorHAnsi" w:hAnsiTheme="minorHAnsi" w:cs="Arial"/>
                <w:szCs w:val="20"/>
              </w:rPr>
              <w:t>23</w:t>
            </w:r>
          </w:p>
        </w:tc>
      </w:tr>
      <w:tr w:rsidR="00214E7E" w:rsidRPr="0011757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951" w:type="dxa"/>
            <w:noWrap/>
          </w:tcPr>
          <w:p w:rsidR="00E4655B" w:rsidRDefault="00214E7E">
            <w:pPr>
              <w:keepNext/>
              <w:spacing w:after="0"/>
              <w:rPr>
                <w:rFonts w:asciiTheme="minorHAnsi" w:hAnsiTheme="minorHAnsi" w:cs="Arial"/>
                <w:bCs w:val="0"/>
                <w:sz w:val="24"/>
                <w:szCs w:val="20"/>
              </w:rPr>
            </w:pPr>
            <w:r w:rsidRPr="00117572">
              <w:rPr>
                <w:rFonts w:asciiTheme="minorHAnsi" w:hAnsiTheme="minorHAnsi" w:cs="Arial"/>
                <w:szCs w:val="20"/>
              </w:rPr>
              <w:t>Burundi</w:t>
            </w:r>
          </w:p>
        </w:tc>
        <w:tc>
          <w:tcPr>
            <w:tcW w:w="992" w:type="dxa"/>
            <w:noWrap/>
          </w:tcPr>
          <w:p w:rsidR="00E4655B" w:rsidRDefault="00214E7E">
            <w:pPr>
              <w:keepNext/>
              <w:spacing w:after="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4"/>
                <w:szCs w:val="20"/>
              </w:rPr>
            </w:pPr>
            <w:r w:rsidRPr="00117572">
              <w:rPr>
                <w:rFonts w:asciiTheme="minorHAnsi" w:hAnsiTheme="minorHAnsi" w:cs="Arial"/>
                <w:szCs w:val="20"/>
              </w:rPr>
              <w:t>2</w:t>
            </w:r>
          </w:p>
        </w:tc>
        <w:tc>
          <w:tcPr>
            <w:tcW w:w="993" w:type="dxa"/>
            <w:noWrap/>
          </w:tcPr>
          <w:p w:rsidR="00E4655B" w:rsidRDefault="00214E7E">
            <w:pPr>
              <w:keepNext/>
              <w:spacing w:after="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4"/>
                <w:szCs w:val="20"/>
              </w:rPr>
            </w:pPr>
            <w:r w:rsidRPr="00117572">
              <w:rPr>
                <w:rFonts w:asciiTheme="minorHAnsi" w:hAnsiTheme="minorHAnsi" w:cs="Arial"/>
                <w:szCs w:val="20"/>
              </w:rPr>
              <w:t>2</w:t>
            </w:r>
          </w:p>
        </w:tc>
        <w:tc>
          <w:tcPr>
            <w:tcW w:w="1275" w:type="dxa"/>
          </w:tcPr>
          <w:p w:rsidR="00E4655B" w:rsidRDefault="00E4655B">
            <w:pPr>
              <w:keepNext/>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4"/>
                <w:szCs w:val="20"/>
              </w:rPr>
            </w:pPr>
          </w:p>
        </w:tc>
        <w:tc>
          <w:tcPr>
            <w:tcW w:w="1969" w:type="dxa"/>
            <w:noWrap/>
          </w:tcPr>
          <w:p w:rsidR="00E4655B" w:rsidRDefault="00214E7E">
            <w:pPr>
              <w:keepNext/>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4"/>
                <w:szCs w:val="20"/>
              </w:rPr>
            </w:pPr>
            <w:r w:rsidRPr="00117572">
              <w:rPr>
                <w:rFonts w:asciiTheme="minorHAnsi" w:hAnsiTheme="minorHAnsi" w:cs="Arial"/>
                <w:szCs w:val="20"/>
              </w:rPr>
              <w:t>India</w:t>
            </w:r>
          </w:p>
        </w:tc>
        <w:tc>
          <w:tcPr>
            <w:tcW w:w="980" w:type="dxa"/>
            <w:noWrap/>
          </w:tcPr>
          <w:p w:rsidR="00E4655B" w:rsidRDefault="00214E7E">
            <w:pPr>
              <w:keepNext/>
              <w:spacing w:after="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4"/>
                <w:szCs w:val="20"/>
              </w:rPr>
            </w:pPr>
            <w:r w:rsidRPr="00117572">
              <w:rPr>
                <w:rFonts w:asciiTheme="minorHAnsi" w:hAnsiTheme="minorHAnsi" w:cs="Arial"/>
                <w:szCs w:val="20"/>
              </w:rPr>
              <w:t>24</w:t>
            </w:r>
          </w:p>
        </w:tc>
        <w:tc>
          <w:tcPr>
            <w:tcW w:w="1120" w:type="dxa"/>
            <w:noWrap/>
          </w:tcPr>
          <w:p w:rsidR="00E4655B" w:rsidRDefault="00214E7E">
            <w:pPr>
              <w:keepNext/>
              <w:spacing w:after="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4"/>
                <w:szCs w:val="20"/>
              </w:rPr>
            </w:pPr>
            <w:r w:rsidRPr="00117572">
              <w:rPr>
                <w:rFonts w:asciiTheme="minorHAnsi" w:hAnsiTheme="minorHAnsi" w:cs="Arial"/>
                <w:szCs w:val="20"/>
              </w:rPr>
              <w:t>21</w:t>
            </w:r>
          </w:p>
        </w:tc>
      </w:tr>
      <w:tr w:rsidR="00214E7E" w:rsidRPr="00117572">
        <w:trPr>
          <w:cnfStyle w:val="000000010000" w:firstRow="0" w:lastRow="0" w:firstColumn="0" w:lastColumn="0" w:oddVBand="0" w:evenVBand="0" w:oddHBand="0" w:evenHBand="1"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951" w:type="dxa"/>
            <w:noWrap/>
          </w:tcPr>
          <w:p w:rsidR="00E4655B" w:rsidRDefault="00214E7E">
            <w:pPr>
              <w:keepNext/>
              <w:spacing w:after="0"/>
              <w:rPr>
                <w:rFonts w:asciiTheme="minorHAnsi" w:hAnsiTheme="minorHAnsi" w:cs="Arial"/>
                <w:bCs w:val="0"/>
                <w:sz w:val="24"/>
                <w:szCs w:val="20"/>
              </w:rPr>
            </w:pPr>
            <w:r w:rsidRPr="00117572">
              <w:rPr>
                <w:rFonts w:asciiTheme="minorHAnsi" w:hAnsiTheme="minorHAnsi" w:cs="Arial"/>
                <w:szCs w:val="20"/>
              </w:rPr>
              <w:t>Haiti</w:t>
            </w:r>
          </w:p>
        </w:tc>
        <w:tc>
          <w:tcPr>
            <w:tcW w:w="992" w:type="dxa"/>
            <w:noWrap/>
          </w:tcPr>
          <w:p w:rsidR="00E4655B" w:rsidRDefault="00214E7E">
            <w:pPr>
              <w:keepNext/>
              <w:spacing w:after="0"/>
              <w:jc w:val="right"/>
              <w:cnfStyle w:val="000000010000" w:firstRow="0" w:lastRow="0" w:firstColumn="0" w:lastColumn="0" w:oddVBand="0" w:evenVBand="0" w:oddHBand="0" w:evenHBand="1" w:firstRowFirstColumn="0" w:firstRowLastColumn="0" w:lastRowFirstColumn="0" w:lastRowLastColumn="0"/>
              <w:rPr>
                <w:rFonts w:asciiTheme="minorHAnsi" w:hAnsiTheme="minorHAnsi" w:cs="Arial"/>
                <w:sz w:val="24"/>
                <w:szCs w:val="20"/>
              </w:rPr>
            </w:pPr>
            <w:r w:rsidRPr="00117572">
              <w:rPr>
                <w:rFonts w:asciiTheme="minorHAnsi" w:hAnsiTheme="minorHAnsi" w:cs="Arial"/>
                <w:szCs w:val="20"/>
              </w:rPr>
              <w:t>1</w:t>
            </w:r>
          </w:p>
        </w:tc>
        <w:tc>
          <w:tcPr>
            <w:tcW w:w="993" w:type="dxa"/>
            <w:noWrap/>
          </w:tcPr>
          <w:p w:rsidR="00E4655B" w:rsidRDefault="00214E7E">
            <w:pPr>
              <w:keepNext/>
              <w:spacing w:after="0"/>
              <w:jc w:val="right"/>
              <w:cnfStyle w:val="000000010000" w:firstRow="0" w:lastRow="0" w:firstColumn="0" w:lastColumn="0" w:oddVBand="0" w:evenVBand="0" w:oddHBand="0" w:evenHBand="1" w:firstRowFirstColumn="0" w:firstRowLastColumn="0" w:lastRowFirstColumn="0" w:lastRowLastColumn="0"/>
              <w:rPr>
                <w:rFonts w:asciiTheme="minorHAnsi" w:hAnsiTheme="minorHAnsi" w:cs="Arial"/>
                <w:sz w:val="24"/>
                <w:szCs w:val="20"/>
              </w:rPr>
            </w:pPr>
            <w:r w:rsidRPr="00117572">
              <w:rPr>
                <w:rFonts w:asciiTheme="minorHAnsi" w:hAnsiTheme="minorHAnsi" w:cs="Arial"/>
                <w:szCs w:val="20"/>
              </w:rPr>
              <w:t>2</w:t>
            </w:r>
          </w:p>
        </w:tc>
        <w:tc>
          <w:tcPr>
            <w:tcW w:w="1275" w:type="dxa"/>
          </w:tcPr>
          <w:p w:rsidR="00E4655B" w:rsidRDefault="00E4655B">
            <w:pPr>
              <w:keepNext/>
              <w:spacing w:after="0"/>
              <w:cnfStyle w:val="000000010000" w:firstRow="0" w:lastRow="0" w:firstColumn="0" w:lastColumn="0" w:oddVBand="0" w:evenVBand="0" w:oddHBand="0" w:evenHBand="1" w:firstRowFirstColumn="0" w:firstRowLastColumn="0" w:lastRowFirstColumn="0" w:lastRowLastColumn="0"/>
              <w:rPr>
                <w:rFonts w:asciiTheme="minorHAnsi" w:hAnsiTheme="minorHAnsi" w:cs="Arial"/>
                <w:sz w:val="24"/>
                <w:szCs w:val="20"/>
              </w:rPr>
            </w:pPr>
          </w:p>
        </w:tc>
        <w:tc>
          <w:tcPr>
            <w:tcW w:w="1969" w:type="dxa"/>
            <w:noWrap/>
          </w:tcPr>
          <w:p w:rsidR="00E4655B" w:rsidRDefault="00214E7E">
            <w:pPr>
              <w:keepNext/>
              <w:spacing w:after="0"/>
              <w:cnfStyle w:val="000000010000" w:firstRow="0" w:lastRow="0" w:firstColumn="0" w:lastColumn="0" w:oddVBand="0" w:evenVBand="0" w:oddHBand="0" w:evenHBand="1" w:firstRowFirstColumn="0" w:firstRowLastColumn="0" w:lastRowFirstColumn="0" w:lastRowLastColumn="0"/>
              <w:rPr>
                <w:rFonts w:asciiTheme="minorHAnsi" w:hAnsiTheme="minorHAnsi" w:cs="Arial"/>
                <w:sz w:val="24"/>
                <w:szCs w:val="20"/>
              </w:rPr>
            </w:pPr>
            <w:r w:rsidRPr="00117572">
              <w:rPr>
                <w:rFonts w:asciiTheme="minorHAnsi" w:hAnsiTheme="minorHAnsi" w:cs="Arial"/>
                <w:szCs w:val="20"/>
              </w:rPr>
              <w:t>Indonesia</w:t>
            </w:r>
          </w:p>
        </w:tc>
        <w:tc>
          <w:tcPr>
            <w:tcW w:w="980" w:type="dxa"/>
            <w:noWrap/>
          </w:tcPr>
          <w:p w:rsidR="00E4655B" w:rsidRDefault="00214E7E">
            <w:pPr>
              <w:keepNext/>
              <w:spacing w:after="0"/>
              <w:jc w:val="right"/>
              <w:cnfStyle w:val="000000010000" w:firstRow="0" w:lastRow="0" w:firstColumn="0" w:lastColumn="0" w:oddVBand="0" w:evenVBand="0" w:oddHBand="0" w:evenHBand="1" w:firstRowFirstColumn="0" w:firstRowLastColumn="0" w:lastRowFirstColumn="0" w:lastRowLastColumn="0"/>
              <w:rPr>
                <w:rFonts w:asciiTheme="minorHAnsi" w:hAnsiTheme="minorHAnsi" w:cs="Arial"/>
                <w:sz w:val="24"/>
                <w:szCs w:val="20"/>
              </w:rPr>
            </w:pPr>
            <w:r w:rsidRPr="00117572">
              <w:rPr>
                <w:rFonts w:asciiTheme="minorHAnsi" w:hAnsiTheme="minorHAnsi" w:cs="Arial"/>
                <w:szCs w:val="20"/>
              </w:rPr>
              <w:t>73</w:t>
            </w:r>
          </w:p>
        </w:tc>
        <w:tc>
          <w:tcPr>
            <w:tcW w:w="1120" w:type="dxa"/>
            <w:noWrap/>
          </w:tcPr>
          <w:p w:rsidR="00E4655B" w:rsidRDefault="00214E7E">
            <w:pPr>
              <w:keepNext/>
              <w:spacing w:after="0"/>
              <w:jc w:val="right"/>
              <w:cnfStyle w:val="000000010000" w:firstRow="0" w:lastRow="0" w:firstColumn="0" w:lastColumn="0" w:oddVBand="0" w:evenVBand="0" w:oddHBand="0" w:evenHBand="1" w:firstRowFirstColumn="0" w:firstRowLastColumn="0" w:lastRowFirstColumn="0" w:lastRowLastColumn="0"/>
              <w:rPr>
                <w:rFonts w:asciiTheme="minorHAnsi" w:hAnsiTheme="minorHAnsi" w:cs="Arial"/>
                <w:sz w:val="24"/>
                <w:szCs w:val="20"/>
              </w:rPr>
            </w:pPr>
            <w:r w:rsidRPr="00117572">
              <w:rPr>
                <w:rFonts w:asciiTheme="minorHAnsi" w:hAnsiTheme="minorHAnsi" w:cs="Arial"/>
                <w:szCs w:val="20"/>
              </w:rPr>
              <w:t>79</w:t>
            </w:r>
          </w:p>
        </w:tc>
      </w:tr>
      <w:tr w:rsidR="00214E7E" w:rsidRPr="0011757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951" w:type="dxa"/>
            <w:noWrap/>
          </w:tcPr>
          <w:p w:rsidR="00E4655B" w:rsidRDefault="00214E7E">
            <w:pPr>
              <w:keepNext/>
              <w:spacing w:after="0"/>
              <w:rPr>
                <w:rFonts w:asciiTheme="minorHAnsi" w:hAnsiTheme="minorHAnsi" w:cs="Arial"/>
                <w:bCs w:val="0"/>
                <w:sz w:val="24"/>
                <w:szCs w:val="20"/>
              </w:rPr>
            </w:pPr>
            <w:r w:rsidRPr="00117572">
              <w:rPr>
                <w:rFonts w:asciiTheme="minorHAnsi" w:hAnsiTheme="minorHAnsi" w:cs="Arial"/>
                <w:szCs w:val="20"/>
              </w:rPr>
              <w:t>Lao PDR</w:t>
            </w:r>
          </w:p>
        </w:tc>
        <w:tc>
          <w:tcPr>
            <w:tcW w:w="992" w:type="dxa"/>
            <w:noWrap/>
          </w:tcPr>
          <w:p w:rsidR="00E4655B" w:rsidRDefault="00214E7E">
            <w:pPr>
              <w:keepNext/>
              <w:spacing w:after="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4"/>
                <w:szCs w:val="20"/>
              </w:rPr>
            </w:pPr>
            <w:r w:rsidRPr="00117572">
              <w:rPr>
                <w:rFonts w:asciiTheme="minorHAnsi" w:hAnsiTheme="minorHAnsi" w:cs="Arial"/>
                <w:szCs w:val="20"/>
              </w:rPr>
              <w:t>1</w:t>
            </w:r>
          </w:p>
        </w:tc>
        <w:tc>
          <w:tcPr>
            <w:tcW w:w="993" w:type="dxa"/>
            <w:noWrap/>
          </w:tcPr>
          <w:p w:rsidR="00E4655B" w:rsidRDefault="00214E7E">
            <w:pPr>
              <w:keepNext/>
              <w:spacing w:after="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4"/>
                <w:szCs w:val="20"/>
              </w:rPr>
            </w:pPr>
            <w:r w:rsidRPr="00117572">
              <w:rPr>
                <w:rFonts w:asciiTheme="minorHAnsi" w:hAnsiTheme="minorHAnsi" w:cs="Arial"/>
                <w:szCs w:val="20"/>
              </w:rPr>
              <w:t>0</w:t>
            </w:r>
          </w:p>
        </w:tc>
        <w:tc>
          <w:tcPr>
            <w:tcW w:w="1275" w:type="dxa"/>
          </w:tcPr>
          <w:p w:rsidR="00E4655B" w:rsidRDefault="00E4655B">
            <w:pPr>
              <w:keepNext/>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4"/>
                <w:szCs w:val="20"/>
              </w:rPr>
            </w:pPr>
          </w:p>
        </w:tc>
        <w:tc>
          <w:tcPr>
            <w:tcW w:w="1969" w:type="dxa"/>
            <w:noWrap/>
          </w:tcPr>
          <w:p w:rsidR="00E4655B" w:rsidRDefault="00214E7E">
            <w:pPr>
              <w:keepNext/>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4"/>
                <w:szCs w:val="20"/>
              </w:rPr>
            </w:pPr>
            <w:r w:rsidRPr="00117572">
              <w:rPr>
                <w:rFonts w:asciiTheme="minorHAnsi" w:hAnsiTheme="minorHAnsi" w:cs="Arial"/>
                <w:szCs w:val="20"/>
              </w:rPr>
              <w:t>Mongolia</w:t>
            </w:r>
          </w:p>
        </w:tc>
        <w:tc>
          <w:tcPr>
            <w:tcW w:w="980" w:type="dxa"/>
            <w:noWrap/>
          </w:tcPr>
          <w:p w:rsidR="00E4655B" w:rsidRDefault="00214E7E">
            <w:pPr>
              <w:keepNext/>
              <w:spacing w:after="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4"/>
                <w:szCs w:val="20"/>
              </w:rPr>
            </w:pPr>
            <w:r w:rsidRPr="00117572">
              <w:rPr>
                <w:rFonts w:asciiTheme="minorHAnsi" w:hAnsiTheme="minorHAnsi" w:cs="Arial"/>
                <w:szCs w:val="20"/>
              </w:rPr>
              <w:t>0</w:t>
            </w:r>
          </w:p>
        </w:tc>
        <w:tc>
          <w:tcPr>
            <w:tcW w:w="1120" w:type="dxa"/>
            <w:noWrap/>
          </w:tcPr>
          <w:p w:rsidR="00E4655B" w:rsidRDefault="00214E7E">
            <w:pPr>
              <w:keepNext/>
              <w:spacing w:after="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4"/>
                <w:szCs w:val="20"/>
              </w:rPr>
            </w:pPr>
            <w:r w:rsidRPr="00117572">
              <w:rPr>
                <w:rFonts w:asciiTheme="minorHAnsi" w:hAnsiTheme="minorHAnsi" w:cs="Arial"/>
                <w:szCs w:val="20"/>
              </w:rPr>
              <w:t>4</w:t>
            </w:r>
          </w:p>
        </w:tc>
      </w:tr>
      <w:tr w:rsidR="00214E7E" w:rsidRPr="00117572">
        <w:trPr>
          <w:cnfStyle w:val="000000010000" w:firstRow="0" w:lastRow="0" w:firstColumn="0" w:lastColumn="0" w:oddVBand="0" w:evenVBand="0" w:oddHBand="0" w:evenHBand="1"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951" w:type="dxa"/>
            <w:noWrap/>
          </w:tcPr>
          <w:p w:rsidR="00E4655B" w:rsidRDefault="00214E7E">
            <w:pPr>
              <w:keepNext/>
              <w:spacing w:after="0"/>
              <w:rPr>
                <w:rFonts w:asciiTheme="minorHAnsi" w:hAnsiTheme="minorHAnsi" w:cs="Arial"/>
                <w:bCs w:val="0"/>
                <w:sz w:val="24"/>
                <w:szCs w:val="20"/>
              </w:rPr>
            </w:pPr>
            <w:r w:rsidRPr="00117572">
              <w:rPr>
                <w:rFonts w:asciiTheme="minorHAnsi" w:hAnsiTheme="minorHAnsi" w:cs="Arial"/>
                <w:szCs w:val="20"/>
              </w:rPr>
              <w:t>Mali</w:t>
            </w:r>
          </w:p>
        </w:tc>
        <w:tc>
          <w:tcPr>
            <w:tcW w:w="992" w:type="dxa"/>
            <w:noWrap/>
          </w:tcPr>
          <w:p w:rsidR="00E4655B" w:rsidRDefault="00214E7E">
            <w:pPr>
              <w:keepNext/>
              <w:spacing w:after="0"/>
              <w:jc w:val="right"/>
              <w:cnfStyle w:val="000000010000" w:firstRow="0" w:lastRow="0" w:firstColumn="0" w:lastColumn="0" w:oddVBand="0" w:evenVBand="0" w:oddHBand="0" w:evenHBand="1" w:firstRowFirstColumn="0" w:firstRowLastColumn="0" w:lastRowFirstColumn="0" w:lastRowLastColumn="0"/>
              <w:rPr>
                <w:rFonts w:asciiTheme="minorHAnsi" w:hAnsiTheme="minorHAnsi" w:cs="Arial"/>
                <w:sz w:val="24"/>
                <w:szCs w:val="20"/>
              </w:rPr>
            </w:pPr>
            <w:r w:rsidRPr="00117572">
              <w:rPr>
                <w:rFonts w:asciiTheme="minorHAnsi" w:hAnsiTheme="minorHAnsi" w:cs="Arial"/>
                <w:szCs w:val="20"/>
              </w:rPr>
              <w:t>7</w:t>
            </w:r>
          </w:p>
        </w:tc>
        <w:tc>
          <w:tcPr>
            <w:tcW w:w="993" w:type="dxa"/>
            <w:noWrap/>
          </w:tcPr>
          <w:p w:rsidR="00E4655B" w:rsidRDefault="00214E7E">
            <w:pPr>
              <w:keepNext/>
              <w:spacing w:after="0"/>
              <w:jc w:val="right"/>
              <w:cnfStyle w:val="000000010000" w:firstRow="0" w:lastRow="0" w:firstColumn="0" w:lastColumn="0" w:oddVBand="0" w:evenVBand="0" w:oddHBand="0" w:evenHBand="1" w:firstRowFirstColumn="0" w:firstRowLastColumn="0" w:lastRowFirstColumn="0" w:lastRowLastColumn="0"/>
              <w:rPr>
                <w:rFonts w:asciiTheme="minorHAnsi" w:hAnsiTheme="minorHAnsi" w:cs="Arial"/>
                <w:sz w:val="24"/>
                <w:szCs w:val="20"/>
              </w:rPr>
            </w:pPr>
            <w:r w:rsidRPr="00117572">
              <w:rPr>
                <w:rFonts w:asciiTheme="minorHAnsi" w:hAnsiTheme="minorHAnsi" w:cs="Arial"/>
                <w:szCs w:val="20"/>
              </w:rPr>
              <w:t>8</w:t>
            </w:r>
          </w:p>
        </w:tc>
        <w:tc>
          <w:tcPr>
            <w:tcW w:w="1275" w:type="dxa"/>
          </w:tcPr>
          <w:p w:rsidR="00E4655B" w:rsidRDefault="00E4655B">
            <w:pPr>
              <w:keepNext/>
              <w:spacing w:after="0"/>
              <w:cnfStyle w:val="000000010000" w:firstRow="0" w:lastRow="0" w:firstColumn="0" w:lastColumn="0" w:oddVBand="0" w:evenVBand="0" w:oddHBand="0" w:evenHBand="1" w:firstRowFirstColumn="0" w:firstRowLastColumn="0" w:lastRowFirstColumn="0" w:lastRowLastColumn="0"/>
              <w:rPr>
                <w:rFonts w:asciiTheme="minorHAnsi" w:hAnsiTheme="minorHAnsi" w:cs="Arial"/>
                <w:sz w:val="24"/>
                <w:szCs w:val="20"/>
              </w:rPr>
            </w:pPr>
          </w:p>
        </w:tc>
        <w:tc>
          <w:tcPr>
            <w:tcW w:w="1969" w:type="dxa"/>
            <w:noWrap/>
          </w:tcPr>
          <w:p w:rsidR="00E4655B" w:rsidRDefault="00214E7E">
            <w:pPr>
              <w:keepNext/>
              <w:spacing w:after="0"/>
              <w:cnfStyle w:val="000000010000" w:firstRow="0" w:lastRow="0" w:firstColumn="0" w:lastColumn="0" w:oddVBand="0" w:evenVBand="0" w:oddHBand="0" w:evenHBand="1" w:firstRowFirstColumn="0" w:firstRowLastColumn="0" w:lastRowFirstColumn="0" w:lastRowLastColumn="0"/>
              <w:rPr>
                <w:rFonts w:asciiTheme="minorHAnsi" w:hAnsiTheme="minorHAnsi" w:cs="Arial"/>
                <w:sz w:val="24"/>
                <w:szCs w:val="20"/>
              </w:rPr>
            </w:pPr>
            <w:r w:rsidRPr="00117572">
              <w:rPr>
                <w:rFonts w:asciiTheme="minorHAnsi" w:hAnsiTheme="minorHAnsi" w:cs="Arial"/>
                <w:szCs w:val="20"/>
              </w:rPr>
              <w:t>Nicaragua</w:t>
            </w:r>
          </w:p>
        </w:tc>
        <w:tc>
          <w:tcPr>
            <w:tcW w:w="980" w:type="dxa"/>
            <w:noWrap/>
          </w:tcPr>
          <w:p w:rsidR="00E4655B" w:rsidRDefault="00214E7E">
            <w:pPr>
              <w:keepNext/>
              <w:spacing w:after="0"/>
              <w:jc w:val="right"/>
              <w:cnfStyle w:val="000000010000" w:firstRow="0" w:lastRow="0" w:firstColumn="0" w:lastColumn="0" w:oddVBand="0" w:evenVBand="0" w:oddHBand="0" w:evenHBand="1" w:firstRowFirstColumn="0" w:firstRowLastColumn="0" w:lastRowFirstColumn="0" w:lastRowLastColumn="0"/>
              <w:rPr>
                <w:rFonts w:asciiTheme="minorHAnsi" w:hAnsiTheme="minorHAnsi" w:cs="Arial"/>
                <w:sz w:val="24"/>
                <w:szCs w:val="20"/>
              </w:rPr>
            </w:pPr>
            <w:r w:rsidRPr="00117572">
              <w:rPr>
                <w:rFonts w:asciiTheme="minorHAnsi" w:hAnsiTheme="minorHAnsi" w:cs="Arial"/>
                <w:szCs w:val="20"/>
              </w:rPr>
              <w:t>1</w:t>
            </w:r>
          </w:p>
        </w:tc>
        <w:tc>
          <w:tcPr>
            <w:tcW w:w="1120" w:type="dxa"/>
            <w:noWrap/>
          </w:tcPr>
          <w:p w:rsidR="00E4655B" w:rsidRDefault="00214E7E">
            <w:pPr>
              <w:keepNext/>
              <w:spacing w:after="0"/>
              <w:jc w:val="right"/>
              <w:cnfStyle w:val="000000010000" w:firstRow="0" w:lastRow="0" w:firstColumn="0" w:lastColumn="0" w:oddVBand="0" w:evenVBand="0" w:oddHBand="0" w:evenHBand="1" w:firstRowFirstColumn="0" w:firstRowLastColumn="0" w:lastRowFirstColumn="0" w:lastRowLastColumn="0"/>
              <w:rPr>
                <w:rFonts w:asciiTheme="minorHAnsi" w:hAnsiTheme="minorHAnsi" w:cs="Arial"/>
                <w:sz w:val="24"/>
                <w:szCs w:val="20"/>
              </w:rPr>
            </w:pPr>
            <w:r w:rsidRPr="00117572">
              <w:rPr>
                <w:rFonts w:asciiTheme="minorHAnsi" w:hAnsiTheme="minorHAnsi" w:cs="Arial"/>
                <w:szCs w:val="20"/>
              </w:rPr>
              <w:t>1</w:t>
            </w:r>
          </w:p>
        </w:tc>
      </w:tr>
      <w:tr w:rsidR="00214E7E" w:rsidRPr="0011757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951" w:type="dxa"/>
            <w:noWrap/>
          </w:tcPr>
          <w:p w:rsidR="00E4655B" w:rsidRDefault="00214E7E">
            <w:pPr>
              <w:keepNext/>
              <w:spacing w:after="0"/>
              <w:rPr>
                <w:rFonts w:asciiTheme="minorHAnsi" w:hAnsiTheme="minorHAnsi" w:cs="Arial"/>
                <w:bCs w:val="0"/>
                <w:sz w:val="24"/>
                <w:szCs w:val="20"/>
              </w:rPr>
            </w:pPr>
            <w:r w:rsidRPr="00117572">
              <w:rPr>
                <w:rFonts w:asciiTheme="minorHAnsi" w:hAnsiTheme="minorHAnsi" w:cs="Arial"/>
                <w:szCs w:val="20"/>
              </w:rPr>
              <w:t>Nepal</w:t>
            </w:r>
          </w:p>
        </w:tc>
        <w:tc>
          <w:tcPr>
            <w:tcW w:w="992" w:type="dxa"/>
            <w:noWrap/>
          </w:tcPr>
          <w:p w:rsidR="00E4655B" w:rsidRDefault="00214E7E">
            <w:pPr>
              <w:keepNext/>
              <w:spacing w:after="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4"/>
                <w:szCs w:val="20"/>
              </w:rPr>
            </w:pPr>
            <w:r w:rsidRPr="00117572">
              <w:rPr>
                <w:rFonts w:asciiTheme="minorHAnsi" w:hAnsiTheme="minorHAnsi" w:cs="Arial"/>
                <w:szCs w:val="20"/>
              </w:rPr>
              <w:t>1</w:t>
            </w:r>
          </w:p>
        </w:tc>
        <w:tc>
          <w:tcPr>
            <w:tcW w:w="993" w:type="dxa"/>
            <w:noWrap/>
          </w:tcPr>
          <w:p w:rsidR="00E4655B" w:rsidRDefault="00214E7E">
            <w:pPr>
              <w:keepNext/>
              <w:spacing w:after="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4"/>
                <w:szCs w:val="20"/>
              </w:rPr>
            </w:pPr>
            <w:r w:rsidRPr="00117572">
              <w:rPr>
                <w:rFonts w:asciiTheme="minorHAnsi" w:hAnsiTheme="minorHAnsi" w:cs="Arial"/>
                <w:szCs w:val="20"/>
              </w:rPr>
              <w:t>0</w:t>
            </w:r>
          </w:p>
        </w:tc>
        <w:tc>
          <w:tcPr>
            <w:tcW w:w="1275" w:type="dxa"/>
          </w:tcPr>
          <w:p w:rsidR="00E4655B" w:rsidRDefault="00E4655B">
            <w:pPr>
              <w:keepNext/>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4"/>
                <w:szCs w:val="20"/>
              </w:rPr>
            </w:pPr>
          </w:p>
        </w:tc>
        <w:tc>
          <w:tcPr>
            <w:tcW w:w="1969" w:type="dxa"/>
            <w:noWrap/>
          </w:tcPr>
          <w:p w:rsidR="00E4655B" w:rsidRDefault="00214E7E">
            <w:pPr>
              <w:keepNext/>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4"/>
                <w:szCs w:val="20"/>
              </w:rPr>
            </w:pPr>
            <w:r w:rsidRPr="00117572">
              <w:rPr>
                <w:rFonts w:asciiTheme="minorHAnsi" w:hAnsiTheme="minorHAnsi" w:cs="Arial"/>
                <w:szCs w:val="20"/>
              </w:rPr>
              <w:t>Papua New Guinea</w:t>
            </w:r>
          </w:p>
        </w:tc>
        <w:tc>
          <w:tcPr>
            <w:tcW w:w="980" w:type="dxa"/>
            <w:noWrap/>
          </w:tcPr>
          <w:p w:rsidR="00E4655B" w:rsidRDefault="00214E7E">
            <w:pPr>
              <w:keepNext/>
              <w:spacing w:after="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4"/>
                <w:szCs w:val="20"/>
              </w:rPr>
            </w:pPr>
            <w:r w:rsidRPr="00117572">
              <w:rPr>
                <w:rFonts w:asciiTheme="minorHAnsi" w:hAnsiTheme="minorHAnsi" w:cs="Arial"/>
                <w:szCs w:val="20"/>
              </w:rPr>
              <w:t>1</w:t>
            </w:r>
          </w:p>
        </w:tc>
        <w:tc>
          <w:tcPr>
            <w:tcW w:w="1120" w:type="dxa"/>
            <w:noWrap/>
          </w:tcPr>
          <w:p w:rsidR="00E4655B" w:rsidRDefault="00214E7E">
            <w:pPr>
              <w:keepNext/>
              <w:spacing w:after="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4"/>
                <w:szCs w:val="20"/>
              </w:rPr>
            </w:pPr>
            <w:r w:rsidRPr="00117572">
              <w:rPr>
                <w:rFonts w:asciiTheme="minorHAnsi" w:hAnsiTheme="minorHAnsi" w:cs="Arial"/>
                <w:szCs w:val="20"/>
              </w:rPr>
              <w:t>4</w:t>
            </w:r>
          </w:p>
        </w:tc>
      </w:tr>
      <w:tr w:rsidR="00214E7E" w:rsidRPr="00117572">
        <w:trPr>
          <w:cnfStyle w:val="000000010000" w:firstRow="0" w:lastRow="0" w:firstColumn="0" w:lastColumn="0" w:oddVBand="0" w:evenVBand="0" w:oddHBand="0" w:evenHBand="1"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951" w:type="dxa"/>
            <w:noWrap/>
          </w:tcPr>
          <w:p w:rsidR="00E4655B" w:rsidRDefault="00214E7E">
            <w:pPr>
              <w:keepNext/>
              <w:spacing w:after="0"/>
              <w:rPr>
                <w:rFonts w:asciiTheme="minorHAnsi" w:hAnsiTheme="minorHAnsi" w:cs="Arial"/>
                <w:bCs w:val="0"/>
                <w:sz w:val="24"/>
                <w:szCs w:val="20"/>
              </w:rPr>
            </w:pPr>
            <w:r w:rsidRPr="00117572">
              <w:rPr>
                <w:rFonts w:asciiTheme="minorHAnsi" w:hAnsiTheme="minorHAnsi" w:cs="Arial"/>
                <w:szCs w:val="20"/>
              </w:rPr>
              <w:t>Niger.</w:t>
            </w:r>
          </w:p>
        </w:tc>
        <w:tc>
          <w:tcPr>
            <w:tcW w:w="992" w:type="dxa"/>
            <w:noWrap/>
          </w:tcPr>
          <w:p w:rsidR="00E4655B" w:rsidRDefault="00214E7E">
            <w:pPr>
              <w:keepNext/>
              <w:spacing w:after="0"/>
              <w:jc w:val="right"/>
              <w:cnfStyle w:val="000000010000" w:firstRow="0" w:lastRow="0" w:firstColumn="0" w:lastColumn="0" w:oddVBand="0" w:evenVBand="0" w:oddHBand="0" w:evenHBand="1" w:firstRowFirstColumn="0" w:firstRowLastColumn="0" w:lastRowFirstColumn="0" w:lastRowLastColumn="0"/>
              <w:rPr>
                <w:rFonts w:asciiTheme="minorHAnsi" w:hAnsiTheme="minorHAnsi" w:cs="Arial"/>
                <w:sz w:val="24"/>
                <w:szCs w:val="20"/>
              </w:rPr>
            </w:pPr>
            <w:r w:rsidRPr="00117572">
              <w:rPr>
                <w:rFonts w:asciiTheme="minorHAnsi" w:hAnsiTheme="minorHAnsi" w:cs="Arial"/>
                <w:szCs w:val="20"/>
              </w:rPr>
              <w:t>1</w:t>
            </w:r>
          </w:p>
        </w:tc>
        <w:tc>
          <w:tcPr>
            <w:tcW w:w="993" w:type="dxa"/>
            <w:noWrap/>
          </w:tcPr>
          <w:p w:rsidR="00E4655B" w:rsidRDefault="00214E7E">
            <w:pPr>
              <w:keepNext/>
              <w:spacing w:after="0"/>
              <w:jc w:val="right"/>
              <w:cnfStyle w:val="000000010000" w:firstRow="0" w:lastRow="0" w:firstColumn="0" w:lastColumn="0" w:oddVBand="0" w:evenVBand="0" w:oddHBand="0" w:evenHBand="1" w:firstRowFirstColumn="0" w:firstRowLastColumn="0" w:lastRowFirstColumn="0" w:lastRowLastColumn="0"/>
              <w:rPr>
                <w:rFonts w:asciiTheme="minorHAnsi" w:hAnsiTheme="minorHAnsi" w:cs="Arial"/>
                <w:sz w:val="24"/>
                <w:szCs w:val="20"/>
              </w:rPr>
            </w:pPr>
            <w:r w:rsidRPr="00117572">
              <w:rPr>
                <w:rFonts w:asciiTheme="minorHAnsi" w:hAnsiTheme="minorHAnsi" w:cs="Arial"/>
                <w:szCs w:val="20"/>
              </w:rPr>
              <w:t>5</w:t>
            </w:r>
          </w:p>
        </w:tc>
        <w:tc>
          <w:tcPr>
            <w:tcW w:w="1275" w:type="dxa"/>
          </w:tcPr>
          <w:p w:rsidR="00E4655B" w:rsidRDefault="00E4655B">
            <w:pPr>
              <w:keepNext/>
              <w:spacing w:after="0"/>
              <w:cnfStyle w:val="000000010000" w:firstRow="0" w:lastRow="0" w:firstColumn="0" w:lastColumn="0" w:oddVBand="0" w:evenVBand="0" w:oddHBand="0" w:evenHBand="1" w:firstRowFirstColumn="0" w:firstRowLastColumn="0" w:lastRowFirstColumn="0" w:lastRowLastColumn="0"/>
              <w:rPr>
                <w:rFonts w:asciiTheme="minorHAnsi" w:hAnsiTheme="minorHAnsi" w:cs="Arial"/>
                <w:sz w:val="24"/>
                <w:szCs w:val="20"/>
              </w:rPr>
            </w:pPr>
          </w:p>
        </w:tc>
        <w:tc>
          <w:tcPr>
            <w:tcW w:w="1969" w:type="dxa"/>
            <w:noWrap/>
          </w:tcPr>
          <w:p w:rsidR="00E4655B" w:rsidRDefault="00214E7E">
            <w:pPr>
              <w:keepNext/>
              <w:spacing w:after="0"/>
              <w:cnfStyle w:val="000000010000" w:firstRow="0" w:lastRow="0" w:firstColumn="0" w:lastColumn="0" w:oddVBand="0" w:evenVBand="0" w:oddHBand="0" w:evenHBand="1" w:firstRowFirstColumn="0" w:firstRowLastColumn="0" w:lastRowFirstColumn="0" w:lastRowLastColumn="0"/>
              <w:rPr>
                <w:rFonts w:asciiTheme="minorHAnsi" w:hAnsiTheme="minorHAnsi" w:cs="Arial"/>
                <w:sz w:val="24"/>
                <w:szCs w:val="20"/>
              </w:rPr>
            </w:pPr>
            <w:r w:rsidRPr="00117572">
              <w:rPr>
                <w:rFonts w:asciiTheme="minorHAnsi" w:hAnsiTheme="minorHAnsi" w:cs="Arial"/>
                <w:szCs w:val="20"/>
              </w:rPr>
              <w:t>Vietnam</w:t>
            </w:r>
          </w:p>
        </w:tc>
        <w:tc>
          <w:tcPr>
            <w:tcW w:w="980" w:type="dxa"/>
            <w:noWrap/>
          </w:tcPr>
          <w:p w:rsidR="00E4655B" w:rsidRDefault="00214E7E">
            <w:pPr>
              <w:keepNext/>
              <w:spacing w:after="0"/>
              <w:jc w:val="right"/>
              <w:cnfStyle w:val="000000010000" w:firstRow="0" w:lastRow="0" w:firstColumn="0" w:lastColumn="0" w:oddVBand="0" w:evenVBand="0" w:oddHBand="0" w:evenHBand="1" w:firstRowFirstColumn="0" w:firstRowLastColumn="0" w:lastRowFirstColumn="0" w:lastRowLastColumn="0"/>
              <w:rPr>
                <w:rFonts w:asciiTheme="minorHAnsi" w:hAnsiTheme="minorHAnsi" w:cs="Arial"/>
                <w:b/>
                <w:bCs/>
                <w:color w:val="4F81BD" w:themeColor="accent1"/>
                <w:sz w:val="24"/>
                <w:szCs w:val="20"/>
              </w:rPr>
            </w:pPr>
            <w:r w:rsidRPr="00117572">
              <w:rPr>
                <w:rFonts w:asciiTheme="minorHAnsi" w:hAnsiTheme="minorHAnsi" w:cs="Arial"/>
                <w:szCs w:val="20"/>
              </w:rPr>
              <w:t>7</w:t>
            </w:r>
          </w:p>
        </w:tc>
        <w:tc>
          <w:tcPr>
            <w:tcW w:w="1120" w:type="dxa"/>
            <w:noWrap/>
          </w:tcPr>
          <w:p w:rsidR="00E4655B" w:rsidRDefault="00214E7E">
            <w:pPr>
              <w:keepNext/>
              <w:spacing w:after="0"/>
              <w:jc w:val="right"/>
              <w:cnfStyle w:val="000000010000" w:firstRow="0" w:lastRow="0" w:firstColumn="0" w:lastColumn="0" w:oddVBand="0" w:evenVBand="0" w:oddHBand="0" w:evenHBand="1" w:firstRowFirstColumn="0" w:firstRowLastColumn="0" w:lastRowFirstColumn="0" w:lastRowLastColumn="0"/>
              <w:rPr>
                <w:rFonts w:asciiTheme="minorHAnsi" w:hAnsiTheme="minorHAnsi" w:cs="Arial"/>
                <w:b/>
                <w:bCs/>
                <w:color w:val="4F81BD" w:themeColor="accent1"/>
                <w:sz w:val="24"/>
                <w:szCs w:val="20"/>
              </w:rPr>
            </w:pPr>
            <w:r w:rsidRPr="00117572">
              <w:rPr>
                <w:rFonts w:asciiTheme="minorHAnsi" w:hAnsiTheme="minorHAnsi" w:cs="Arial"/>
                <w:szCs w:val="20"/>
              </w:rPr>
              <w:t>19</w:t>
            </w:r>
          </w:p>
        </w:tc>
      </w:tr>
      <w:tr w:rsidR="00214E7E" w:rsidRPr="0011757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951" w:type="dxa"/>
            <w:noWrap/>
          </w:tcPr>
          <w:p w:rsidR="00E4655B" w:rsidRDefault="00214E7E">
            <w:pPr>
              <w:keepNext/>
              <w:spacing w:after="0"/>
              <w:rPr>
                <w:rFonts w:asciiTheme="minorHAnsi" w:hAnsiTheme="minorHAnsi" w:cs="Arial"/>
                <w:b/>
                <w:bCs w:val="0"/>
                <w:color w:val="4F81BD" w:themeColor="accent1"/>
                <w:sz w:val="24"/>
                <w:szCs w:val="20"/>
              </w:rPr>
            </w:pPr>
            <w:r w:rsidRPr="00117572">
              <w:rPr>
                <w:rFonts w:asciiTheme="minorHAnsi" w:hAnsiTheme="minorHAnsi" w:cs="Arial"/>
                <w:szCs w:val="20"/>
              </w:rPr>
              <w:t>Samoa</w:t>
            </w:r>
          </w:p>
        </w:tc>
        <w:tc>
          <w:tcPr>
            <w:tcW w:w="992" w:type="dxa"/>
            <w:noWrap/>
          </w:tcPr>
          <w:p w:rsidR="00E4655B" w:rsidRDefault="00214E7E">
            <w:pPr>
              <w:keepNext/>
              <w:spacing w:after="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b/>
                <w:bCs/>
                <w:color w:val="4F81BD" w:themeColor="accent1"/>
                <w:sz w:val="24"/>
                <w:szCs w:val="20"/>
              </w:rPr>
            </w:pPr>
            <w:r w:rsidRPr="00117572">
              <w:rPr>
                <w:rFonts w:asciiTheme="minorHAnsi" w:hAnsiTheme="minorHAnsi" w:cs="Arial"/>
                <w:szCs w:val="20"/>
              </w:rPr>
              <w:t>0</w:t>
            </w:r>
          </w:p>
        </w:tc>
        <w:tc>
          <w:tcPr>
            <w:tcW w:w="993" w:type="dxa"/>
            <w:noWrap/>
          </w:tcPr>
          <w:p w:rsidR="00E4655B" w:rsidRDefault="00214E7E">
            <w:pPr>
              <w:keepNext/>
              <w:spacing w:after="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b/>
                <w:bCs/>
                <w:color w:val="4F81BD" w:themeColor="accent1"/>
                <w:sz w:val="24"/>
                <w:szCs w:val="20"/>
              </w:rPr>
            </w:pPr>
            <w:r w:rsidRPr="00117572">
              <w:rPr>
                <w:rFonts w:asciiTheme="minorHAnsi" w:hAnsiTheme="minorHAnsi" w:cs="Arial"/>
                <w:szCs w:val="20"/>
              </w:rPr>
              <w:t>4</w:t>
            </w:r>
          </w:p>
        </w:tc>
        <w:tc>
          <w:tcPr>
            <w:tcW w:w="1275" w:type="dxa"/>
          </w:tcPr>
          <w:p w:rsidR="00E4655B" w:rsidRDefault="00E4655B">
            <w:pPr>
              <w:keepNext/>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4"/>
                <w:szCs w:val="20"/>
              </w:rPr>
            </w:pPr>
          </w:p>
        </w:tc>
        <w:tc>
          <w:tcPr>
            <w:tcW w:w="1969" w:type="dxa"/>
            <w:noWrap/>
          </w:tcPr>
          <w:p w:rsidR="00E4655B" w:rsidRDefault="00214E7E">
            <w:pPr>
              <w:keepNext/>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4"/>
                <w:szCs w:val="20"/>
              </w:rPr>
            </w:pPr>
            <w:r w:rsidRPr="00117572">
              <w:rPr>
                <w:rFonts w:asciiTheme="minorHAnsi" w:hAnsiTheme="minorHAnsi" w:cs="Arial"/>
                <w:szCs w:val="20"/>
              </w:rPr>
              <w:t>Zimbabwe</w:t>
            </w:r>
          </w:p>
        </w:tc>
        <w:tc>
          <w:tcPr>
            <w:tcW w:w="980" w:type="dxa"/>
            <w:noWrap/>
          </w:tcPr>
          <w:p w:rsidR="00E4655B" w:rsidRDefault="00214E7E">
            <w:pPr>
              <w:keepNext/>
              <w:spacing w:after="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4"/>
                <w:szCs w:val="20"/>
              </w:rPr>
            </w:pPr>
            <w:r w:rsidRPr="00117572">
              <w:rPr>
                <w:rFonts w:asciiTheme="minorHAnsi" w:hAnsiTheme="minorHAnsi" w:cs="Arial"/>
                <w:szCs w:val="20"/>
              </w:rPr>
              <w:t>0</w:t>
            </w:r>
          </w:p>
        </w:tc>
        <w:tc>
          <w:tcPr>
            <w:tcW w:w="1120" w:type="dxa"/>
            <w:noWrap/>
          </w:tcPr>
          <w:p w:rsidR="00E4655B" w:rsidRDefault="00214E7E">
            <w:pPr>
              <w:keepNext/>
              <w:spacing w:after="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4"/>
                <w:szCs w:val="20"/>
              </w:rPr>
            </w:pPr>
            <w:r w:rsidRPr="00117572">
              <w:rPr>
                <w:rFonts w:asciiTheme="minorHAnsi" w:hAnsiTheme="minorHAnsi" w:cs="Arial"/>
                <w:szCs w:val="20"/>
              </w:rPr>
              <w:t>3</w:t>
            </w:r>
          </w:p>
        </w:tc>
      </w:tr>
      <w:tr w:rsidR="00214E7E" w:rsidRPr="00117572">
        <w:trPr>
          <w:cnfStyle w:val="000000010000" w:firstRow="0" w:lastRow="0" w:firstColumn="0" w:lastColumn="0" w:oddVBand="0" w:evenVBand="0" w:oddHBand="0" w:evenHBand="1"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951" w:type="dxa"/>
            <w:noWrap/>
          </w:tcPr>
          <w:p w:rsidR="00E4655B" w:rsidRDefault="00214E7E">
            <w:pPr>
              <w:keepNext/>
              <w:spacing w:after="0"/>
              <w:rPr>
                <w:rFonts w:asciiTheme="minorHAnsi" w:hAnsiTheme="minorHAnsi" w:cs="Arial"/>
                <w:bCs w:val="0"/>
                <w:sz w:val="24"/>
                <w:szCs w:val="20"/>
              </w:rPr>
            </w:pPr>
            <w:r w:rsidRPr="00117572">
              <w:rPr>
                <w:rFonts w:asciiTheme="minorHAnsi" w:hAnsiTheme="minorHAnsi" w:cs="Arial"/>
                <w:szCs w:val="20"/>
              </w:rPr>
              <w:t>Solomon Islands</w:t>
            </w:r>
          </w:p>
        </w:tc>
        <w:tc>
          <w:tcPr>
            <w:tcW w:w="992" w:type="dxa"/>
            <w:noWrap/>
          </w:tcPr>
          <w:p w:rsidR="00E4655B" w:rsidRDefault="00214E7E">
            <w:pPr>
              <w:keepNext/>
              <w:spacing w:after="0"/>
              <w:jc w:val="right"/>
              <w:cnfStyle w:val="000000010000" w:firstRow="0" w:lastRow="0" w:firstColumn="0" w:lastColumn="0" w:oddVBand="0" w:evenVBand="0" w:oddHBand="0" w:evenHBand="1" w:firstRowFirstColumn="0" w:firstRowLastColumn="0" w:lastRowFirstColumn="0" w:lastRowLastColumn="0"/>
              <w:rPr>
                <w:rFonts w:asciiTheme="minorHAnsi" w:hAnsiTheme="minorHAnsi" w:cs="Arial"/>
                <w:sz w:val="24"/>
                <w:szCs w:val="20"/>
              </w:rPr>
            </w:pPr>
            <w:r w:rsidRPr="00117572">
              <w:rPr>
                <w:rFonts w:asciiTheme="minorHAnsi" w:hAnsiTheme="minorHAnsi" w:cs="Arial"/>
                <w:szCs w:val="20"/>
              </w:rPr>
              <w:t>1</w:t>
            </w:r>
          </w:p>
        </w:tc>
        <w:tc>
          <w:tcPr>
            <w:tcW w:w="993" w:type="dxa"/>
            <w:noWrap/>
          </w:tcPr>
          <w:p w:rsidR="00E4655B" w:rsidRDefault="00214E7E">
            <w:pPr>
              <w:keepNext/>
              <w:spacing w:after="0"/>
              <w:jc w:val="right"/>
              <w:cnfStyle w:val="000000010000" w:firstRow="0" w:lastRow="0" w:firstColumn="0" w:lastColumn="0" w:oddVBand="0" w:evenVBand="0" w:oddHBand="0" w:evenHBand="1" w:firstRowFirstColumn="0" w:firstRowLastColumn="0" w:lastRowFirstColumn="0" w:lastRowLastColumn="0"/>
              <w:rPr>
                <w:rFonts w:asciiTheme="minorHAnsi" w:hAnsiTheme="minorHAnsi" w:cs="Arial"/>
                <w:sz w:val="24"/>
                <w:szCs w:val="20"/>
              </w:rPr>
            </w:pPr>
            <w:r w:rsidRPr="00117572">
              <w:rPr>
                <w:rFonts w:asciiTheme="minorHAnsi" w:hAnsiTheme="minorHAnsi" w:cs="Arial"/>
                <w:szCs w:val="20"/>
              </w:rPr>
              <w:t>0</w:t>
            </w:r>
          </w:p>
        </w:tc>
        <w:tc>
          <w:tcPr>
            <w:tcW w:w="1275" w:type="dxa"/>
          </w:tcPr>
          <w:p w:rsidR="00E4655B" w:rsidRDefault="00E4655B">
            <w:pPr>
              <w:keepNext/>
              <w:spacing w:after="0"/>
              <w:cnfStyle w:val="000000010000" w:firstRow="0" w:lastRow="0" w:firstColumn="0" w:lastColumn="0" w:oddVBand="0" w:evenVBand="0" w:oddHBand="0" w:evenHBand="1" w:firstRowFirstColumn="0" w:firstRowLastColumn="0" w:lastRowFirstColumn="0" w:lastRowLastColumn="0"/>
              <w:rPr>
                <w:rFonts w:asciiTheme="minorHAnsi" w:hAnsiTheme="minorHAnsi" w:cs="Arial"/>
                <w:sz w:val="24"/>
                <w:szCs w:val="20"/>
              </w:rPr>
            </w:pPr>
          </w:p>
        </w:tc>
        <w:tc>
          <w:tcPr>
            <w:tcW w:w="1969" w:type="dxa"/>
            <w:noWrap/>
          </w:tcPr>
          <w:p w:rsidR="00E4655B" w:rsidRDefault="00214E7E">
            <w:pPr>
              <w:keepNext/>
              <w:spacing w:after="0"/>
              <w:cnfStyle w:val="000000010000" w:firstRow="0" w:lastRow="0" w:firstColumn="0" w:lastColumn="0" w:oddVBand="0" w:evenVBand="0" w:oddHBand="0" w:evenHBand="1" w:firstRowFirstColumn="0" w:firstRowLastColumn="0" w:lastRowFirstColumn="0" w:lastRowLastColumn="0"/>
              <w:rPr>
                <w:rFonts w:asciiTheme="minorHAnsi" w:hAnsiTheme="minorHAnsi" w:cs="Arial"/>
                <w:sz w:val="24"/>
                <w:szCs w:val="20"/>
              </w:rPr>
            </w:pPr>
            <w:r w:rsidRPr="00117572">
              <w:rPr>
                <w:rFonts w:asciiTheme="minorHAnsi" w:hAnsiTheme="minorHAnsi" w:cs="Arial"/>
                <w:szCs w:val="20"/>
              </w:rPr>
              <w:t> </w:t>
            </w:r>
          </w:p>
        </w:tc>
        <w:tc>
          <w:tcPr>
            <w:tcW w:w="980" w:type="dxa"/>
            <w:noWrap/>
          </w:tcPr>
          <w:p w:rsidR="00E4655B" w:rsidRDefault="00214E7E">
            <w:pPr>
              <w:keepNext/>
              <w:spacing w:after="0"/>
              <w:cnfStyle w:val="000000010000" w:firstRow="0" w:lastRow="0" w:firstColumn="0" w:lastColumn="0" w:oddVBand="0" w:evenVBand="0" w:oddHBand="0" w:evenHBand="1" w:firstRowFirstColumn="0" w:firstRowLastColumn="0" w:lastRowFirstColumn="0" w:lastRowLastColumn="0"/>
              <w:rPr>
                <w:rFonts w:asciiTheme="minorHAnsi" w:hAnsiTheme="minorHAnsi" w:cs="Arial"/>
                <w:sz w:val="24"/>
                <w:szCs w:val="20"/>
              </w:rPr>
            </w:pPr>
            <w:r w:rsidRPr="00117572">
              <w:rPr>
                <w:rFonts w:asciiTheme="minorHAnsi" w:hAnsiTheme="minorHAnsi" w:cs="Arial"/>
                <w:szCs w:val="20"/>
              </w:rPr>
              <w:t> </w:t>
            </w:r>
          </w:p>
        </w:tc>
        <w:tc>
          <w:tcPr>
            <w:tcW w:w="1120" w:type="dxa"/>
            <w:noWrap/>
          </w:tcPr>
          <w:p w:rsidR="00E4655B" w:rsidRDefault="00214E7E">
            <w:pPr>
              <w:keepNext/>
              <w:spacing w:after="0"/>
              <w:cnfStyle w:val="000000010000" w:firstRow="0" w:lastRow="0" w:firstColumn="0" w:lastColumn="0" w:oddVBand="0" w:evenVBand="0" w:oddHBand="0" w:evenHBand="1" w:firstRowFirstColumn="0" w:firstRowLastColumn="0" w:lastRowFirstColumn="0" w:lastRowLastColumn="0"/>
              <w:rPr>
                <w:rFonts w:asciiTheme="minorHAnsi" w:hAnsiTheme="minorHAnsi" w:cs="Arial"/>
                <w:sz w:val="24"/>
                <w:szCs w:val="20"/>
              </w:rPr>
            </w:pPr>
            <w:r w:rsidRPr="00117572">
              <w:rPr>
                <w:rFonts w:asciiTheme="minorHAnsi" w:hAnsiTheme="minorHAnsi" w:cs="Arial"/>
                <w:szCs w:val="20"/>
              </w:rPr>
              <w:t> </w:t>
            </w:r>
          </w:p>
        </w:tc>
      </w:tr>
      <w:tr w:rsidR="00214E7E" w:rsidRPr="0011757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951" w:type="dxa"/>
            <w:noWrap/>
          </w:tcPr>
          <w:p w:rsidR="00E4655B" w:rsidRDefault="00214E7E">
            <w:pPr>
              <w:keepNext/>
              <w:spacing w:after="0"/>
              <w:rPr>
                <w:rFonts w:asciiTheme="minorHAnsi" w:hAnsiTheme="minorHAnsi" w:cs="Arial"/>
                <w:bCs w:val="0"/>
                <w:sz w:val="24"/>
                <w:szCs w:val="20"/>
              </w:rPr>
            </w:pPr>
            <w:r w:rsidRPr="00117572">
              <w:rPr>
                <w:rFonts w:asciiTheme="minorHAnsi" w:hAnsiTheme="minorHAnsi" w:cs="Arial"/>
                <w:szCs w:val="20"/>
              </w:rPr>
              <w:t>Sudan</w:t>
            </w:r>
          </w:p>
        </w:tc>
        <w:tc>
          <w:tcPr>
            <w:tcW w:w="992" w:type="dxa"/>
            <w:noWrap/>
          </w:tcPr>
          <w:p w:rsidR="00E4655B" w:rsidRDefault="00214E7E">
            <w:pPr>
              <w:keepNext/>
              <w:spacing w:after="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4"/>
                <w:szCs w:val="20"/>
              </w:rPr>
            </w:pPr>
            <w:r w:rsidRPr="00117572">
              <w:rPr>
                <w:rFonts w:asciiTheme="minorHAnsi" w:hAnsiTheme="minorHAnsi" w:cs="Arial"/>
                <w:szCs w:val="20"/>
              </w:rPr>
              <w:t>34</w:t>
            </w:r>
          </w:p>
        </w:tc>
        <w:tc>
          <w:tcPr>
            <w:tcW w:w="993" w:type="dxa"/>
            <w:noWrap/>
          </w:tcPr>
          <w:p w:rsidR="00E4655B" w:rsidRDefault="00214E7E">
            <w:pPr>
              <w:keepNext/>
              <w:spacing w:after="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4"/>
                <w:szCs w:val="20"/>
              </w:rPr>
            </w:pPr>
            <w:r w:rsidRPr="00117572">
              <w:rPr>
                <w:rFonts w:asciiTheme="minorHAnsi" w:hAnsiTheme="minorHAnsi" w:cs="Arial"/>
                <w:szCs w:val="20"/>
              </w:rPr>
              <w:t>29</w:t>
            </w:r>
          </w:p>
        </w:tc>
        <w:tc>
          <w:tcPr>
            <w:tcW w:w="1275" w:type="dxa"/>
          </w:tcPr>
          <w:p w:rsidR="00E4655B" w:rsidRDefault="00E4655B">
            <w:pPr>
              <w:keepNext/>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Arial"/>
                <w:b/>
                <w:sz w:val="24"/>
                <w:szCs w:val="20"/>
              </w:rPr>
            </w:pPr>
          </w:p>
        </w:tc>
        <w:tc>
          <w:tcPr>
            <w:tcW w:w="1969" w:type="dxa"/>
            <w:noWrap/>
          </w:tcPr>
          <w:p w:rsidR="00E4655B" w:rsidRDefault="00214E7E">
            <w:pPr>
              <w:keepNext/>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Arial"/>
                <w:b/>
                <w:sz w:val="24"/>
                <w:szCs w:val="20"/>
              </w:rPr>
            </w:pPr>
            <w:r w:rsidRPr="00117572">
              <w:rPr>
                <w:rFonts w:asciiTheme="minorHAnsi" w:hAnsiTheme="minorHAnsi" w:cs="Arial"/>
                <w:b/>
                <w:szCs w:val="20"/>
              </w:rPr>
              <w:t>Group 2</w:t>
            </w:r>
          </w:p>
        </w:tc>
        <w:tc>
          <w:tcPr>
            <w:tcW w:w="980" w:type="dxa"/>
            <w:noWrap/>
          </w:tcPr>
          <w:p w:rsidR="00E4655B" w:rsidRDefault="00214E7E">
            <w:pPr>
              <w:keepNext/>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4"/>
                <w:szCs w:val="20"/>
              </w:rPr>
            </w:pPr>
            <w:r w:rsidRPr="00117572">
              <w:rPr>
                <w:rFonts w:asciiTheme="minorHAnsi" w:hAnsiTheme="minorHAnsi" w:cs="Arial"/>
                <w:szCs w:val="20"/>
              </w:rPr>
              <w:t> </w:t>
            </w:r>
          </w:p>
        </w:tc>
        <w:tc>
          <w:tcPr>
            <w:tcW w:w="1120" w:type="dxa"/>
            <w:noWrap/>
          </w:tcPr>
          <w:p w:rsidR="00E4655B" w:rsidRDefault="00214E7E">
            <w:pPr>
              <w:keepNext/>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4"/>
                <w:szCs w:val="20"/>
              </w:rPr>
            </w:pPr>
            <w:r w:rsidRPr="00117572">
              <w:rPr>
                <w:rFonts w:asciiTheme="minorHAnsi" w:hAnsiTheme="minorHAnsi" w:cs="Arial"/>
                <w:szCs w:val="20"/>
              </w:rPr>
              <w:t> </w:t>
            </w:r>
          </w:p>
        </w:tc>
      </w:tr>
      <w:tr w:rsidR="00214E7E" w:rsidRPr="00117572">
        <w:trPr>
          <w:cnfStyle w:val="000000010000" w:firstRow="0" w:lastRow="0" w:firstColumn="0" w:lastColumn="0" w:oddVBand="0" w:evenVBand="0" w:oddHBand="0" w:evenHBand="1"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951" w:type="dxa"/>
            <w:noWrap/>
          </w:tcPr>
          <w:p w:rsidR="00E4655B" w:rsidRDefault="00214E7E">
            <w:pPr>
              <w:keepNext/>
              <w:spacing w:after="0"/>
              <w:rPr>
                <w:rFonts w:asciiTheme="minorHAnsi" w:hAnsiTheme="minorHAnsi" w:cs="Arial"/>
                <w:bCs w:val="0"/>
                <w:sz w:val="24"/>
                <w:szCs w:val="20"/>
              </w:rPr>
            </w:pPr>
            <w:r w:rsidRPr="00117572">
              <w:rPr>
                <w:rFonts w:asciiTheme="minorHAnsi" w:hAnsiTheme="minorHAnsi" w:cs="Arial"/>
                <w:szCs w:val="20"/>
              </w:rPr>
              <w:t>Tanzania</w:t>
            </w:r>
          </w:p>
        </w:tc>
        <w:tc>
          <w:tcPr>
            <w:tcW w:w="992" w:type="dxa"/>
            <w:noWrap/>
          </w:tcPr>
          <w:p w:rsidR="00E4655B" w:rsidRDefault="00214E7E">
            <w:pPr>
              <w:keepNext/>
              <w:spacing w:after="0"/>
              <w:jc w:val="right"/>
              <w:cnfStyle w:val="000000010000" w:firstRow="0" w:lastRow="0" w:firstColumn="0" w:lastColumn="0" w:oddVBand="0" w:evenVBand="0" w:oddHBand="0" w:evenHBand="1" w:firstRowFirstColumn="0" w:firstRowLastColumn="0" w:lastRowFirstColumn="0" w:lastRowLastColumn="0"/>
              <w:rPr>
                <w:rFonts w:asciiTheme="minorHAnsi" w:hAnsiTheme="minorHAnsi" w:cs="Arial"/>
                <w:sz w:val="24"/>
                <w:szCs w:val="20"/>
              </w:rPr>
            </w:pPr>
            <w:r w:rsidRPr="00117572">
              <w:rPr>
                <w:rFonts w:asciiTheme="minorHAnsi" w:hAnsiTheme="minorHAnsi" w:cs="Arial"/>
                <w:szCs w:val="20"/>
              </w:rPr>
              <w:t>6</w:t>
            </w:r>
          </w:p>
        </w:tc>
        <w:tc>
          <w:tcPr>
            <w:tcW w:w="993" w:type="dxa"/>
            <w:noWrap/>
          </w:tcPr>
          <w:p w:rsidR="00E4655B" w:rsidRDefault="00214E7E">
            <w:pPr>
              <w:keepNext/>
              <w:spacing w:after="0"/>
              <w:jc w:val="right"/>
              <w:cnfStyle w:val="000000010000" w:firstRow="0" w:lastRow="0" w:firstColumn="0" w:lastColumn="0" w:oddVBand="0" w:evenVBand="0" w:oddHBand="0" w:evenHBand="1" w:firstRowFirstColumn="0" w:firstRowLastColumn="0" w:lastRowFirstColumn="0" w:lastRowLastColumn="0"/>
              <w:rPr>
                <w:rFonts w:asciiTheme="minorHAnsi" w:hAnsiTheme="minorHAnsi" w:cs="Arial"/>
                <w:sz w:val="24"/>
                <w:szCs w:val="20"/>
              </w:rPr>
            </w:pPr>
            <w:r w:rsidRPr="00117572">
              <w:rPr>
                <w:rFonts w:asciiTheme="minorHAnsi" w:hAnsiTheme="minorHAnsi" w:cs="Arial"/>
                <w:szCs w:val="20"/>
              </w:rPr>
              <w:t>12</w:t>
            </w:r>
          </w:p>
        </w:tc>
        <w:tc>
          <w:tcPr>
            <w:tcW w:w="1275" w:type="dxa"/>
          </w:tcPr>
          <w:p w:rsidR="00E4655B" w:rsidRDefault="00E4655B">
            <w:pPr>
              <w:keepNext/>
              <w:spacing w:after="0"/>
              <w:cnfStyle w:val="000000010000" w:firstRow="0" w:lastRow="0" w:firstColumn="0" w:lastColumn="0" w:oddVBand="0" w:evenVBand="0" w:oddHBand="0" w:evenHBand="1" w:firstRowFirstColumn="0" w:firstRowLastColumn="0" w:lastRowFirstColumn="0" w:lastRowLastColumn="0"/>
              <w:rPr>
                <w:rFonts w:asciiTheme="minorHAnsi" w:hAnsiTheme="minorHAnsi" w:cs="Arial"/>
                <w:sz w:val="24"/>
                <w:szCs w:val="20"/>
              </w:rPr>
            </w:pPr>
          </w:p>
        </w:tc>
        <w:tc>
          <w:tcPr>
            <w:tcW w:w="1969" w:type="dxa"/>
            <w:noWrap/>
          </w:tcPr>
          <w:p w:rsidR="00E4655B" w:rsidRDefault="00214E7E">
            <w:pPr>
              <w:keepNext/>
              <w:spacing w:after="0"/>
              <w:cnfStyle w:val="000000010000" w:firstRow="0" w:lastRow="0" w:firstColumn="0" w:lastColumn="0" w:oddVBand="0" w:evenVBand="0" w:oddHBand="0" w:evenHBand="1" w:firstRowFirstColumn="0" w:firstRowLastColumn="0" w:lastRowFirstColumn="0" w:lastRowLastColumn="0"/>
              <w:rPr>
                <w:rFonts w:asciiTheme="minorHAnsi" w:hAnsiTheme="minorHAnsi" w:cs="Arial"/>
                <w:sz w:val="24"/>
                <w:szCs w:val="20"/>
              </w:rPr>
            </w:pPr>
            <w:r w:rsidRPr="00117572">
              <w:rPr>
                <w:rFonts w:asciiTheme="minorHAnsi" w:hAnsiTheme="minorHAnsi" w:cs="Arial"/>
                <w:szCs w:val="20"/>
              </w:rPr>
              <w:t>Albania</w:t>
            </w:r>
          </w:p>
        </w:tc>
        <w:tc>
          <w:tcPr>
            <w:tcW w:w="980" w:type="dxa"/>
            <w:noWrap/>
          </w:tcPr>
          <w:p w:rsidR="00E4655B" w:rsidRDefault="00214E7E">
            <w:pPr>
              <w:keepNext/>
              <w:spacing w:after="0"/>
              <w:jc w:val="right"/>
              <w:cnfStyle w:val="000000010000" w:firstRow="0" w:lastRow="0" w:firstColumn="0" w:lastColumn="0" w:oddVBand="0" w:evenVBand="0" w:oddHBand="0" w:evenHBand="1" w:firstRowFirstColumn="0" w:firstRowLastColumn="0" w:lastRowFirstColumn="0" w:lastRowLastColumn="0"/>
              <w:rPr>
                <w:rFonts w:asciiTheme="minorHAnsi" w:hAnsiTheme="minorHAnsi" w:cs="Arial"/>
                <w:sz w:val="24"/>
                <w:szCs w:val="20"/>
              </w:rPr>
            </w:pPr>
            <w:r w:rsidRPr="00117572">
              <w:rPr>
                <w:rFonts w:asciiTheme="minorHAnsi" w:hAnsiTheme="minorHAnsi" w:cs="Arial"/>
                <w:szCs w:val="20"/>
              </w:rPr>
              <w:t>2</w:t>
            </w:r>
          </w:p>
        </w:tc>
        <w:tc>
          <w:tcPr>
            <w:tcW w:w="1120" w:type="dxa"/>
            <w:noWrap/>
          </w:tcPr>
          <w:p w:rsidR="00E4655B" w:rsidRDefault="00214E7E">
            <w:pPr>
              <w:keepNext/>
              <w:spacing w:after="0"/>
              <w:jc w:val="right"/>
              <w:cnfStyle w:val="000000010000" w:firstRow="0" w:lastRow="0" w:firstColumn="0" w:lastColumn="0" w:oddVBand="0" w:evenVBand="0" w:oddHBand="0" w:evenHBand="1" w:firstRowFirstColumn="0" w:firstRowLastColumn="0" w:lastRowFirstColumn="0" w:lastRowLastColumn="0"/>
              <w:rPr>
                <w:rFonts w:asciiTheme="minorHAnsi" w:hAnsiTheme="minorHAnsi" w:cs="Arial"/>
                <w:sz w:val="24"/>
                <w:szCs w:val="20"/>
              </w:rPr>
            </w:pPr>
            <w:r w:rsidRPr="00117572">
              <w:rPr>
                <w:rFonts w:asciiTheme="minorHAnsi" w:hAnsiTheme="minorHAnsi" w:cs="Arial"/>
                <w:szCs w:val="20"/>
              </w:rPr>
              <w:t>0</w:t>
            </w:r>
          </w:p>
        </w:tc>
      </w:tr>
      <w:tr w:rsidR="00214E7E" w:rsidRPr="0011757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951" w:type="dxa"/>
            <w:noWrap/>
          </w:tcPr>
          <w:p w:rsidR="00E4655B" w:rsidRDefault="00214E7E">
            <w:pPr>
              <w:keepNext/>
              <w:spacing w:after="0"/>
              <w:rPr>
                <w:rFonts w:asciiTheme="minorHAnsi" w:hAnsiTheme="minorHAnsi" w:cs="Arial"/>
                <w:bCs w:val="0"/>
                <w:sz w:val="24"/>
                <w:szCs w:val="20"/>
              </w:rPr>
            </w:pPr>
            <w:r w:rsidRPr="00117572">
              <w:rPr>
                <w:rFonts w:asciiTheme="minorHAnsi" w:hAnsiTheme="minorHAnsi" w:cs="Arial"/>
                <w:szCs w:val="20"/>
              </w:rPr>
              <w:t>Togo</w:t>
            </w:r>
          </w:p>
        </w:tc>
        <w:tc>
          <w:tcPr>
            <w:tcW w:w="992" w:type="dxa"/>
            <w:noWrap/>
          </w:tcPr>
          <w:p w:rsidR="00E4655B" w:rsidRDefault="00214E7E">
            <w:pPr>
              <w:keepNext/>
              <w:spacing w:after="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4"/>
                <w:szCs w:val="20"/>
              </w:rPr>
            </w:pPr>
            <w:r w:rsidRPr="00117572">
              <w:rPr>
                <w:rFonts w:asciiTheme="minorHAnsi" w:hAnsiTheme="minorHAnsi" w:cs="Arial"/>
                <w:szCs w:val="20"/>
              </w:rPr>
              <w:t>0</w:t>
            </w:r>
          </w:p>
        </w:tc>
        <w:tc>
          <w:tcPr>
            <w:tcW w:w="993" w:type="dxa"/>
            <w:noWrap/>
          </w:tcPr>
          <w:p w:rsidR="00E4655B" w:rsidRDefault="00214E7E">
            <w:pPr>
              <w:keepNext/>
              <w:spacing w:after="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4"/>
                <w:szCs w:val="20"/>
              </w:rPr>
            </w:pPr>
            <w:r w:rsidRPr="00117572">
              <w:rPr>
                <w:rFonts w:asciiTheme="minorHAnsi" w:hAnsiTheme="minorHAnsi" w:cs="Arial"/>
                <w:szCs w:val="20"/>
              </w:rPr>
              <w:t>1</w:t>
            </w:r>
          </w:p>
        </w:tc>
        <w:tc>
          <w:tcPr>
            <w:tcW w:w="1275" w:type="dxa"/>
          </w:tcPr>
          <w:p w:rsidR="00E4655B" w:rsidRDefault="00E4655B">
            <w:pPr>
              <w:keepNext/>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4"/>
                <w:szCs w:val="20"/>
              </w:rPr>
            </w:pPr>
          </w:p>
        </w:tc>
        <w:tc>
          <w:tcPr>
            <w:tcW w:w="1969" w:type="dxa"/>
            <w:noWrap/>
          </w:tcPr>
          <w:p w:rsidR="00E4655B" w:rsidRDefault="00214E7E">
            <w:pPr>
              <w:keepNext/>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4"/>
                <w:szCs w:val="20"/>
              </w:rPr>
            </w:pPr>
            <w:r w:rsidRPr="00117572">
              <w:rPr>
                <w:rFonts w:asciiTheme="minorHAnsi" w:hAnsiTheme="minorHAnsi" w:cs="Arial"/>
                <w:szCs w:val="20"/>
              </w:rPr>
              <w:t>China</w:t>
            </w:r>
          </w:p>
        </w:tc>
        <w:tc>
          <w:tcPr>
            <w:tcW w:w="980" w:type="dxa"/>
            <w:noWrap/>
          </w:tcPr>
          <w:p w:rsidR="00E4655B" w:rsidRDefault="00214E7E">
            <w:pPr>
              <w:keepNext/>
              <w:spacing w:after="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4"/>
                <w:szCs w:val="20"/>
              </w:rPr>
            </w:pPr>
            <w:r w:rsidRPr="00117572">
              <w:rPr>
                <w:rFonts w:asciiTheme="minorHAnsi" w:hAnsiTheme="minorHAnsi" w:cs="Arial"/>
                <w:szCs w:val="20"/>
              </w:rPr>
              <w:t>130</w:t>
            </w:r>
          </w:p>
        </w:tc>
        <w:tc>
          <w:tcPr>
            <w:tcW w:w="1120" w:type="dxa"/>
            <w:noWrap/>
          </w:tcPr>
          <w:p w:rsidR="00E4655B" w:rsidRDefault="00214E7E">
            <w:pPr>
              <w:keepNext/>
              <w:spacing w:after="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4"/>
                <w:szCs w:val="20"/>
              </w:rPr>
            </w:pPr>
            <w:r w:rsidRPr="00117572">
              <w:rPr>
                <w:rFonts w:asciiTheme="minorHAnsi" w:hAnsiTheme="minorHAnsi" w:cs="Arial"/>
                <w:szCs w:val="20"/>
              </w:rPr>
              <w:t>119</w:t>
            </w:r>
          </w:p>
        </w:tc>
      </w:tr>
      <w:tr w:rsidR="00214E7E" w:rsidRPr="00117572">
        <w:trPr>
          <w:cnfStyle w:val="000000010000" w:firstRow="0" w:lastRow="0" w:firstColumn="0" w:lastColumn="0" w:oddVBand="0" w:evenVBand="0" w:oddHBand="0" w:evenHBand="1"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951" w:type="dxa"/>
            <w:noWrap/>
          </w:tcPr>
          <w:p w:rsidR="00E4655B" w:rsidRDefault="00214E7E">
            <w:pPr>
              <w:keepNext/>
              <w:spacing w:after="0"/>
              <w:rPr>
                <w:rFonts w:asciiTheme="minorHAnsi" w:hAnsiTheme="minorHAnsi" w:cs="Arial"/>
                <w:bCs w:val="0"/>
                <w:sz w:val="24"/>
                <w:szCs w:val="20"/>
              </w:rPr>
            </w:pPr>
            <w:r w:rsidRPr="00117572">
              <w:rPr>
                <w:rFonts w:asciiTheme="minorHAnsi" w:hAnsiTheme="minorHAnsi" w:cs="Arial"/>
                <w:szCs w:val="20"/>
              </w:rPr>
              <w:t>Uganda</w:t>
            </w:r>
          </w:p>
        </w:tc>
        <w:tc>
          <w:tcPr>
            <w:tcW w:w="992" w:type="dxa"/>
            <w:noWrap/>
          </w:tcPr>
          <w:p w:rsidR="00E4655B" w:rsidRDefault="00214E7E">
            <w:pPr>
              <w:keepNext/>
              <w:spacing w:after="0"/>
              <w:jc w:val="right"/>
              <w:cnfStyle w:val="000000010000" w:firstRow="0" w:lastRow="0" w:firstColumn="0" w:lastColumn="0" w:oddVBand="0" w:evenVBand="0" w:oddHBand="0" w:evenHBand="1" w:firstRowFirstColumn="0" w:firstRowLastColumn="0" w:lastRowFirstColumn="0" w:lastRowLastColumn="0"/>
              <w:rPr>
                <w:rFonts w:asciiTheme="minorHAnsi" w:hAnsiTheme="minorHAnsi" w:cs="Arial"/>
                <w:sz w:val="24"/>
                <w:szCs w:val="20"/>
              </w:rPr>
            </w:pPr>
            <w:r w:rsidRPr="00117572">
              <w:rPr>
                <w:rFonts w:asciiTheme="minorHAnsi" w:hAnsiTheme="minorHAnsi" w:cs="Arial"/>
                <w:szCs w:val="20"/>
              </w:rPr>
              <w:t>8</w:t>
            </w:r>
          </w:p>
        </w:tc>
        <w:tc>
          <w:tcPr>
            <w:tcW w:w="993" w:type="dxa"/>
            <w:noWrap/>
          </w:tcPr>
          <w:p w:rsidR="00E4655B" w:rsidRDefault="00214E7E">
            <w:pPr>
              <w:keepNext/>
              <w:spacing w:after="0"/>
              <w:jc w:val="right"/>
              <w:cnfStyle w:val="000000010000" w:firstRow="0" w:lastRow="0" w:firstColumn="0" w:lastColumn="0" w:oddVBand="0" w:evenVBand="0" w:oddHBand="0" w:evenHBand="1" w:firstRowFirstColumn="0" w:firstRowLastColumn="0" w:lastRowFirstColumn="0" w:lastRowLastColumn="0"/>
              <w:rPr>
                <w:rFonts w:asciiTheme="minorHAnsi" w:hAnsiTheme="minorHAnsi" w:cs="Arial"/>
                <w:sz w:val="24"/>
                <w:szCs w:val="20"/>
              </w:rPr>
            </w:pPr>
            <w:r w:rsidRPr="00117572">
              <w:rPr>
                <w:rFonts w:asciiTheme="minorHAnsi" w:hAnsiTheme="minorHAnsi" w:cs="Arial"/>
                <w:szCs w:val="20"/>
              </w:rPr>
              <w:t>6</w:t>
            </w:r>
          </w:p>
        </w:tc>
        <w:tc>
          <w:tcPr>
            <w:tcW w:w="1275" w:type="dxa"/>
          </w:tcPr>
          <w:p w:rsidR="00E4655B" w:rsidRDefault="00E4655B">
            <w:pPr>
              <w:keepNext/>
              <w:spacing w:after="0"/>
              <w:cnfStyle w:val="000000010000" w:firstRow="0" w:lastRow="0" w:firstColumn="0" w:lastColumn="0" w:oddVBand="0" w:evenVBand="0" w:oddHBand="0" w:evenHBand="1" w:firstRowFirstColumn="0" w:firstRowLastColumn="0" w:lastRowFirstColumn="0" w:lastRowLastColumn="0"/>
              <w:rPr>
                <w:rFonts w:asciiTheme="minorHAnsi" w:hAnsiTheme="minorHAnsi" w:cs="Arial"/>
                <w:sz w:val="24"/>
                <w:szCs w:val="20"/>
              </w:rPr>
            </w:pPr>
          </w:p>
        </w:tc>
        <w:tc>
          <w:tcPr>
            <w:tcW w:w="1969" w:type="dxa"/>
            <w:noWrap/>
          </w:tcPr>
          <w:p w:rsidR="00E4655B" w:rsidRDefault="00214E7E">
            <w:pPr>
              <w:keepNext/>
              <w:spacing w:after="0"/>
              <w:cnfStyle w:val="000000010000" w:firstRow="0" w:lastRow="0" w:firstColumn="0" w:lastColumn="0" w:oddVBand="0" w:evenVBand="0" w:oddHBand="0" w:evenHBand="1" w:firstRowFirstColumn="0" w:firstRowLastColumn="0" w:lastRowFirstColumn="0" w:lastRowLastColumn="0"/>
              <w:rPr>
                <w:rFonts w:asciiTheme="minorHAnsi" w:hAnsiTheme="minorHAnsi" w:cs="Arial"/>
                <w:sz w:val="24"/>
                <w:szCs w:val="20"/>
              </w:rPr>
            </w:pPr>
            <w:r w:rsidRPr="00117572">
              <w:rPr>
                <w:rFonts w:asciiTheme="minorHAnsi" w:hAnsiTheme="minorHAnsi" w:cs="Arial"/>
                <w:szCs w:val="20"/>
              </w:rPr>
              <w:t>Swaziland</w:t>
            </w:r>
          </w:p>
        </w:tc>
        <w:tc>
          <w:tcPr>
            <w:tcW w:w="980" w:type="dxa"/>
            <w:noWrap/>
          </w:tcPr>
          <w:p w:rsidR="00E4655B" w:rsidRDefault="00214E7E">
            <w:pPr>
              <w:keepNext/>
              <w:spacing w:after="0"/>
              <w:jc w:val="right"/>
              <w:cnfStyle w:val="000000010000" w:firstRow="0" w:lastRow="0" w:firstColumn="0" w:lastColumn="0" w:oddVBand="0" w:evenVBand="0" w:oddHBand="0" w:evenHBand="1" w:firstRowFirstColumn="0" w:firstRowLastColumn="0" w:lastRowFirstColumn="0" w:lastRowLastColumn="0"/>
              <w:rPr>
                <w:rFonts w:asciiTheme="minorHAnsi" w:hAnsiTheme="minorHAnsi" w:cs="Arial"/>
                <w:sz w:val="24"/>
                <w:szCs w:val="20"/>
              </w:rPr>
            </w:pPr>
            <w:r w:rsidRPr="00117572">
              <w:rPr>
                <w:rFonts w:asciiTheme="minorHAnsi" w:hAnsiTheme="minorHAnsi" w:cs="Arial"/>
                <w:szCs w:val="20"/>
              </w:rPr>
              <w:t>4</w:t>
            </w:r>
          </w:p>
        </w:tc>
        <w:tc>
          <w:tcPr>
            <w:tcW w:w="1120" w:type="dxa"/>
            <w:noWrap/>
          </w:tcPr>
          <w:p w:rsidR="00E4655B" w:rsidRDefault="00214E7E">
            <w:pPr>
              <w:keepNext/>
              <w:spacing w:after="0"/>
              <w:jc w:val="right"/>
              <w:cnfStyle w:val="000000010000" w:firstRow="0" w:lastRow="0" w:firstColumn="0" w:lastColumn="0" w:oddVBand="0" w:evenVBand="0" w:oddHBand="0" w:evenHBand="1" w:firstRowFirstColumn="0" w:firstRowLastColumn="0" w:lastRowFirstColumn="0" w:lastRowLastColumn="0"/>
              <w:rPr>
                <w:rFonts w:asciiTheme="minorHAnsi" w:hAnsiTheme="minorHAnsi" w:cs="Arial"/>
                <w:sz w:val="24"/>
                <w:szCs w:val="20"/>
              </w:rPr>
            </w:pPr>
            <w:r w:rsidRPr="00117572">
              <w:rPr>
                <w:rFonts w:asciiTheme="minorHAnsi" w:hAnsiTheme="minorHAnsi" w:cs="Arial"/>
                <w:szCs w:val="20"/>
              </w:rPr>
              <w:t>2</w:t>
            </w:r>
          </w:p>
        </w:tc>
      </w:tr>
      <w:tr w:rsidR="00214E7E" w:rsidRPr="0011757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951" w:type="dxa"/>
            <w:noWrap/>
          </w:tcPr>
          <w:p w:rsidR="00E4655B" w:rsidRDefault="00214E7E">
            <w:pPr>
              <w:keepNext/>
              <w:spacing w:after="0"/>
              <w:rPr>
                <w:rFonts w:asciiTheme="minorHAnsi" w:hAnsiTheme="minorHAnsi" w:cs="Arial"/>
                <w:bCs w:val="0"/>
                <w:sz w:val="24"/>
                <w:szCs w:val="20"/>
              </w:rPr>
            </w:pPr>
            <w:r w:rsidRPr="00117572">
              <w:rPr>
                <w:rFonts w:asciiTheme="minorHAnsi" w:hAnsiTheme="minorHAnsi" w:cs="Arial"/>
                <w:szCs w:val="20"/>
              </w:rPr>
              <w:t>Vanuatu</w:t>
            </w:r>
          </w:p>
        </w:tc>
        <w:tc>
          <w:tcPr>
            <w:tcW w:w="992" w:type="dxa"/>
            <w:noWrap/>
          </w:tcPr>
          <w:p w:rsidR="00E4655B" w:rsidRDefault="00214E7E">
            <w:pPr>
              <w:keepNext/>
              <w:spacing w:after="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4"/>
                <w:szCs w:val="20"/>
              </w:rPr>
            </w:pPr>
            <w:r w:rsidRPr="00117572">
              <w:rPr>
                <w:rFonts w:asciiTheme="minorHAnsi" w:hAnsiTheme="minorHAnsi" w:cs="Arial"/>
                <w:szCs w:val="20"/>
              </w:rPr>
              <w:t>0</w:t>
            </w:r>
          </w:p>
        </w:tc>
        <w:tc>
          <w:tcPr>
            <w:tcW w:w="993" w:type="dxa"/>
            <w:noWrap/>
          </w:tcPr>
          <w:p w:rsidR="00E4655B" w:rsidRDefault="00214E7E">
            <w:pPr>
              <w:keepNext/>
              <w:spacing w:after="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4"/>
                <w:szCs w:val="20"/>
              </w:rPr>
            </w:pPr>
            <w:r w:rsidRPr="00117572">
              <w:rPr>
                <w:rFonts w:asciiTheme="minorHAnsi" w:hAnsiTheme="minorHAnsi" w:cs="Arial"/>
                <w:szCs w:val="20"/>
              </w:rPr>
              <w:t>1</w:t>
            </w:r>
          </w:p>
        </w:tc>
        <w:tc>
          <w:tcPr>
            <w:tcW w:w="1275" w:type="dxa"/>
          </w:tcPr>
          <w:p w:rsidR="00E4655B" w:rsidRDefault="00E4655B">
            <w:pPr>
              <w:keepNext/>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4"/>
                <w:szCs w:val="20"/>
              </w:rPr>
            </w:pPr>
          </w:p>
        </w:tc>
        <w:tc>
          <w:tcPr>
            <w:tcW w:w="1969" w:type="dxa"/>
            <w:noWrap/>
          </w:tcPr>
          <w:p w:rsidR="00E4655B" w:rsidRDefault="00214E7E">
            <w:pPr>
              <w:keepNext/>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4"/>
                <w:szCs w:val="20"/>
              </w:rPr>
            </w:pPr>
            <w:r w:rsidRPr="00117572">
              <w:rPr>
                <w:rFonts w:asciiTheme="minorHAnsi" w:hAnsiTheme="minorHAnsi" w:cs="Arial"/>
                <w:szCs w:val="20"/>
              </w:rPr>
              <w:t>Turkey</w:t>
            </w:r>
          </w:p>
        </w:tc>
        <w:tc>
          <w:tcPr>
            <w:tcW w:w="980" w:type="dxa"/>
            <w:noWrap/>
          </w:tcPr>
          <w:p w:rsidR="00E4655B" w:rsidRDefault="00214E7E">
            <w:pPr>
              <w:keepNext/>
              <w:spacing w:after="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4"/>
                <w:szCs w:val="20"/>
              </w:rPr>
            </w:pPr>
            <w:r w:rsidRPr="00117572">
              <w:rPr>
                <w:rFonts w:asciiTheme="minorHAnsi" w:hAnsiTheme="minorHAnsi" w:cs="Arial"/>
                <w:szCs w:val="20"/>
              </w:rPr>
              <w:t>24</w:t>
            </w:r>
          </w:p>
        </w:tc>
        <w:tc>
          <w:tcPr>
            <w:tcW w:w="1120" w:type="dxa"/>
            <w:noWrap/>
          </w:tcPr>
          <w:p w:rsidR="00E4655B" w:rsidRDefault="00214E7E">
            <w:pPr>
              <w:keepNext/>
              <w:spacing w:after="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4"/>
                <w:szCs w:val="20"/>
              </w:rPr>
            </w:pPr>
            <w:r w:rsidRPr="00117572">
              <w:rPr>
                <w:rFonts w:asciiTheme="minorHAnsi" w:hAnsiTheme="minorHAnsi" w:cs="Arial"/>
                <w:szCs w:val="20"/>
              </w:rPr>
              <w:t>22</w:t>
            </w:r>
          </w:p>
        </w:tc>
      </w:tr>
      <w:tr w:rsidR="00214E7E" w:rsidRPr="00117572">
        <w:trPr>
          <w:cnfStyle w:val="000000010000" w:firstRow="0" w:lastRow="0" w:firstColumn="0" w:lastColumn="0" w:oddVBand="0" w:evenVBand="0" w:oddHBand="0" w:evenHBand="1"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951" w:type="dxa"/>
            <w:noWrap/>
          </w:tcPr>
          <w:p w:rsidR="00E4655B" w:rsidRDefault="00214E7E">
            <w:pPr>
              <w:keepNext/>
              <w:spacing w:after="0"/>
              <w:rPr>
                <w:rFonts w:asciiTheme="minorHAnsi" w:hAnsiTheme="minorHAnsi" w:cs="Arial"/>
                <w:bCs w:val="0"/>
                <w:sz w:val="24"/>
                <w:szCs w:val="20"/>
              </w:rPr>
            </w:pPr>
            <w:r w:rsidRPr="00117572">
              <w:rPr>
                <w:rFonts w:asciiTheme="minorHAnsi" w:hAnsiTheme="minorHAnsi" w:cs="Arial"/>
                <w:szCs w:val="20"/>
              </w:rPr>
              <w:t>Zambia</w:t>
            </w:r>
          </w:p>
        </w:tc>
        <w:tc>
          <w:tcPr>
            <w:tcW w:w="992" w:type="dxa"/>
            <w:noWrap/>
          </w:tcPr>
          <w:p w:rsidR="00E4655B" w:rsidRDefault="00214E7E">
            <w:pPr>
              <w:keepNext/>
              <w:spacing w:after="0"/>
              <w:jc w:val="right"/>
              <w:cnfStyle w:val="000000010000" w:firstRow="0" w:lastRow="0" w:firstColumn="0" w:lastColumn="0" w:oddVBand="0" w:evenVBand="0" w:oddHBand="0" w:evenHBand="1" w:firstRowFirstColumn="0" w:firstRowLastColumn="0" w:lastRowFirstColumn="0" w:lastRowLastColumn="0"/>
              <w:rPr>
                <w:rFonts w:asciiTheme="minorHAnsi" w:hAnsiTheme="minorHAnsi" w:cs="Arial"/>
                <w:sz w:val="24"/>
                <w:szCs w:val="20"/>
              </w:rPr>
            </w:pPr>
            <w:r w:rsidRPr="00117572">
              <w:rPr>
                <w:rFonts w:asciiTheme="minorHAnsi" w:hAnsiTheme="minorHAnsi" w:cs="Arial"/>
                <w:szCs w:val="20"/>
              </w:rPr>
              <w:t>4</w:t>
            </w:r>
          </w:p>
        </w:tc>
        <w:tc>
          <w:tcPr>
            <w:tcW w:w="993" w:type="dxa"/>
            <w:noWrap/>
          </w:tcPr>
          <w:p w:rsidR="00E4655B" w:rsidRDefault="00214E7E">
            <w:pPr>
              <w:keepNext/>
              <w:spacing w:after="0"/>
              <w:jc w:val="right"/>
              <w:cnfStyle w:val="000000010000" w:firstRow="0" w:lastRow="0" w:firstColumn="0" w:lastColumn="0" w:oddVBand="0" w:evenVBand="0" w:oddHBand="0" w:evenHBand="1" w:firstRowFirstColumn="0" w:firstRowLastColumn="0" w:lastRowFirstColumn="0" w:lastRowLastColumn="0"/>
              <w:rPr>
                <w:rFonts w:asciiTheme="minorHAnsi" w:hAnsiTheme="minorHAnsi" w:cs="Arial"/>
                <w:sz w:val="24"/>
                <w:szCs w:val="20"/>
              </w:rPr>
            </w:pPr>
            <w:r w:rsidRPr="00117572">
              <w:rPr>
                <w:rFonts w:asciiTheme="minorHAnsi" w:hAnsiTheme="minorHAnsi" w:cs="Arial"/>
                <w:szCs w:val="20"/>
              </w:rPr>
              <w:t>7</w:t>
            </w:r>
          </w:p>
        </w:tc>
        <w:tc>
          <w:tcPr>
            <w:tcW w:w="1275" w:type="dxa"/>
          </w:tcPr>
          <w:p w:rsidR="00E4655B" w:rsidRDefault="00E4655B">
            <w:pPr>
              <w:keepNext/>
              <w:spacing w:after="0"/>
              <w:cnfStyle w:val="000000010000" w:firstRow="0" w:lastRow="0" w:firstColumn="0" w:lastColumn="0" w:oddVBand="0" w:evenVBand="0" w:oddHBand="0" w:evenHBand="1" w:firstRowFirstColumn="0" w:firstRowLastColumn="0" w:lastRowFirstColumn="0" w:lastRowLastColumn="0"/>
              <w:rPr>
                <w:rFonts w:asciiTheme="minorHAnsi" w:hAnsiTheme="minorHAnsi" w:cs="Arial"/>
                <w:sz w:val="24"/>
                <w:szCs w:val="20"/>
              </w:rPr>
            </w:pPr>
          </w:p>
        </w:tc>
        <w:tc>
          <w:tcPr>
            <w:tcW w:w="1969" w:type="dxa"/>
            <w:noWrap/>
          </w:tcPr>
          <w:p w:rsidR="00E4655B" w:rsidRDefault="00214E7E">
            <w:pPr>
              <w:keepNext/>
              <w:spacing w:after="0"/>
              <w:cnfStyle w:val="000000010000" w:firstRow="0" w:lastRow="0" w:firstColumn="0" w:lastColumn="0" w:oddVBand="0" w:evenVBand="0" w:oddHBand="0" w:evenHBand="1" w:firstRowFirstColumn="0" w:firstRowLastColumn="0" w:lastRowFirstColumn="0" w:lastRowLastColumn="0"/>
              <w:rPr>
                <w:rFonts w:asciiTheme="minorHAnsi" w:hAnsiTheme="minorHAnsi" w:cs="Arial"/>
                <w:sz w:val="24"/>
                <w:szCs w:val="20"/>
              </w:rPr>
            </w:pPr>
            <w:r w:rsidRPr="00117572">
              <w:rPr>
                <w:rFonts w:asciiTheme="minorHAnsi" w:hAnsiTheme="minorHAnsi" w:cs="Arial"/>
                <w:szCs w:val="20"/>
              </w:rPr>
              <w:t> </w:t>
            </w:r>
          </w:p>
        </w:tc>
        <w:tc>
          <w:tcPr>
            <w:tcW w:w="980" w:type="dxa"/>
            <w:noWrap/>
          </w:tcPr>
          <w:p w:rsidR="00E4655B" w:rsidRDefault="00214E7E">
            <w:pPr>
              <w:keepNext/>
              <w:spacing w:after="0"/>
              <w:cnfStyle w:val="000000010000" w:firstRow="0" w:lastRow="0" w:firstColumn="0" w:lastColumn="0" w:oddVBand="0" w:evenVBand="0" w:oddHBand="0" w:evenHBand="1" w:firstRowFirstColumn="0" w:firstRowLastColumn="0" w:lastRowFirstColumn="0" w:lastRowLastColumn="0"/>
              <w:rPr>
                <w:rFonts w:asciiTheme="minorHAnsi" w:hAnsiTheme="minorHAnsi" w:cs="Arial"/>
                <w:sz w:val="24"/>
                <w:szCs w:val="20"/>
              </w:rPr>
            </w:pPr>
            <w:r w:rsidRPr="00117572">
              <w:rPr>
                <w:rFonts w:asciiTheme="minorHAnsi" w:hAnsiTheme="minorHAnsi" w:cs="Arial"/>
                <w:szCs w:val="20"/>
              </w:rPr>
              <w:t> </w:t>
            </w:r>
          </w:p>
        </w:tc>
        <w:tc>
          <w:tcPr>
            <w:tcW w:w="1120" w:type="dxa"/>
            <w:noWrap/>
          </w:tcPr>
          <w:p w:rsidR="00E4655B" w:rsidRDefault="00214E7E">
            <w:pPr>
              <w:keepNext/>
              <w:spacing w:after="0"/>
              <w:cnfStyle w:val="000000010000" w:firstRow="0" w:lastRow="0" w:firstColumn="0" w:lastColumn="0" w:oddVBand="0" w:evenVBand="0" w:oddHBand="0" w:evenHBand="1" w:firstRowFirstColumn="0" w:firstRowLastColumn="0" w:lastRowFirstColumn="0" w:lastRowLastColumn="0"/>
              <w:rPr>
                <w:rFonts w:asciiTheme="minorHAnsi" w:hAnsiTheme="minorHAnsi" w:cs="Arial"/>
                <w:sz w:val="24"/>
                <w:szCs w:val="20"/>
              </w:rPr>
            </w:pPr>
            <w:r w:rsidRPr="00117572">
              <w:rPr>
                <w:rFonts w:asciiTheme="minorHAnsi" w:hAnsiTheme="minorHAnsi" w:cs="Arial"/>
                <w:szCs w:val="20"/>
              </w:rPr>
              <w:t> </w:t>
            </w:r>
          </w:p>
        </w:tc>
      </w:tr>
    </w:tbl>
    <w:p w:rsidR="00D85203" w:rsidRDefault="00D85203">
      <w:pPr>
        <w:rPr>
          <w:lang w:val="en-US"/>
        </w:rPr>
      </w:pPr>
    </w:p>
    <w:p w:rsidR="00D85203" w:rsidRDefault="006F7A43">
      <w:pPr>
        <w:rPr>
          <w:lang w:val="en-US"/>
        </w:rPr>
      </w:pPr>
      <w:r>
        <w:rPr>
          <w:lang w:val="en-US"/>
        </w:rPr>
        <w:lastRenderedPageBreak/>
        <w:t>To sum up, evidence is limited so far, but it appears that country circumstances rather than group membership determines what happens when CTF funding is phased out. Small size, low GDP/capita and economy in transition seem to be risk factors, which should come as no surprise. On the other hand there are countries with those same characteristics that have managed to counter graduation or meet matched funding requirements, such as Niger, Mongolia and Papua New Guinea, at least the first year for which data is available. This is an issue that the CTF Secretariat is and should be following closely</w:t>
      </w:r>
      <w:r w:rsidR="00617EAC">
        <w:rPr>
          <w:lang w:val="en-US"/>
        </w:rPr>
        <w:t xml:space="preserve"> (see also the discussion in </w:t>
      </w:r>
      <w:r w:rsidR="00A84844">
        <w:rPr>
          <w:lang w:val="en-US"/>
        </w:rPr>
        <w:t>Chapter</w:t>
      </w:r>
      <w:r w:rsidR="00617EAC">
        <w:rPr>
          <w:lang w:val="en-US"/>
        </w:rPr>
        <w:t xml:space="preserve"> 4 on graduation)</w:t>
      </w:r>
      <w:r>
        <w:rPr>
          <w:lang w:val="en-US"/>
        </w:rPr>
        <w:t xml:space="preserve">. The two databases on CTF funded and non-CTF funded participation are excellent tools for doing that from a quantitative perspective. However, deeper more qualitative analysis is needed to understand the circumstances of individual countries. This highlights the difficulties in developing simple and objective criteria that correspond to the exact needs of individual countries. </w:t>
      </w:r>
    </w:p>
    <w:p w:rsidR="006F7A43" w:rsidRPr="00274846" w:rsidRDefault="006F7A43" w:rsidP="006F7A43">
      <w:pPr>
        <w:pStyle w:val="Heading2"/>
        <w:rPr>
          <w:lang w:val="en-US"/>
        </w:rPr>
      </w:pPr>
      <w:bookmarkStart w:id="75" w:name="_Toc260389730"/>
      <w:r w:rsidRPr="00274846">
        <w:rPr>
          <w:lang w:val="en-US"/>
        </w:rPr>
        <w:t>Committee dynamics</w:t>
      </w:r>
      <w:bookmarkEnd w:id="75"/>
    </w:p>
    <w:p w:rsidR="00D85203" w:rsidRDefault="006F7A43">
      <w:pPr>
        <w:rPr>
          <w:lang w:val="en-US"/>
        </w:rPr>
      </w:pPr>
      <w:r>
        <w:rPr>
          <w:lang w:val="en-US"/>
        </w:rPr>
        <w:t>It was shown above that there has indeed been an increase in terms of the number of participants from developing countries and from LDCs in particular in Codex in recent years. It seems reasonable that this affects the committee dynamics and eventually Codex standard setting itself.</w:t>
      </w:r>
    </w:p>
    <w:p w:rsidR="00D85203" w:rsidRDefault="00924C00">
      <w:pPr>
        <w:rPr>
          <w:lang w:val="en-US"/>
        </w:rPr>
      </w:pPr>
      <w:r>
        <w:rPr>
          <w:lang w:val="en-US"/>
        </w:rPr>
        <w:t>As was pointed out in the introduction, g</w:t>
      </w:r>
      <w:r w:rsidR="006F7A43">
        <w:rPr>
          <w:lang w:val="en-US"/>
        </w:rPr>
        <w:t>iven the focus of this mid-term review on the impact of the CTF at country level, it has not been possible to collect primary data on which to do detailed analysis of committee dynamics and standard setting. This would have necessitated activities such as extensive physical observation of committee meetings, detailed analysis of meeting reports, surveys of and interviews with a wide range of meeting participants, systematic collection of cases of Codex standard setting where developing countries have made important contributions or have taken the lead and analysis of the work of the Joint FAO/WHO expert c</w:t>
      </w:r>
      <w:r w:rsidR="006F7A43" w:rsidRPr="005718DD">
        <w:rPr>
          <w:lang w:val="en-US"/>
        </w:rPr>
        <w:t>ommittee</w:t>
      </w:r>
      <w:r w:rsidR="006F7A43">
        <w:rPr>
          <w:lang w:val="en-US"/>
        </w:rPr>
        <w:t xml:space="preserve">s. </w:t>
      </w:r>
    </w:p>
    <w:p w:rsidR="00C709BB" w:rsidRDefault="00C709BB" w:rsidP="00C709BB">
      <w:pPr>
        <w:rPr>
          <w:lang w:val="en-US"/>
        </w:rPr>
      </w:pPr>
      <w:r>
        <w:rPr>
          <w:lang w:val="en-US"/>
        </w:rPr>
        <w:t xml:space="preserve">One argument that is sometimes heard relates to the nature of the international negotiations and that the “balance of power” between blocks of countries change as a result of increasing participation from developing countries (that is, those developing countries which did not take part before the CTF was created). With many new countries present at negotiations, the scope for alliance building changes and during some of our interviews it was mentioned that bilateral donor agencies and aid recipients could at times take joint positions – positions that did not really reflect the developing country’s real interest in the subject matter. If that happened, it would seem to be a side effect of increasing participation. However, we have not been able to document any such cases and that would build on an entirely different form of evaluation approach than we set out to do. In any case the point of the argument does not seem to be really a case against increasing participation of developing countries. </w:t>
      </w:r>
    </w:p>
    <w:p w:rsidR="00D85203" w:rsidRDefault="00420F0E">
      <w:pPr>
        <w:rPr>
          <w:lang w:val="en-GB"/>
        </w:rPr>
      </w:pPr>
      <w:r>
        <w:rPr>
          <w:lang w:val="en-US"/>
        </w:rPr>
        <w:t>I</w:t>
      </w:r>
      <w:r w:rsidR="006F7A43">
        <w:rPr>
          <w:lang w:val="en-US"/>
        </w:rPr>
        <w:t>n this report we will have to rely on indirect observations related to</w:t>
      </w:r>
      <w:r>
        <w:rPr>
          <w:lang w:val="en-US"/>
        </w:rPr>
        <w:t xml:space="preserve"> </w:t>
      </w:r>
      <w:r w:rsidR="006F7A43">
        <w:rPr>
          <w:lang w:val="en-US"/>
        </w:rPr>
        <w:t xml:space="preserve">interviews, surveys and </w:t>
      </w:r>
      <w:r w:rsidR="00332D84">
        <w:rPr>
          <w:lang w:val="en-US"/>
        </w:rPr>
        <w:t>country visits to gauge the qualitative impacts of CTF funded participation in Codex committees.</w:t>
      </w:r>
      <w:r w:rsidR="00332D84" w:rsidRPr="00332D84">
        <w:rPr>
          <w:lang w:val="en-US"/>
        </w:rPr>
        <w:t xml:space="preserve"> Interviews with committee chairs and donors indicate that there has indeed been a perceived increase in the participation and level of activity of developing countries in Codex committees. In the words of one committee chair: “</w:t>
      </w:r>
      <w:r w:rsidR="00332D84">
        <w:rPr>
          <w:i/>
          <w:lang w:val="en-GB"/>
        </w:rPr>
        <w:t>Overall, the nature of the debates has changed and developing countries are increasingly articulate and well-informed</w:t>
      </w:r>
      <w:r w:rsidR="00332D84">
        <w:rPr>
          <w:lang w:val="en-GB"/>
        </w:rPr>
        <w:t>.” There is an overall appreciation of the increasing contribution of developing countries. One donor points to Ghana as a “success story”: “</w:t>
      </w:r>
      <w:r w:rsidR="00332D84">
        <w:rPr>
          <w:i/>
          <w:lang w:val="en-GB"/>
        </w:rPr>
        <w:t>Five years ago the country was absent, but now it participates and is active. Ghana even organised a physical working group in 2007 or 08. This has created a snowball effect within the region</w:t>
      </w:r>
      <w:r w:rsidR="00332D84">
        <w:rPr>
          <w:lang w:val="en-GB"/>
        </w:rPr>
        <w:t>.”</w:t>
      </w:r>
    </w:p>
    <w:p w:rsidR="006F7A43" w:rsidRDefault="006F7A43" w:rsidP="006F7A43">
      <w:pPr>
        <w:spacing w:after="100" w:afterAutospacing="1"/>
        <w:rPr>
          <w:lang w:val="en-GB"/>
        </w:rPr>
      </w:pPr>
      <w:r>
        <w:rPr>
          <w:lang w:val="en-GB"/>
        </w:rPr>
        <w:t xml:space="preserve">On the other hand several donors and chairs doubt the suitability of some developing country participants: </w:t>
      </w:r>
    </w:p>
    <w:p w:rsidR="006F7A43" w:rsidRDefault="006F7A43" w:rsidP="006F7A43">
      <w:pPr>
        <w:spacing w:after="100" w:afterAutospacing="1"/>
        <w:rPr>
          <w:lang w:val="en-US"/>
        </w:rPr>
      </w:pPr>
      <w:r>
        <w:rPr>
          <w:lang w:val="en-GB"/>
        </w:rPr>
        <w:lastRenderedPageBreak/>
        <w:t>“</w:t>
      </w:r>
      <w:r w:rsidRPr="000712F0">
        <w:rPr>
          <w:i/>
          <w:lang w:val="en-US"/>
        </w:rPr>
        <w:t>Some arrive after the meeting started and leave early. Are they committed? Selection of candidates is a touchy issue. It makes it difficult to convince aid agencies</w:t>
      </w:r>
      <w:r>
        <w:rPr>
          <w:lang w:val="en-US"/>
        </w:rPr>
        <w:t>.”</w:t>
      </w:r>
    </w:p>
    <w:p w:rsidR="006F7A43" w:rsidRDefault="006F7A43" w:rsidP="006F7A43">
      <w:pPr>
        <w:spacing w:after="100" w:afterAutospacing="1"/>
        <w:rPr>
          <w:lang w:val="en-GB"/>
        </w:rPr>
      </w:pPr>
      <w:r>
        <w:rPr>
          <w:lang w:val="en-US"/>
        </w:rPr>
        <w:t>“</w:t>
      </w:r>
      <w:r w:rsidRPr="000712F0">
        <w:rPr>
          <w:i/>
          <w:lang w:val="en-GB"/>
        </w:rPr>
        <w:t>Sometimes it appears as if participation is treated as a gift, since on a few occasions the persons attending have not been experts. At the same time, I understand that it is a long learning process</w:t>
      </w:r>
      <w:r>
        <w:rPr>
          <w:lang w:val="en-GB"/>
        </w:rPr>
        <w:t xml:space="preserve">.” </w:t>
      </w:r>
    </w:p>
    <w:p w:rsidR="006F7A43" w:rsidRDefault="006F7A43" w:rsidP="006F7A43">
      <w:pPr>
        <w:spacing w:after="100" w:afterAutospacing="1"/>
        <w:rPr>
          <w:lang w:val="en-GB"/>
        </w:rPr>
      </w:pPr>
      <w:r>
        <w:rPr>
          <w:lang w:val="en-GB"/>
        </w:rPr>
        <w:t>“</w:t>
      </w:r>
      <w:r w:rsidRPr="000712F0">
        <w:rPr>
          <w:i/>
          <w:lang w:val="en-GB"/>
        </w:rPr>
        <w:t>If countries do not have any interest, there is no benefit in their participation. The meetings go slower if the attendants do not know Codex, which may delay standards. For example, one delegate wanted to discuss the trust fund, which was not appropriate.</w:t>
      </w:r>
      <w:r>
        <w:rPr>
          <w:lang w:val="en-GB"/>
        </w:rPr>
        <w:t xml:space="preserve">” </w:t>
      </w:r>
    </w:p>
    <w:p w:rsidR="004A584F" w:rsidRDefault="006F7A43" w:rsidP="004A584F">
      <w:pPr>
        <w:spacing w:after="100" w:afterAutospacing="1"/>
        <w:rPr>
          <w:lang w:val="en-GB"/>
        </w:rPr>
      </w:pPr>
      <w:r>
        <w:rPr>
          <w:lang w:val="en-GB"/>
        </w:rPr>
        <w:t>The choice of meetings is also questioned to some extent, in particular the perceived preference for the CAC and CCGP, which, it is argued, have less potential impact of the food safety of poor countries than other committees, since they are largely procedural.</w:t>
      </w:r>
      <w:r w:rsidR="00D9571F">
        <w:rPr>
          <w:lang w:val="en-GB"/>
        </w:rPr>
        <w:t xml:space="preserve"> </w:t>
      </w:r>
      <w:r>
        <w:rPr>
          <w:lang w:val="en-GB"/>
        </w:rPr>
        <w:t xml:space="preserve">Interviewees point out that </w:t>
      </w:r>
      <w:r w:rsidR="00D9571F">
        <w:rPr>
          <w:lang w:val="en-GB"/>
        </w:rPr>
        <w:t xml:space="preserve">these issues </w:t>
      </w:r>
      <w:r>
        <w:rPr>
          <w:lang w:val="en-GB"/>
        </w:rPr>
        <w:t>create bad-will both for the individuals concerned, the countries they represent and the CTF. Eventually, it is the selection process at country level, in conjunction with the CTF selection process, that is questioned, in addition to the overall food safety capacity of the poorest countries: “</w:t>
      </w:r>
      <w:r w:rsidRPr="000712F0">
        <w:rPr>
          <w:i/>
          <w:lang w:val="en-GB"/>
        </w:rPr>
        <w:t>The poorest countries need capacity building rather than to participate.  If a country does not have an inspection authority, participation does not help</w:t>
      </w:r>
      <w:r>
        <w:rPr>
          <w:lang w:val="en-GB"/>
        </w:rPr>
        <w:t xml:space="preserve">.” The need for continuity in participation is emphasised by interviewees. </w:t>
      </w:r>
    </w:p>
    <w:p w:rsidR="006F7A43" w:rsidRPr="005821B0" w:rsidRDefault="00D97835" w:rsidP="006F7A43">
      <w:pPr>
        <w:rPr>
          <w:lang w:val="en-US"/>
        </w:rPr>
      </w:pPr>
      <w:r>
        <w:rPr>
          <w:lang w:val="en-GB"/>
        </w:rPr>
        <w:t>However, it is important to emphasise that n</w:t>
      </w:r>
      <w:r w:rsidR="006F7A43" w:rsidRPr="005821B0">
        <w:rPr>
          <w:lang w:val="en-GB"/>
        </w:rPr>
        <w:t xml:space="preserve">one of the interviewees could substantiate their </w:t>
      </w:r>
      <w:r>
        <w:rPr>
          <w:lang w:val="en-GB"/>
        </w:rPr>
        <w:t>critical remarks</w:t>
      </w:r>
      <w:r w:rsidRPr="005821B0">
        <w:rPr>
          <w:lang w:val="en-GB"/>
        </w:rPr>
        <w:t xml:space="preserve"> </w:t>
      </w:r>
      <w:r w:rsidR="006F7A43" w:rsidRPr="005821B0">
        <w:rPr>
          <w:lang w:val="en-GB"/>
        </w:rPr>
        <w:t>with any systematic evidence</w:t>
      </w:r>
      <w:r>
        <w:rPr>
          <w:lang w:val="en-GB"/>
        </w:rPr>
        <w:t xml:space="preserve">, so </w:t>
      </w:r>
      <w:r w:rsidR="006F7A43" w:rsidRPr="005821B0">
        <w:rPr>
          <w:lang w:val="en-GB"/>
        </w:rPr>
        <w:t xml:space="preserve">it is difficult to assess if they are based on isolated cases or systematic occurrences. During the work of the mid-term review, no apparent cases of unsuitable participants were encountered; the beneficiaries met during country visits all seemed competent enough. </w:t>
      </w:r>
      <w:r>
        <w:rPr>
          <w:lang w:val="en-GB"/>
        </w:rPr>
        <w:t>What is also clear from the case studies is that t</w:t>
      </w:r>
      <w:r w:rsidR="006F7A43" w:rsidRPr="005821B0">
        <w:rPr>
          <w:lang w:val="en-GB"/>
        </w:rPr>
        <w:t xml:space="preserve">he selection of meetings and participants is based on </w:t>
      </w:r>
      <w:r>
        <w:rPr>
          <w:lang w:val="en-GB"/>
        </w:rPr>
        <w:t xml:space="preserve">very </w:t>
      </w:r>
      <w:r w:rsidR="006F7A43" w:rsidRPr="005821B0">
        <w:rPr>
          <w:lang w:val="en-GB"/>
        </w:rPr>
        <w:t xml:space="preserve">different realities and processes </w:t>
      </w:r>
      <w:r w:rsidR="006F7A43">
        <w:rPr>
          <w:lang w:val="en-GB"/>
        </w:rPr>
        <w:t xml:space="preserve">and serves different purposes </w:t>
      </w:r>
      <w:r w:rsidR="006F7A43" w:rsidRPr="005821B0">
        <w:rPr>
          <w:lang w:val="en-GB"/>
        </w:rPr>
        <w:t xml:space="preserve">in different countries. </w:t>
      </w:r>
      <w:r w:rsidR="006F7A43">
        <w:rPr>
          <w:lang w:val="en-US"/>
        </w:rPr>
        <w:t xml:space="preserve">For example in Armenia focus has been on sending the </w:t>
      </w:r>
      <w:r w:rsidR="006F7A43" w:rsidRPr="005821B0">
        <w:rPr>
          <w:lang w:val="en-US"/>
        </w:rPr>
        <w:t xml:space="preserve">CCP </w:t>
      </w:r>
      <w:r w:rsidR="006F7A43">
        <w:rPr>
          <w:lang w:val="en-US"/>
        </w:rPr>
        <w:t xml:space="preserve">(who is not a food safety expert) to </w:t>
      </w:r>
      <w:r w:rsidR="006F7A43" w:rsidRPr="005821B0">
        <w:rPr>
          <w:lang w:val="en-US"/>
        </w:rPr>
        <w:t xml:space="preserve">CCEURO and CAC, </w:t>
      </w:r>
      <w:r w:rsidR="006F7A43">
        <w:rPr>
          <w:lang w:val="en-US"/>
        </w:rPr>
        <w:t xml:space="preserve">which would seem appropriate since the country </w:t>
      </w:r>
      <w:r>
        <w:rPr>
          <w:lang w:val="en-US"/>
        </w:rPr>
        <w:t>has severe limitations in</w:t>
      </w:r>
      <w:r w:rsidR="006F7A43">
        <w:rPr>
          <w:lang w:val="en-US"/>
        </w:rPr>
        <w:t xml:space="preserve"> </w:t>
      </w:r>
      <w:r w:rsidR="006F7A43" w:rsidRPr="005821B0">
        <w:rPr>
          <w:lang w:val="en-US"/>
        </w:rPr>
        <w:t xml:space="preserve">language </w:t>
      </w:r>
      <w:r>
        <w:rPr>
          <w:lang w:val="en-US"/>
        </w:rPr>
        <w:t>skills</w:t>
      </w:r>
      <w:r w:rsidR="006F7A43" w:rsidRPr="005821B0">
        <w:rPr>
          <w:lang w:val="en-US"/>
        </w:rPr>
        <w:t xml:space="preserve">. In Serbia, focus </w:t>
      </w:r>
      <w:r w:rsidR="006F7A43">
        <w:rPr>
          <w:lang w:val="en-US"/>
        </w:rPr>
        <w:t xml:space="preserve">was on more </w:t>
      </w:r>
      <w:r w:rsidR="006F7A43" w:rsidRPr="005821B0">
        <w:rPr>
          <w:lang w:val="en-US"/>
        </w:rPr>
        <w:t xml:space="preserve">technical committees, </w:t>
      </w:r>
      <w:r w:rsidR="006F7A43">
        <w:rPr>
          <w:lang w:val="en-US"/>
        </w:rPr>
        <w:t xml:space="preserve">in particular since the country has </w:t>
      </w:r>
      <w:r w:rsidR="006F7A43" w:rsidRPr="005821B0">
        <w:rPr>
          <w:lang w:val="en-US"/>
        </w:rPr>
        <w:t>highly specific expertise</w:t>
      </w:r>
      <w:r w:rsidR="006F7A43">
        <w:rPr>
          <w:lang w:val="en-US"/>
        </w:rPr>
        <w:t xml:space="preserve"> in various areas</w:t>
      </w:r>
      <w:r w:rsidR="006F7A43" w:rsidRPr="005821B0">
        <w:rPr>
          <w:lang w:val="en-US"/>
        </w:rPr>
        <w:t xml:space="preserve">. </w:t>
      </w:r>
      <w:r w:rsidR="00D7429D">
        <w:rPr>
          <w:lang w:val="en-US"/>
        </w:rPr>
        <w:t>Some participants from Tunisia seemed to be coming from relatively high positions in Ministries, but that could be justified as there was a need to gain increasing political support and commitment to Codex.</w:t>
      </w:r>
      <w:r w:rsidR="006F7A43" w:rsidRPr="005821B0">
        <w:rPr>
          <w:lang w:val="en-US"/>
        </w:rPr>
        <w:tab/>
        <w:t xml:space="preserve"> </w:t>
      </w:r>
    </w:p>
    <w:p w:rsidR="006F7A43" w:rsidRPr="001C7848" w:rsidRDefault="006F7A43" w:rsidP="006F7A43">
      <w:pPr>
        <w:rPr>
          <w:lang w:val="en-US"/>
        </w:rPr>
      </w:pPr>
      <w:r>
        <w:rPr>
          <w:lang w:val="en-US"/>
        </w:rPr>
        <w:t>These examples show that it is difficult to give a complete judgment as to whether a meeting or a person is suitable or not, since it depend</w:t>
      </w:r>
      <w:r w:rsidR="001C6613">
        <w:rPr>
          <w:lang w:val="en-US"/>
        </w:rPr>
        <w:t>s</w:t>
      </w:r>
      <w:r>
        <w:rPr>
          <w:lang w:val="en-US"/>
        </w:rPr>
        <w:t xml:space="preserve"> on the circumstances and the criteria used. Certainly, political realities and connections may come into play and there is no denying that cases of misuse and ill conduct may occur. At the same time the Codex structure is technical and based on continuous interaction with peers, factors that would be likely to make the Codex system less susceptible to abuse compared to, for example, a one-off training event</w:t>
      </w:r>
      <w:r w:rsidRPr="001C7848">
        <w:rPr>
          <w:lang w:val="en-US"/>
        </w:rPr>
        <w:t xml:space="preserve">. </w:t>
      </w:r>
      <w:r>
        <w:rPr>
          <w:lang w:val="en-US"/>
        </w:rPr>
        <w:t>In addition, a</w:t>
      </w:r>
      <w:r w:rsidRPr="001C7848">
        <w:rPr>
          <w:lang w:val="en-US"/>
        </w:rPr>
        <w:t xml:space="preserve">s pointed out by one donor, </w:t>
      </w:r>
      <w:r>
        <w:rPr>
          <w:lang w:val="en-US"/>
        </w:rPr>
        <w:t xml:space="preserve">it is </w:t>
      </w:r>
      <w:r w:rsidRPr="001C7848">
        <w:rPr>
          <w:lang w:val="en-US"/>
        </w:rPr>
        <w:t>not always the most appropriate persons that take part in developed country delegations.</w:t>
      </w:r>
      <w:r w:rsidR="00D97835">
        <w:rPr>
          <w:lang w:val="en-US"/>
        </w:rPr>
        <w:t xml:space="preserve"> It would seem important that delegates from countries with more advanced institutional setting have an open attitude </w:t>
      </w:r>
      <w:r w:rsidR="004877D4">
        <w:rPr>
          <w:lang w:val="en-US"/>
        </w:rPr>
        <w:t xml:space="preserve">to increased participation from “new” countries and leave them sufficient time to get involved in Codex work. </w:t>
      </w:r>
    </w:p>
    <w:p w:rsidR="006F7A43" w:rsidRDefault="006F7A43" w:rsidP="006F7A43">
      <w:pPr>
        <w:rPr>
          <w:lang w:val="en-GB"/>
        </w:rPr>
      </w:pPr>
      <w:r>
        <w:rPr>
          <w:lang w:val="en-GB"/>
        </w:rPr>
        <w:t xml:space="preserve">The CTF </w:t>
      </w:r>
      <w:r w:rsidR="004877D4">
        <w:rPr>
          <w:lang w:val="en-GB"/>
        </w:rPr>
        <w:t xml:space="preserve">management </w:t>
      </w:r>
      <w:r>
        <w:rPr>
          <w:lang w:val="en-GB"/>
        </w:rPr>
        <w:t xml:space="preserve">has had the fundamental view that the selection of meetings and participants is a matter of national sovereignty, while at the same </w:t>
      </w:r>
      <w:r w:rsidR="004877D4">
        <w:rPr>
          <w:lang w:val="en-GB"/>
        </w:rPr>
        <w:t xml:space="preserve">using the </w:t>
      </w:r>
      <w:r>
        <w:rPr>
          <w:lang w:val="en-GB"/>
        </w:rPr>
        <w:t>CTF</w:t>
      </w:r>
      <w:r w:rsidR="004877D4">
        <w:rPr>
          <w:lang w:val="en-GB"/>
        </w:rPr>
        <w:t>’s</w:t>
      </w:r>
      <w:r>
        <w:rPr>
          <w:lang w:val="en-GB"/>
        </w:rPr>
        <w:t xml:space="preserve"> application procedures to strengthen the national selection processes. </w:t>
      </w:r>
      <w:r w:rsidR="00332D84" w:rsidRPr="00332D84">
        <w:rPr>
          <w:lang w:val="en-GB"/>
        </w:rPr>
        <w:t xml:space="preserve">This issue will be discussed at length in </w:t>
      </w:r>
      <w:r w:rsidR="00A84844">
        <w:rPr>
          <w:lang w:val="en-GB"/>
        </w:rPr>
        <w:t>Chapter</w:t>
      </w:r>
      <w:r w:rsidR="00332D84" w:rsidRPr="00332D84">
        <w:rPr>
          <w:lang w:val="en-GB"/>
        </w:rPr>
        <w:t xml:space="preserve"> 5.</w:t>
      </w:r>
      <w:r>
        <w:rPr>
          <w:lang w:val="en-GB"/>
        </w:rPr>
        <w:t xml:space="preserve"> </w:t>
      </w:r>
    </w:p>
    <w:p w:rsidR="006F7A43" w:rsidRDefault="006F7A43" w:rsidP="006F7A43">
      <w:pPr>
        <w:rPr>
          <w:lang w:val="en-GB"/>
        </w:rPr>
      </w:pPr>
      <w:r>
        <w:rPr>
          <w:lang w:val="en-GB"/>
        </w:rPr>
        <w:t>CTF funded participants (“beneficiaries”) do</w:t>
      </w:r>
      <w:r w:rsidR="00873F43">
        <w:rPr>
          <w:lang w:val="en-GB"/>
        </w:rPr>
        <w:t xml:space="preserve"> not</w:t>
      </w:r>
      <w:r>
        <w:rPr>
          <w:lang w:val="en-GB"/>
        </w:rPr>
        <w:t xml:space="preserve"> seem to be deterred by the complexity of Codex work. On the contrary, </w:t>
      </w:r>
      <w:r w:rsidRPr="00FB3254">
        <w:rPr>
          <w:lang w:val="en-GB"/>
        </w:rPr>
        <w:t xml:space="preserve">75% of </w:t>
      </w:r>
      <w:r>
        <w:rPr>
          <w:lang w:val="en-GB"/>
        </w:rPr>
        <w:t xml:space="preserve">survey </w:t>
      </w:r>
      <w:r w:rsidRPr="00FB3254">
        <w:rPr>
          <w:lang w:val="en-GB"/>
        </w:rPr>
        <w:t xml:space="preserve">respondents believe Codex committee meetings are </w:t>
      </w:r>
      <w:r w:rsidRPr="00FB3254">
        <w:rPr>
          <w:lang w:val="en-GB"/>
        </w:rPr>
        <w:lastRenderedPageBreak/>
        <w:t>clear and structured, but that it takes time to lea</w:t>
      </w:r>
      <w:r>
        <w:rPr>
          <w:lang w:val="en-GB"/>
        </w:rPr>
        <w:t xml:space="preserve">rn to participate effectively. The importance of continuous participation was also confirmed by discussions undertaken during the country visits. In Serbia, there was a general agreement among beneficiaries that participation can </w:t>
      </w:r>
      <w:r w:rsidR="004877D4">
        <w:rPr>
          <w:lang w:val="en-GB"/>
        </w:rPr>
        <w:t xml:space="preserve">be </w:t>
      </w:r>
      <w:r>
        <w:rPr>
          <w:lang w:val="en-GB"/>
        </w:rPr>
        <w:t xml:space="preserve">effective only from the second meeting, the first meeting being a learning exercise. Indonesian beneficiaries argued that </w:t>
      </w:r>
      <w:r w:rsidRPr="00FA209C">
        <w:rPr>
          <w:lang w:val="en-GB"/>
        </w:rPr>
        <w:t>that</w:t>
      </w:r>
      <w:r>
        <w:rPr>
          <w:lang w:val="en-GB"/>
        </w:rPr>
        <w:t xml:space="preserve"> it takes </w:t>
      </w:r>
      <w:r w:rsidRPr="00FA209C">
        <w:rPr>
          <w:lang w:val="en-GB"/>
        </w:rPr>
        <w:t>2 to 5 years to comprehend Codex fully</w:t>
      </w:r>
      <w:r>
        <w:rPr>
          <w:lang w:val="en-GB"/>
        </w:rPr>
        <w:t>.</w:t>
      </w:r>
    </w:p>
    <w:p w:rsidR="009446EA" w:rsidRDefault="009446EA" w:rsidP="006F7A43">
      <w:pPr>
        <w:rPr>
          <w:lang w:val="en-GB"/>
        </w:rPr>
      </w:pPr>
      <w:r>
        <w:rPr>
          <w:lang w:val="en-GB"/>
        </w:rPr>
        <w:t>In an analysis of the reports from beneficiaries sent in to the CTF between August 2007 and December 2008, Dimechkie (2009) shows that 78% of participants indicated that they engaged in active participation during meetings. Repeat participants show a slightly higher rate of activity. Most participation occurred through interventions on country positions during meetings. Only 18% of beneficiaries indicated that they had contributed scientific data.</w:t>
      </w:r>
    </w:p>
    <w:p w:rsidR="006F7A43" w:rsidRDefault="006F7A43" w:rsidP="006F7A43">
      <w:pPr>
        <w:spacing w:after="100" w:afterAutospacing="1"/>
        <w:rPr>
          <w:lang w:val="en-GB"/>
        </w:rPr>
      </w:pPr>
      <w:r>
        <w:rPr>
          <w:lang w:val="en-GB"/>
        </w:rPr>
        <w:t>There are several examples of contributions of developing countries to Codex work that have been cited during the review work and facilitated by CTF. A very specific example comes from Jamaica: “</w:t>
      </w:r>
      <w:r w:rsidRPr="00866341">
        <w:rPr>
          <w:i/>
          <w:lang w:val="en-US"/>
        </w:rPr>
        <w:t>At the 37th session (2009),</w:t>
      </w:r>
      <w:r>
        <w:rPr>
          <w:i/>
          <w:lang w:val="en-US"/>
        </w:rPr>
        <w:t xml:space="preserve"> Jamaica made seven</w:t>
      </w:r>
      <w:r w:rsidRPr="00866341">
        <w:rPr>
          <w:i/>
          <w:lang w:val="en-US"/>
        </w:rPr>
        <w:t xml:space="preserve"> </w:t>
      </w:r>
      <w:r>
        <w:rPr>
          <w:i/>
          <w:lang w:val="en-US"/>
        </w:rPr>
        <w:t xml:space="preserve">interventions of which five </w:t>
      </w:r>
      <w:r w:rsidRPr="00866341">
        <w:rPr>
          <w:i/>
          <w:lang w:val="en-US"/>
        </w:rPr>
        <w:t xml:space="preserve">require further work to be done before the next session. </w:t>
      </w:r>
      <w:r>
        <w:rPr>
          <w:i/>
          <w:lang w:val="en-US"/>
        </w:rPr>
        <w:t xml:space="preserve">However, two </w:t>
      </w:r>
      <w:r w:rsidRPr="00866341">
        <w:rPr>
          <w:i/>
          <w:lang w:val="en-US"/>
        </w:rPr>
        <w:t>of the five require immediate action. These are (i) provision of scientific justification for the use of ethylene on an expanded range of tropical fruits and (ii) review of the two Chapeaux statements related to the Labelling of Foods and Food Ingredients obtained through Certain Techniques of Genetic Modification/Engineering</w:t>
      </w:r>
      <w:r w:rsidRPr="00866341">
        <w:rPr>
          <w:lang w:val="en-US"/>
        </w:rPr>
        <w:t>.</w:t>
      </w:r>
      <w:r>
        <w:rPr>
          <w:lang w:val="en-US"/>
        </w:rPr>
        <w:t>” Other examples include</w:t>
      </w:r>
      <w:r>
        <w:rPr>
          <w:lang w:val="en-GB"/>
        </w:rPr>
        <w:t xml:space="preserve"> Jordan’s efforts to promote a regional standard for tahina and the promotion of a bitter </w:t>
      </w:r>
      <w:r w:rsidR="009446EA">
        <w:rPr>
          <w:lang w:val="en-GB"/>
        </w:rPr>
        <w:t>cassava</w:t>
      </w:r>
      <w:r>
        <w:rPr>
          <w:lang w:val="en-GB"/>
        </w:rPr>
        <w:t xml:space="preserve"> standard by the Pacific Islands. </w:t>
      </w:r>
    </w:p>
    <w:p w:rsidR="006F7A43" w:rsidRDefault="006F7A43" w:rsidP="006F7A43">
      <w:pPr>
        <w:rPr>
          <w:lang w:val="en-US"/>
        </w:rPr>
      </w:pPr>
      <w:r>
        <w:rPr>
          <w:lang w:val="en-US"/>
        </w:rPr>
        <w:t>There are also apparent cases where countries have used the CTF to fund the participation of scientific expertise to meetings.</w:t>
      </w:r>
      <w:r w:rsidR="00367249">
        <w:rPr>
          <w:rStyle w:val="FootnoteReference"/>
          <w:lang w:val="en-US"/>
        </w:rPr>
        <w:footnoteReference w:id="11"/>
      </w:r>
      <w:r>
        <w:rPr>
          <w:lang w:val="en-US"/>
        </w:rPr>
        <w:t xml:space="preserve"> Indonesia </w:t>
      </w:r>
      <w:r w:rsidRPr="00012CAA">
        <w:rPr>
          <w:lang w:val="en-US"/>
        </w:rPr>
        <w:t>is participating and contributing effectively in the Codex Working Group on Microbiological safety of broiler chicken, in respect of contamination with Campylobacter an</w:t>
      </w:r>
      <w:r>
        <w:rPr>
          <w:lang w:val="en-US"/>
        </w:rPr>
        <w:t xml:space="preserve">d Salmonella. </w:t>
      </w:r>
      <w:r w:rsidRPr="00012CAA">
        <w:rPr>
          <w:lang w:val="en-US"/>
        </w:rPr>
        <w:t xml:space="preserve">Following </w:t>
      </w:r>
      <w:r>
        <w:rPr>
          <w:lang w:val="en-US"/>
        </w:rPr>
        <w:t xml:space="preserve">participation of an Indonesian expert in </w:t>
      </w:r>
      <w:r w:rsidRPr="00012CAA">
        <w:rPr>
          <w:lang w:val="en-US"/>
        </w:rPr>
        <w:t>CCFH, Indonesia has used data collected to formulate a national standard for microbiological quality of broiler chicken, in respect of Salmonella and Campylobacter. Ther</w:t>
      </w:r>
      <w:r>
        <w:rPr>
          <w:lang w:val="en-US"/>
        </w:rPr>
        <w:t xml:space="preserve">e is apprehension that when CTF funding </w:t>
      </w:r>
      <w:r w:rsidRPr="00012CAA">
        <w:rPr>
          <w:lang w:val="en-US"/>
        </w:rPr>
        <w:t>ends, the travel and on spot contribution from experts will not be affordable and would cease to the detriment of quality of Indonesia’s participation and a loss to the Codex process in general.</w:t>
      </w:r>
      <w:r>
        <w:rPr>
          <w:lang w:val="en-US"/>
        </w:rPr>
        <w:t xml:space="preserve"> In Serbia, two highly qualified university researchers (one of them member of JECFA) have been funded by the CTF. </w:t>
      </w:r>
    </w:p>
    <w:p w:rsidR="006F7A43" w:rsidRPr="00713BBA" w:rsidRDefault="006F7A43" w:rsidP="006F7A43">
      <w:pPr>
        <w:rPr>
          <w:lang w:val="en-US"/>
        </w:rPr>
      </w:pPr>
      <w:r w:rsidRPr="009B3AAC">
        <w:rPr>
          <w:lang w:val="en-US"/>
        </w:rPr>
        <w:t xml:space="preserve">A university professor </w:t>
      </w:r>
      <w:r w:rsidRPr="00713BBA">
        <w:rPr>
          <w:lang w:val="en-US"/>
        </w:rPr>
        <w:t xml:space="preserve">from </w:t>
      </w:r>
      <w:r>
        <w:rPr>
          <w:lang w:val="en-US"/>
        </w:rPr>
        <w:t>Latin America</w:t>
      </w:r>
      <w:r w:rsidRPr="00713BBA">
        <w:rPr>
          <w:lang w:val="en-US"/>
        </w:rPr>
        <w:t xml:space="preserve"> </w:t>
      </w:r>
      <w:r>
        <w:rPr>
          <w:lang w:val="en-US"/>
        </w:rPr>
        <w:t>highlights</w:t>
      </w:r>
      <w:r w:rsidRPr="00713BBA">
        <w:rPr>
          <w:lang w:val="en-US"/>
        </w:rPr>
        <w:t xml:space="preserve"> why participation in Codex is important for other reasons tha</w:t>
      </w:r>
      <w:r w:rsidR="009446EA">
        <w:rPr>
          <w:lang w:val="en-US"/>
        </w:rPr>
        <w:t>n</w:t>
      </w:r>
      <w:r w:rsidRPr="00713BBA">
        <w:rPr>
          <w:lang w:val="en-US"/>
        </w:rPr>
        <w:t xml:space="preserve"> only scientific: “</w:t>
      </w:r>
      <w:r w:rsidRPr="00713BBA">
        <w:rPr>
          <w:i/>
          <w:lang w:val="en-US"/>
        </w:rPr>
        <w:t xml:space="preserve">I believe it is equally important to direct support </w:t>
      </w:r>
      <w:r>
        <w:rPr>
          <w:i/>
          <w:lang w:val="en-US"/>
        </w:rPr>
        <w:t>to</w:t>
      </w:r>
      <w:r w:rsidRPr="00713BBA">
        <w:rPr>
          <w:i/>
          <w:lang w:val="en-US"/>
        </w:rPr>
        <w:t xml:space="preserve"> university representatives [for participation in Codex], since universities play a key role in </w:t>
      </w:r>
      <w:r>
        <w:rPr>
          <w:i/>
          <w:lang w:val="en-US"/>
        </w:rPr>
        <w:t>promotion</w:t>
      </w:r>
      <w:r w:rsidRPr="00713BBA">
        <w:rPr>
          <w:i/>
          <w:lang w:val="en-US"/>
        </w:rPr>
        <w:t xml:space="preserve">, </w:t>
      </w:r>
      <w:r>
        <w:rPr>
          <w:i/>
          <w:lang w:val="en-US"/>
        </w:rPr>
        <w:t>dissemination</w:t>
      </w:r>
      <w:r w:rsidRPr="00713BBA">
        <w:rPr>
          <w:i/>
          <w:lang w:val="en-US"/>
        </w:rPr>
        <w:t xml:space="preserve"> and training on Codex issues, especially because in these future professionals are trained that will be the experts of ministries and public institutions with power to decide on key issues to ensure quality and safety of food</w:t>
      </w:r>
      <w:r w:rsidRPr="00713BBA">
        <w:rPr>
          <w:lang w:val="en-US"/>
        </w:rPr>
        <w:t>.”</w:t>
      </w:r>
    </w:p>
    <w:p w:rsidR="00C709BB" w:rsidRPr="001504B8" w:rsidRDefault="00C709BB" w:rsidP="00C709BB">
      <w:pPr>
        <w:rPr>
          <w:lang w:val="en-GB"/>
        </w:rPr>
      </w:pPr>
      <w:r w:rsidRPr="001504B8">
        <w:rPr>
          <w:lang w:val="en-GB"/>
        </w:rPr>
        <w:t xml:space="preserve"> </w:t>
      </w:r>
    </w:p>
    <w:p w:rsidR="00B536F5" w:rsidRDefault="00B536F5">
      <w:pPr>
        <w:rPr>
          <w:lang w:val="en-GB"/>
        </w:rPr>
      </w:pPr>
    </w:p>
    <w:p w:rsidR="00B536F5" w:rsidRDefault="00A23258">
      <w:pPr>
        <w:pStyle w:val="Heading1"/>
        <w:rPr>
          <w:lang w:val="en-GB"/>
        </w:rPr>
      </w:pPr>
      <w:bookmarkStart w:id="76" w:name="_Toc129613164"/>
      <w:r>
        <w:rPr>
          <w:lang w:val="en-GB"/>
        </w:rPr>
        <w:br w:type="page"/>
      </w:r>
      <w:bookmarkStart w:id="77" w:name="_Toc260389731"/>
      <w:r w:rsidR="00A84844">
        <w:rPr>
          <w:lang w:val="en-GB"/>
        </w:rPr>
        <w:lastRenderedPageBreak/>
        <w:t>Chapter</w:t>
      </w:r>
      <w:r w:rsidR="00493A69">
        <w:rPr>
          <w:lang w:val="en-GB"/>
        </w:rPr>
        <w:t xml:space="preserve"> 4. Programme Logic of the Codex Trust Fund</w:t>
      </w:r>
      <w:bookmarkEnd w:id="76"/>
      <w:bookmarkEnd w:id="77"/>
    </w:p>
    <w:p w:rsidR="00493A69" w:rsidRPr="00190EC8" w:rsidRDefault="00332D84" w:rsidP="00493A69">
      <w:pPr>
        <w:pStyle w:val="Heading2"/>
        <w:rPr>
          <w:lang w:val="en-US"/>
        </w:rPr>
      </w:pPr>
      <w:bookmarkStart w:id="78" w:name="_Toc260389732"/>
      <w:r w:rsidRPr="00332D84">
        <w:rPr>
          <w:lang w:val="en-US"/>
        </w:rPr>
        <w:t>Objectives and outcomes</w:t>
      </w:r>
      <w:bookmarkEnd w:id="78"/>
      <w:r w:rsidRPr="00332D84">
        <w:rPr>
          <w:lang w:val="en-US"/>
        </w:rPr>
        <w:t xml:space="preserve"> </w:t>
      </w:r>
    </w:p>
    <w:p w:rsidR="00D85203" w:rsidRDefault="00493A69">
      <w:pPr>
        <w:rPr>
          <w:lang w:val="en-GB"/>
        </w:rPr>
      </w:pPr>
      <w:r>
        <w:rPr>
          <w:lang w:val="en-GB"/>
        </w:rPr>
        <w:t>The objectives and expected outcomes of the CTF are outlined in the original project document</w:t>
      </w:r>
      <w:r w:rsidR="00742BFE">
        <w:rPr>
          <w:lang w:val="en-GB"/>
        </w:rPr>
        <w:t xml:space="preserve">. They were mentioned briefly in the introduction and </w:t>
      </w:r>
      <w:r>
        <w:rPr>
          <w:lang w:val="en-GB"/>
        </w:rPr>
        <w:t xml:space="preserve">are presented </w:t>
      </w:r>
      <w:r w:rsidR="00742BFE">
        <w:rPr>
          <w:lang w:val="en-GB"/>
        </w:rPr>
        <w:t xml:space="preserve">more fully </w:t>
      </w:r>
      <w:r>
        <w:rPr>
          <w:lang w:val="en-GB"/>
        </w:rPr>
        <w:t xml:space="preserve">in </w:t>
      </w:r>
      <w:r w:rsidR="00AE227F">
        <w:rPr>
          <w:highlight w:val="yellow"/>
          <w:lang w:val="en-GB"/>
        </w:rPr>
        <w:fldChar w:fldCharType="begin"/>
      </w:r>
      <w:r w:rsidR="00742BFE">
        <w:rPr>
          <w:lang w:val="en-GB"/>
        </w:rPr>
        <w:instrText xml:space="preserve"> REF _Ref256605738 \h </w:instrText>
      </w:r>
      <w:r w:rsidR="00AE227F">
        <w:rPr>
          <w:highlight w:val="yellow"/>
          <w:lang w:val="en-GB"/>
        </w:rPr>
      </w:r>
      <w:r w:rsidR="00AE227F">
        <w:rPr>
          <w:highlight w:val="yellow"/>
          <w:lang w:val="en-GB"/>
        </w:rPr>
        <w:fldChar w:fldCharType="separate"/>
      </w:r>
      <w:r w:rsidR="004F08A8" w:rsidRPr="00332D84">
        <w:rPr>
          <w:lang w:val="en-US"/>
        </w:rPr>
        <w:t xml:space="preserve">Box </w:t>
      </w:r>
      <w:r w:rsidR="004F08A8">
        <w:rPr>
          <w:noProof/>
          <w:lang w:val="en-US"/>
        </w:rPr>
        <w:t>1</w:t>
      </w:r>
      <w:r w:rsidR="00AE227F">
        <w:rPr>
          <w:highlight w:val="yellow"/>
          <w:lang w:val="en-GB"/>
        </w:rPr>
        <w:fldChar w:fldCharType="end"/>
      </w:r>
      <w:r>
        <w:rPr>
          <w:lang w:val="en-GB"/>
        </w:rPr>
        <w:t xml:space="preserve">. </w:t>
      </w:r>
      <w:r w:rsidR="00444762">
        <w:rPr>
          <w:lang w:val="en-GB"/>
        </w:rPr>
        <w:t>One of the questions posed to this evaluation is whether the objectives and outputs remain valid or if there is a need to change them for the final six years of the project. Our interview and survey data show</w:t>
      </w:r>
      <w:r>
        <w:rPr>
          <w:lang w:val="en-GB"/>
        </w:rPr>
        <w:t xml:space="preserve"> very strong support for the existing three (immediate) objectives from both beneficiaries and donors. </w:t>
      </w:r>
      <w:r w:rsidRPr="00A96A31">
        <w:rPr>
          <w:lang w:val="en-GB"/>
        </w:rPr>
        <w:t xml:space="preserve">63% of </w:t>
      </w:r>
      <w:r>
        <w:rPr>
          <w:lang w:val="en-GB"/>
        </w:rPr>
        <w:t xml:space="preserve">the CCPs that responded to the survey </w:t>
      </w:r>
      <w:r w:rsidRPr="00A96A31">
        <w:rPr>
          <w:lang w:val="en-GB"/>
        </w:rPr>
        <w:t xml:space="preserve">believe </w:t>
      </w:r>
      <w:r>
        <w:rPr>
          <w:lang w:val="en-GB"/>
        </w:rPr>
        <w:t xml:space="preserve">that </w:t>
      </w:r>
      <w:r w:rsidRPr="00A96A31">
        <w:rPr>
          <w:lang w:val="en-GB"/>
        </w:rPr>
        <w:t xml:space="preserve">the three objectives </w:t>
      </w:r>
      <w:r>
        <w:rPr>
          <w:lang w:val="en-GB"/>
        </w:rPr>
        <w:t>are val</w:t>
      </w:r>
      <w:r w:rsidRPr="00A96A31">
        <w:rPr>
          <w:lang w:val="en-GB"/>
        </w:rPr>
        <w:t xml:space="preserve">id and 34% that they are very valid. </w:t>
      </w:r>
      <w:r>
        <w:rPr>
          <w:lang w:val="en-GB"/>
        </w:rPr>
        <w:t xml:space="preserve">LDC CCPs are more favourable than non-LDC CCPs, </w:t>
      </w:r>
      <w:r w:rsidRPr="00A96A31">
        <w:rPr>
          <w:lang w:val="en-GB"/>
        </w:rPr>
        <w:t>5</w:t>
      </w:r>
      <w:r>
        <w:rPr>
          <w:lang w:val="en-GB"/>
        </w:rPr>
        <w:t>0% of LDC CCPs believe the objectives</w:t>
      </w:r>
      <w:r w:rsidRPr="00A96A31">
        <w:rPr>
          <w:lang w:val="en-GB"/>
        </w:rPr>
        <w:t xml:space="preserve"> are very valid, versus 25% of </w:t>
      </w:r>
      <w:r>
        <w:rPr>
          <w:lang w:val="en-GB"/>
        </w:rPr>
        <w:t>non-LDC CCPs</w:t>
      </w:r>
      <w:r w:rsidRPr="00A96A31">
        <w:rPr>
          <w:lang w:val="en-GB"/>
        </w:rPr>
        <w:t>.</w:t>
      </w:r>
      <w:r>
        <w:rPr>
          <w:lang w:val="en-GB"/>
        </w:rPr>
        <w:t xml:space="preserve"> All eight contacted donors give strong support to the existing objectives. However, some beneficiaries and donors argue that the CTF will have strong difficulties in reaching objectives 2 and 3 with its current focus of activities. They argue that more emphasis on capacity building and coordination with other programmes would be needed to achieve objectives 2 and 3.</w:t>
      </w:r>
      <w:r w:rsidR="001C6613">
        <w:rPr>
          <w:lang w:val="en-GB"/>
        </w:rPr>
        <w:t xml:space="preserve"> </w:t>
      </w:r>
      <w:r w:rsidR="008D1B1A">
        <w:rPr>
          <w:lang w:val="en-GB"/>
        </w:rPr>
        <w:t>At the same time, the importance of supporting participation is highlighted by all stakeholders.</w:t>
      </w:r>
    </w:p>
    <w:p w:rsidR="00D85203" w:rsidRDefault="00493A69">
      <w:pPr>
        <w:rPr>
          <w:lang w:val="en-GB"/>
        </w:rPr>
      </w:pPr>
      <w:r>
        <w:rPr>
          <w:lang w:val="en-GB"/>
        </w:rPr>
        <w:t xml:space="preserve">A key issue is how the three objectives are interpreted. The key objective of the CTF clearly focuses on </w:t>
      </w:r>
      <w:r w:rsidRPr="00D65909">
        <w:rPr>
          <w:u w:val="single"/>
          <w:lang w:val="en-GB"/>
        </w:rPr>
        <w:t>participation</w:t>
      </w:r>
      <w:r>
        <w:rPr>
          <w:lang w:val="en-GB"/>
        </w:rPr>
        <w:t xml:space="preserve"> in international Codex work, while the development goal links participation with enhancing the </w:t>
      </w:r>
      <w:r w:rsidRPr="00D65909">
        <w:rPr>
          <w:u w:val="single"/>
          <w:lang w:val="en-GB"/>
        </w:rPr>
        <w:t>capacity</w:t>
      </w:r>
      <w:r>
        <w:rPr>
          <w:lang w:val="en-GB"/>
        </w:rPr>
        <w:t xml:space="preserve"> of experts. The objectives and outcomes focus mainly on participation and on initiating programmes and empowering countries to participate in Codex work. Effective participation is clearly linked to national capacities, but there is no standard model for this link</w:t>
      </w:r>
      <w:r w:rsidR="00742BFE">
        <w:rPr>
          <w:lang w:val="en-GB"/>
        </w:rPr>
        <w:t xml:space="preserve"> as should be clear from </w:t>
      </w:r>
      <w:r w:rsidR="00A84844">
        <w:rPr>
          <w:lang w:val="en-GB"/>
        </w:rPr>
        <w:t>Chapter</w:t>
      </w:r>
      <w:r w:rsidR="00742BFE">
        <w:rPr>
          <w:lang w:val="en-GB"/>
        </w:rPr>
        <w:t xml:space="preserve"> 2</w:t>
      </w:r>
      <w:r>
        <w:rPr>
          <w:lang w:val="en-GB"/>
        </w:rPr>
        <w:t>. As one interviewee pointed out in the</w:t>
      </w:r>
      <w:r w:rsidR="00444762">
        <w:rPr>
          <w:lang w:val="en-GB"/>
        </w:rPr>
        <w:t xml:space="preserve"> case of </w:t>
      </w:r>
      <w:r w:rsidR="0094421A">
        <w:rPr>
          <w:lang w:val="en-GB"/>
        </w:rPr>
        <w:t>India</w:t>
      </w:r>
      <w:r>
        <w:rPr>
          <w:lang w:val="en-GB"/>
        </w:rPr>
        <w:t>: “</w:t>
      </w:r>
      <w:r w:rsidRPr="00186905">
        <w:rPr>
          <w:i/>
          <w:lang w:val="en-GB"/>
        </w:rPr>
        <w:t>It is active in some committees and has a vice-chair, but it does not have a functioning Codex office</w:t>
      </w:r>
      <w:r>
        <w:rPr>
          <w:lang w:val="en-GB"/>
        </w:rPr>
        <w:t xml:space="preserve">.” Serbia has strong </w:t>
      </w:r>
      <w:r w:rsidR="008D1B1A">
        <w:rPr>
          <w:lang w:val="en-GB"/>
        </w:rPr>
        <w:t xml:space="preserve">scientific </w:t>
      </w:r>
      <w:r>
        <w:rPr>
          <w:lang w:val="en-GB"/>
        </w:rPr>
        <w:t>expertise in certain areas, but does not have a NCC.</w:t>
      </w:r>
    </w:p>
    <w:p w:rsidR="00444762" w:rsidRDefault="00444762" w:rsidP="00444762">
      <w:pPr>
        <w:rPr>
          <w:lang w:val="en-GB"/>
        </w:rPr>
      </w:pPr>
      <w:r>
        <w:rPr>
          <w:lang w:val="en-GB"/>
        </w:rPr>
        <w:t xml:space="preserve">From a programme theory perspective it is important that the hierarchy of objectives correlate with a programme’s mandate and scope of activities. If the objectives focus on participation then it makes sense that the activities focus on participation. However, the project document does not assign any priority to the first of the three objectives. In fact, they are listed with similar emphasis and if nothing else is said, that should mean that they are equally important. Objectives entailing national food safety capacity and institutions would be difficult to reach directly, while focusing on participation. This does not exclude that a narrow focus on participation, could have indirect positive impact on national food safety structures, as indeed was shown in </w:t>
      </w:r>
      <w:r w:rsidR="00A84844">
        <w:rPr>
          <w:lang w:val="en-GB"/>
        </w:rPr>
        <w:t>Chapter</w:t>
      </w:r>
      <w:r>
        <w:rPr>
          <w:lang w:val="en-GB"/>
        </w:rPr>
        <w:t xml:space="preserve"> 2.</w:t>
      </w:r>
    </w:p>
    <w:p w:rsidR="00D85203" w:rsidRDefault="00493A69">
      <w:pPr>
        <w:rPr>
          <w:lang w:val="en-GB"/>
        </w:rPr>
      </w:pPr>
      <w:r>
        <w:rPr>
          <w:lang w:val="en-GB"/>
        </w:rPr>
        <w:t>Given the strong support expressed by stakeholders there does not seem to be a need to revise the basic objectives of CTF within the lifetime of the programme. However, the way the objectives are formulated in the project document is somewhat unclear and complicated – e.g. what is the signification of initiating a “</w:t>
      </w:r>
      <w:r w:rsidRPr="000B4ADD">
        <w:rPr>
          <w:i/>
          <w:lang w:val="en-GB"/>
        </w:rPr>
        <w:t>programme of participation</w:t>
      </w:r>
      <w:r>
        <w:rPr>
          <w:lang w:val="en-GB"/>
        </w:rPr>
        <w:t xml:space="preserve"> in Commission meetings”? There is an opportunity to clarify the objectives and the outcomes of the programme, within the on-going work on developing a </w:t>
      </w:r>
      <w:r w:rsidR="008D1B1A">
        <w:rPr>
          <w:lang w:val="en-GB"/>
        </w:rPr>
        <w:t>monitoring and evaluation system</w:t>
      </w:r>
      <w:r>
        <w:rPr>
          <w:lang w:val="en-GB"/>
        </w:rPr>
        <w:t xml:space="preserve"> of the CTF. This issue is discussed in </w:t>
      </w:r>
      <w:r w:rsidR="00A84844">
        <w:rPr>
          <w:lang w:val="en-GB"/>
        </w:rPr>
        <w:t>Chapter</w:t>
      </w:r>
      <w:r>
        <w:rPr>
          <w:lang w:val="en-GB"/>
        </w:rPr>
        <w:t xml:space="preserve"> 5. </w:t>
      </w:r>
    </w:p>
    <w:p w:rsidR="00444762" w:rsidRDefault="008D1B1A">
      <w:pPr>
        <w:rPr>
          <w:lang w:val="en-GB"/>
        </w:rPr>
      </w:pPr>
      <w:r>
        <w:rPr>
          <w:lang w:val="en-GB"/>
        </w:rPr>
        <w:t xml:space="preserve">As has been pointed out by previous external reviews, the </w:t>
      </w:r>
      <w:r w:rsidR="00444762">
        <w:rPr>
          <w:lang w:val="en-GB"/>
        </w:rPr>
        <w:t xml:space="preserve"> first of the objectives and the first output, what we sum up as “increasing participation” </w:t>
      </w:r>
      <w:r>
        <w:rPr>
          <w:lang w:val="en-GB"/>
        </w:rPr>
        <w:t xml:space="preserve">has </w:t>
      </w:r>
      <w:r w:rsidR="00444762">
        <w:rPr>
          <w:lang w:val="en-GB"/>
        </w:rPr>
        <w:t xml:space="preserve">received priority. When the programme structure is now being reviewed, the sources for this priority should be addressed, as we cannot see that it follows from the programme logic. If the programme should be able to meet its objectives by 2016, there must be a sharp refocusing on the quality of participation and in bringing scientific research from developing countries to the Codex process. As this raises difficult issues of the division of labour with the FAO capacity building programmes, there is a </w:t>
      </w:r>
      <w:r w:rsidR="00444762">
        <w:rPr>
          <w:lang w:val="en-GB"/>
        </w:rPr>
        <w:lastRenderedPageBreak/>
        <w:t xml:space="preserve">need for increasing conceptual clarity on the subject. In the past, the vagueness seems to have been dealt with by avoiding the issue and refraining from any more significant activities relating to these objectives and outputs. As a consequence there is a danger that the whole set of programme objectives will not be met and a program that only meets one of three objectives would obviously be called a failure. </w:t>
      </w:r>
    </w:p>
    <w:p w:rsidR="00D85203" w:rsidRDefault="00332D84">
      <w:pPr>
        <w:pStyle w:val="Caption"/>
        <w:keepNext/>
        <w:rPr>
          <w:lang w:val="en-US"/>
        </w:rPr>
      </w:pPr>
      <w:bookmarkStart w:id="79" w:name="_Ref256605738"/>
      <w:bookmarkStart w:id="80" w:name="_Toc260389753"/>
      <w:r w:rsidRPr="00332D84">
        <w:rPr>
          <w:lang w:val="en-US"/>
        </w:rPr>
        <w:t xml:space="preserve">Box </w:t>
      </w:r>
      <w:r w:rsidR="00AE227F">
        <w:fldChar w:fldCharType="begin"/>
      </w:r>
      <w:r w:rsidRPr="00332D84">
        <w:rPr>
          <w:lang w:val="en-US"/>
        </w:rPr>
        <w:instrText xml:space="preserve"> SEQ Box \* ARABIC </w:instrText>
      </w:r>
      <w:r w:rsidR="00AE227F">
        <w:fldChar w:fldCharType="separate"/>
      </w:r>
      <w:r w:rsidR="004F08A8">
        <w:rPr>
          <w:noProof/>
          <w:lang w:val="en-US"/>
        </w:rPr>
        <w:t>1</w:t>
      </w:r>
      <w:r w:rsidR="00AE227F">
        <w:fldChar w:fldCharType="end"/>
      </w:r>
      <w:bookmarkEnd w:id="79"/>
      <w:r w:rsidRPr="00332D84">
        <w:rPr>
          <w:lang w:val="en-US"/>
        </w:rPr>
        <w:t xml:space="preserve"> Goal, objectives and expected output o</w:t>
      </w:r>
      <w:r w:rsidR="00742BFE">
        <w:rPr>
          <w:lang w:val="en-US"/>
        </w:rPr>
        <w:t>f the CTF</w:t>
      </w:r>
      <w:bookmarkEnd w:id="80"/>
    </w:p>
    <w:tbl>
      <w:tblPr>
        <w:tblStyle w:val="TableGrid"/>
        <w:tblW w:w="0" w:type="auto"/>
        <w:tblLook w:val="04A0" w:firstRow="1" w:lastRow="0" w:firstColumn="1" w:lastColumn="0" w:noHBand="0" w:noVBand="1"/>
      </w:tblPr>
      <w:tblGrid>
        <w:gridCol w:w="9204"/>
      </w:tblGrid>
      <w:tr w:rsidR="00493A69" w:rsidRPr="00B75C62">
        <w:tc>
          <w:tcPr>
            <w:tcW w:w="9204" w:type="dxa"/>
          </w:tcPr>
          <w:p w:rsidR="00493A69" w:rsidRPr="00D65909" w:rsidRDefault="00493A69" w:rsidP="00493A69">
            <w:pPr>
              <w:autoSpaceDE w:val="0"/>
              <w:autoSpaceDN w:val="0"/>
              <w:adjustRightInd w:val="0"/>
              <w:spacing w:after="0"/>
              <w:rPr>
                <w:rFonts w:eastAsiaTheme="minorHAnsi"/>
                <w:b/>
                <w:sz w:val="20"/>
                <w:szCs w:val="20"/>
                <w:lang w:val="en-US" w:eastAsia="en-US"/>
              </w:rPr>
            </w:pPr>
            <w:r w:rsidRPr="00D65909">
              <w:rPr>
                <w:rFonts w:eastAsiaTheme="minorHAnsi"/>
                <w:b/>
                <w:sz w:val="20"/>
                <w:szCs w:val="20"/>
                <w:lang w:val="en-US" w:eastAsia="en-US"/>
              </w:rPr>
              <w:t>Development goal</w:t>
            </w:r>
          </w:p>
          <w:p w:rsidR="00493A69" w:rsidRPr="00D65909" w:rsidRDefault="00493A69" w:rsidP="00493A69">
            <w:pPr>
              <w:autoSpaceDE w:val="0"/>
              <w:autoSpaceDN w:val="0"/>
              <w:adjustRightInd w:val="0"/>
              <w:spacing w:after="0"/>
              <w:rPr>
                <w:rFonts w:eastAsiaTheme="minorHAnsi"/>
                <w:sz w:val="20"/>
                <w:szCs w:val="20"/>
                <w:lang w:val="en-US" w:eastAsia="en-US"/>
              </w:rPr>
            </w:pPr>
            <w:r w:rsidRPr="00D65909">
              <w:rPr>
                <w:rFonts w:eastAsiaTheme="minorHAnsi"/>
                <w:sz w:val="20"/>
                <w:szCs w:val="20"/>
                <w:lang w:val="en-US" w:eastAsia="en-US"/>
              </w:rPr>
              <w:t>The goal of the Project and Fund is to further the improvement of global public health and food security by promoting the provision of safer and more nutritious food and contributing to a reduction in foodborne disease. This will be achieved by (a) helping regulators and food experts from all areas of the world to participate in international standard-setting work in the framework of Codex and (b) enhancing their capacity to help establish effective food safety and quality standards and fair practices in the food trade, both in the framework of the Codex Alimentarius and in their own countries.</w:t>
            </w:r>
          </w:p>
          <w:p w:rsidR="00493A69" w:rsidRPr="00D65909" w:rsidRDefault="00493A69" w:rsidP="00493A69">
            <w:pPr>
              <w:autoSpaceDE w:val="0"/>
              <w:autoSpaceDN w:val="0"/>
              <w:adjustRightInd w:val="0"/>
              <w:spacing w:after="0"/>
              <w:rPr>
                <w:rFonts w:eastAsiaTheme="minorHAnsi"/>
                <w:sz w:val="20"/>
                <w:szCs w:val="20"/>
                <w:lang w:val="en-US" w:eastAsia="en-US"/>
              </w:rPr>
            </w:pPr>
          </w:p>
          <w:p w:rsidR="00D85203" w:rsidRDefault="00493A69">
            <w:pPr>
              <w:pStyle w:val="BodyText"/>
              <w:spacing w:after="0" w:line="240" w:lineRule="auto"/>
              <w:jc w:val="left"/>
              <w:rPr>
                <w:rFonts w:ascii="Garamond" w:eastAsia="SimSun" w:hAnsi="Garamond" w:cs="Times New Roman"/>
                <w:b/>
                <w:bCs/>
                <w:color w:val="4F81BD" w:themeColor="accent1"/>
                <w:sz w:val="20"/>
                <w:szCs w:val="20"/>
                <w:lang w:val="en-US"/>
              </w:rPr>
            </w:pPr>
            <w:r w:rsidRPr="00D65909">
              <w:rPr>
                <w:rFonts w:ascii="Garamond" w:eastAsia="SimSun" w:hAnsi="Garamond" w:cs="Times New Roman"/>
                <w:b/>
                <w:bCs/>
                <w:sz w:val="20"/>
                <w:szCs w:val="20"/>
                <w:lang w:val="en-US"/>
              </w:rPr>
              <w:t>Key objective</w:t>
            </w:r>
            <w:r w:rsidRPr="00D65909">
              <w:rPr>
                <w:rFonts w:ascii="Garamond" w:eastAsia="SimSun" w:hAnsi="Garamond" w:cs="Times New Roman"/>
                <w:b/>
                <w:bCs/>
                <w:sz w:val="20"/>
                <w:szCs w:val="20"/>
                <w:lang w:val="en-US"/>
              </w:rPr>
              <w:br/>
            </w:r>
            <w:r w:rsidRPr="00D65909">
              <w:rPr>
                <w:rFonts w:ascii="Garamond" w:eastAsia="SimSun" w:hAnsi="Garamond" w:cs="Times New Roman"/>
                <w:sz w:val="20"/>
                <w:szCs w:val="20"/>
                <w:lang w:val="en-US"/>
              </w:rPr>
              <w:t>To help developing countries and those with economies in transition (target countries of the CTF) to enhance their level of effective participation in the development of global food safety and quality standards by the Codex Alimentarius Commission (CAC).</w:t>
            </w:r>
          </w:p>
          <w:p w:rsidR="00493A69" w:rsidRPr="00D65909" w:rsidRDefault="00493A69" w:rsidP="00493A69">
            <w:pPr>
              <w:pStyle w:val="BodyText"/>
              <w:spacing w:after="0" w:line="240" w:lineRule="auto"/>
              <w:rPr>
                <w:rFonts w:ascii="Garamond" w:eastAsia="SimSun" w:hAnsi="Garamond" w:cs="Times New Roman"/>
                <w:sz w:val="20"/>
                <w:szCs w:val="20"/>
                <w:lang w:val="en-US"/>
              </w:rPr>
            </w:pPr>
          </w:p>
          <w:p w:rsidR="00493A69" w:rsidRPr="00D65909" w:rsidRDefault="00493A69" w:rsidP="00493A69">
            <w:pPr>
              <w:pStyle w:val="BodyText"/>
              <w:spacing w:after="0" w:line="240" w:lineRule="auto"/>
              <w:rPr>
                <w:rFonts w:ascii="Garamond" w:eastAsia="SimSun" w:hAnsi="Garamond" w:cs="Times New Roman"/>
                <w:b/>
                <w:bCs/>
                <w:sz w:val="20"/>
                <w:szCs w:val="20"/>
                <w:lang w:val="en-US"/>
              </w:rPr>
            </w:pPr>
            <w:r w:rsidRPr="00D65909">
              <w:rPr>
                <w:rFonts w:ascii="Garamond" w:eastAsia="SimSun" w:hAnsi="Garamond" w:cs="Times New Roman"/>
                <w:b/>
                <w:bCs/>
                <w:sz w:val="20"/>
                <w:szCs w:val="20"/>
                <w:lang w:val="en-US"/>
              </w:rPr>
              <w:t>Immediate objective 1</w:t>
            </w:r>
          </w:p>
          <w:p w:rsidR="00493A69" w:rsidRPr="00D65909" w:rsidRDefault="00493A69" w:rsidP="00493A69">
            <w:pPr>
              <w:pStyle w:val="BodyText"/>
              <w:spacing w:after="0" w:line="240" w:lineRule="auto"/>
              <w:rPr>
                <w:rFonts w:ascii="Garamond" w:eastAsia="SimSun" w:hAnsi="Garamond" w:cs="Times New Roman"/>
                <w:sz w:val="20"/>
                <w:szCs w:val="20"/>
                <w:lang w:val="en-US"/>
              </w:rPr>
            </w:pPr>
            <w:r w:rsidRPr="00D65909">
              <w:rPr>
                <w:rFonts w:ascii="Garamond" w:eastAsia="SimSun" w:hAnsi="Garamond" w:cs="Times New Roman"/>
                <w:sz w:val="20"/>
                <w:szCs w:val="20"/>
                <w:lang w:val="en-US"/>
              </w:rPr>
              <w:t>Countries that are members of the CAC, but which are unable to effectively participate in the CAC and its committee/task force process because of the limited availability of government funds to support an ongoing presence in the continuing work of the Commission and its committees, will be assisted to initiate a programme of participation in Commission meetings and in the work of those committees/task forces addressing issues of priority health and economic concern to them.</w:t>
            </w:r>
          </w:p>
          <w:p w:rsidR="00493A69" w:rsidRPr="00D65909" w:rsidRDefault="00493A69" w:rsidP="00493A69">
            <w:pPr>
              <w:pStyle w:val="BodyText"/>
              <w:spacing w:after="0" w:line="240" w:lineRule="auto"/>
              <w:rPr>
                <w:rFonts w:ascii="Garamond" w:eastAsia="SimSun" w:hAnsi="Garamond" w:cs="Times New Roman"/>
                <w:sz w:val="20"/>
                <w:szCs w:val="20"/>
                <w:lang w:val="en-US"/>
              </w:rPr>
            </w:pPr>
          </w:p>
          <w:p w:rsidR="00493A69" w:rsidRPr="00D65909" w:rsidRDefault="00493A69" w:rsidP="00493A69">
            <w:pPr>
              <w:pStyle w:val="BodyText"/>
              <w:spacing w:after="0" w:line="240" w:lineRule="auto"/>
              <w:rPr>
                <w:rFonts w:ascii="Garamond" w:eastAsia="SimSun" w:hAnsi="Garamond" w:cs="Times New Roman"/>
                <w:b/>
                <w:bCs/>
                <w:sz w:val="20"/>
                <w:szCs w:val="20"/>
                <w:lang w:val="en-US"/>
              </w:rPr>
            </w:pPr>
            <w:r w:rsidRPr="00D65909">
              <w:rPr>
                <w:rFonts w:ascii="Garamond" w:eastAsia="SimSun" w:hAnsi="Garamond" w:cs="Times New Roman"/>
                <w:b/>
                <w:bCs/>
                <w:sz w:val="20"/>
                <w:szCs w:val="20"/>
                <w:lang w:val="en-US"/>
              </w:rPr>
              <w:t>Immediate objective 2</w:t>
            </w:r>
          </w:p>
          <w:p w:rsidR="00493A69" w:rsidRPr="00D65909" w:rsidRDefault="00493A69" w:rsidP="00493A69">
            <w:pPr>
              <w:pStyle w:val="BodyText"/>
              <w:spacing w:after="0" w:line="240" w:lineRule="auto"/>
              <w:rPr>
                <w:rFonts w:ascii="Garamond" w:eastAsia="SimSun" w:hAnsi="Garamond" w:cs="Times New Roman"/>
                <w:sz w:val="20"/>
                <w:szCs w:val="20"/>
                <w:lang w:val="en-US"/>
              </w:rPr>
            </w:pPr>
            <w:r w:rsidRPr="00D65909">
              <w:rPr>
                <w:rFonts w:ascii="Garamond" w:eastAsia="SimSun" w:hAnsi="Garamond" w:cs="Times New Roman"/>
                <w:sz w:val="20"/>
                <w:szCs w:val="20"/>
                <w:lang w:val="en-US"/>
              </w:rPr>
              <w:t>Countries that are members of the CAC, that have as yet to routinely develop and put forth national considerations in the Codex standard setting process, will be empowered to effectively prepare for and participate in the work of those committees addressing issues of priority health and economic concern to them.</w:t>
            </w:r>
          </w:p>
          <w:p w:rsidR="00493A69" w:rsidRPr="00D65909" w:rsidRDefault="00493A69" w:rsidP="00493A69">
            <w:pPr>
              <w:pStyle w:val="BodyText"/>
              <w:spacing w:after="0" w:line="240" w:lineRule="auto"/>
              <w:rPr>
                <w:rFonts w:ascii="Garamond" w:eastAsia="SimSun" w:hAnsi="Garamond" w:cs="Times New Roman"/>
                <w:sz w:val="20"/>
                <w:szCs w:val="20"/>
                <w:lang w:val="en-US"/>
              </w:rPr>
            </w:pPr>
          </w:p>
          <w:p w:rsidR="00493A69" w:rsidRPr="00D65909" w:rsidRDefault="00493A69" w:rsidP="00493A69">
            <w:pPr>
              <w:pStyle w:val="BodyText"/>
              <w:spacing w:after="0" w:line="240" w:lineRule="auto"/>
              <w:rPr>
                <w:rFonts w:ascii="Garamond" w:eastAsia="SimSun" w:hAnsi="Garamond" w:cs="Times New Roman"/>
                <w:b/>
                <w:bCs/>
                <w:sz w:val="20"/>
                <w:szCs w:val="20"/>
                <w:lang w:val="en-US"/>
              </w:rPr>
            </w:pPr>
            <w:r w:rsidRPr="00D65909">
              <w:rPr>
                <w:rFonts w:ascii="Garamond" w:eastAsia="SimSun" w:hAnsi="Garamond" w:cs="Times New Roman"/>
                <w:b/>
                <w:bCs/>
                <w:sz w:val="20"/>
                <w:szCs w:val="20"/>
                <w:lang w:val="en-US"/>
              </w:rPr>
              <w:t>Immediate objective 3</w:t>
            </w:r>
          </w:p>
          <w:p w:rsidR="00493A69" w:rsidRPr="00D65909" w:rsidRDefault="00493A69" w:rsidP="00493A69">
            <w:pPr>
              <w:pStyle w:val="BodyText"/>
              <w:spacing w:after="0" w:line="240" w:lineRule="auto"/>
              <w:rPr>
                <w:rFonts w:ascii="Garamond" w:eastAsia="SimSun" w:hAnsi="Garamond" w:cs="Times New Roman"/>
                <w:sz w:val="20"/>
                <w:szCs w:val="20"/>
                <w:lang w:val="en-US"/>
              </w:rPr>
            </w:pPr>
            <w:r w:rsidRPr="00D65909">
              <w:rPr>
                <w:rFonts w:ascii="Garamond" w:eastAsia="SimSun" w:hAnsi="Garamond" w:cs="Times New Roman"/>
                <w:sz w:val="20"/>
                <w:szCs w:val="20"/>
                <w:lang w:val="en-US"/>
              </w:rPr>
              <w:t>Countries that are members of the CAC, that have as yet to participate actively in the provision of scientific/technical data in support of the standard setting process, will be assisted to initiate a programme of scientific/technical participation in committees addressing issues of priority health and economic concern to them.</w:t>
            </w:r>
          </w:p>
          <w:p w:rsidR="00493A69" w:rsidRPr="00D65909" w:rsidRDefault="00493A69" w:rsidP="00493A69">
            <w:pPr>
              <w:pStyle w:val="BodyText"/>
              <w:spacing w:after="0" w:line="240" w:lineRule="auto"/>
              <w:rPr>
                <w:rFonts w:ascii="Garamond" w:eastAsia="SimSun" w:hAnsi="Garamond" w:cs="Times New Roman"/>
                <w:sz w:val="20"/>
                <w:szCs w:val="20"/>
                <w:lang w:val="en-US"/>
              </w:rPr>
            </w:pPr>
          </w:p>
          <w:p w:rsidR="00493A69" w:rsidRPr="00D65909" w:rsidRDefault="00493A69" w:rsidP="00493A69">
            <w:pPr>
              <w:pStyle w:val="BodyText"/>
              <w:spacing w:after="0" w:line="240" w:lineRule="auto"/>
              <w:rPr>
                <w:rFonts w:ascii="Garamond" w:eastAsia="SimSun" w:hAnsi="Garamond" w:cs="Times New Roman"/>
                <w:b/>
                <w:bCs/>
                <w:sz w:val="20"/>
                <w:szCs w:val="20"/>
                <w:lang w:val="en-US"/>
              </w:rPr>
            </w:pPr>
            <w:r w:rsidRPr="00D65909">
              <w:rPr>
                <w:rFonts w:ascii="Garamond" w:eastAsia="SimSun" w:hAnsi="Garamond" w:cs="Times New Roman"/>
                <w:b/>
                <w:bCs/>
                <w:sz w:val="20"/>
                <w:szCs w:val="20"/>
                <w:lang w:val="en-US"/>
              </w:rPr>
              <w:t>Output I – Widening participation in Codex</w:t>
            </w:r>
          </w:p>
          <w:p w:rsidR="00493A69" w:rsidRPr="00D65909" w:rsidRDefault="00493A69" w:rsidP="00493A69">
            <w:pPr>
              <w:pStyle w:val="BodyText"/>
              <w:spacing w:after="0" w:line="240" w:lineRule="auto"/>
              <w:rPr>
                <w:rFonts w:ascii="Garamond" w:eastAsia="SimSun" w:hAnsi="Garamond" w:cs="Times New Roman"/>
                <w:sz w:val="20"/>
                <w:szCs w:val="20"/>
                <w:lang w:val="en-US"/>
              </w:rPr>
            </w:pPr>
            <w:r w:rsidRPr="00D65909">
              <w:rPr>
                <w:rFonts w:ascii="Garamond" w:eastAsia="SimSun" w:hAnsi="Garamond" w:cs="Times New Roman"/>
                <w:sz w:val="20"/>
                <w:szCs w:val="20"/>
                <w:lang w:val="en-US"/>
              </w:rPr>
              <w:t>The number of countries routinely providing delegations to CAC sessions and to its committees/task forces, that address issues of priority health and economic concern for their specific countries, will have increased.</w:t>
            </w:r>
          </w:p>
          <w:p w:rsidR="00493A69" w:rsidRPr="00D65909" w:rsidRDefault="00493A69" w:rsidP="00493A69">
            <w:pPr>
              <w:pStyle w:val="BodyText"/>
              <w:spacing w:after="0" w:line="240" w:lineRule="auto"/>
              <w:rPr>
                <w:rFonts w:ascii="Garamond" w:eastAsia="SimSun" w:hAnsi="Garamond" w:cs="Times New Roman"/>
                <w:sz w:val="20"/>
                <w:szCs w:val="20"/>
                <w:lang w:val="en-US"/>
              </w:rPr>
            </w:pPr>
          </w:p>
          <w:p w:rsidR="00493A69" w:rsidRPr="00D65909" w:rsidRDefault="00493A69" w:rsidP="00493A69">
            <w:pPr>
              <w:pStyle w:val="BodyText"/>
              <w:spacing w:after="0" w:line="240" w:lineRule="auto"/>
              <w:rPr>
                <w:rFonts w:ascii="Garamond" w:eastAsia="SimSun" w:hAnsi="Garamond" w:cs="Times New Roman"/>
                <w:b/>
                <w:bCs/>
                <w:sz w:val="20"/>
                <w:szCs w:val="20"/>
                <w:lang w:val="en-US"/>
              </w:rPr>
            </w:pPr>
            <w:r w:rsidRPr="00D65909">
              <w:rPr>
                <w:rFonts w:ascii="Garamond" w:eastAsia="SimSun" w:hAnsi="Garamond" w:cs="Times New Roman"/>
                <w:b/>
                <w:bCs/>
                <w:sz w:val="20"/>
                <w:szCs w:val="20"/>
                <w:lang w:val="en-US"/>
              </w:rPr>
              <w:t>Output II – Strengthening overall participation in Codex</w:t>
            </w:r>
          </w:p>
          <w:p w:rsidR="00493A69" w:rsidRPr="00D65909" w:rsidRDefault="00493A69" w:rsidP="00493A69">
            <w:pPr>
              <w:pStyle w:val="BodyText"/>
              <w:spacing w:after="0" w:line="240" w:lineRule="auto"/>
              <w:rPr>
                <w:rFonts w:ascii="Garamond" w:eastAsia="SimSun" w:hAnsi="Garamond" w:cs="Times New Roman"/>
                <w:sz w:val="20"/>
                <w:szCs w:val="20"/>
                <w:lang w:val="en-US"/>
              </w:rPr>
            </w:pPr>
            <w:r w:rsidRPr="00D65909">
              <w:rPr>
                <w:rFonts w:ascii="Garamond" w:eastAsia="SimSun" w:hAnsi="Garamond" w:cs="Times New Roman"/>
                <w:sz w:val="20"/>
                <w:szCs w:val="20"/>
                <w:lang w:val="en-US"/>
              </w:rPr>
              <w:t>The number of countries routinely developing and putting forth national considerations in the Codex standard setting process will have increased along with their participation in Codex committees/task forces.</w:t>
            </w:r>
          </w:p>
          <w:p w:rsidR="00493A69" w:rsidRPr="00D65909" w:rsidRDefault="00493A69" w:rsidP="00493A69">
            <w:pPr>
              <w:pStyle w:val="BodyText"/>
              <w:spacing w:after="0" w:line="240" w:lineRule="auto"/>
              <w:rPr>
                <w:rFonts w:ascii="Garamond" w:eastAsia="SimSun" w:hAnsi="Garamond" w:cs="Times New Roman"/>
                <w:sz w:val="20"/>
                <w:szCs w:val="20"/>
                <w:lang w:val="en-US"/>
              </w:rPr>
            </w:pPr>
          </w:p>
          <w:p w:rsidR="00493A69" w:rsidRPr="00D65909" w:rsidRDefault="00493A69" w:rsidP="00493A69">
            <w:pPr>
              <w:pStyle w:val="BodyText"/>
              <w:spacing w:after="0" w:line="240" w:lineRule="auto"/>
              <w:rPr>
                <w:rFonts w:ascii="Garamond" w:eastAsia="SimSun" w:hAnsi="Garamond" w:cs="Times New Roman"/>
                <w:b/>
                <w:bCs/>
                <w:sz w:val="20"/>
                <w:szCs w:val="20"/>
                <w:lang w:val="en-US"/>
              </w:rPr>
            </w:pPr>
            <w:r w:rsidRPr="00D65909">
              <w:rPr>
                <w:rFonts w:ascii="Garamond" w:eastAsia="SimSun" w:hAnsi="Garamond" w:cs="Times New Roman"/>
                <w:b/>
                <w:bCs/>
                <w:sz w:val="20"/>
                <w:szCs w:val="20"/>
                <w:lang w:val="en-US"/>
              </w:rPr>
              <w:t>Output III – Enhancing scientific/technical participation in Codex</w:t>
            </w:r>
          </w:p>
          <w:p w:rsidR="00493A69" w:rsidRPr="00CA4365" w:rsidRDefault="00493A69" w:rsidP="00493A69">
            <w:pPr>
              <w:rPr>
                <w:sz w:val="20"/>
                <w:szCs w:val="20"/>
                <w:lang w:val="en-US"/>
              </w:rPr>
            </w:pPr>
            <w:r w:rsidRPr="00D65909">
              <w:rPr>
                <w:rFonts w:eastAsia="SimSun"/>
                <w:sz w:val="20"/>
                <w:szCs w:val="20"/>
                <w:lang w:val="en-US"/>
              </w:rPr>
              <w:t>The number of countries that are actively providing scientific/technical advice in support of the Codex standard setting process will have increased.</w:t>
            </w:r>
            <w:r w:rsidRPr="00CA4365">
              <w:rPr>
                <w:sz w:val="20"/>
                <w:szCs w:val="20"/>
                <w:lang w:val="en-US"/>
              </w:rPr>
              <w:t xml:space="preserve"> </w:t>
            </w:r>
          </w:p>
        </w:tc>
      </w:tr>
    </w:tbl>
    <w:p w:rsidR="00493A69" w:rsidRDefault="00493A69" w:rsidP="00493A69">
      <w:pPr>
        <w:spacing w:after="100" w:afterAutospacing="1"/>
        <w:rPr>
          <w:sz w:val="22"/>
          <w:lang w:val="en-GB"/>
        </w:rPr>
      </w:pPr>
    </w:p>
    <w:p w:rsidR="00493A69" w:rsidRPr="001E3D43" w:rsidRDefault="00493A69" w:rsidP="00493A69">
      <w:pPr>
        <w:pStyle w:val="Heading2"/>
        <w:rPr>
          <w:lang w:val="en-GB"/>
        </w:rPr>
      </w:pPr>
      <w:bookmarkStart w:id="81" w:name="_Toc260389733"/>
      <w:r>
        <w:rPr>
          <w:lang w:val="en-GB"/>
        </w:rPr>
        <w:t>Country groupings, matched funding</w:t>
      </w:r>
      <w:r w:rsidRPr="001E3D43">
        <w:rPr>
          <w:lang w:val="en-GB"/>
        </w:rPr>
        <w:t xml:space="preserve"> and graduation</w:t>
      </w:r>
      <w:bookmarkEnd w:id="81"/>
    </w:p>
    <w:p w:rsidR="00D85203" w:rsidRDefault="00493A69">
      <w:pPr>
        <w:rPr>
          <w:lang w:val="en-GB"/>
        </w:rPr>
      </w:pPr>
      <w:r>
        <w:rPr>
          <w:lang w:val="en-GB"/>
        </w:rPr>
        <w:t xml:space="preserve">The arrangement for country groupings, matched funding and graduation is one of the </w:t>
      </w:r>
      <w:r w:rsidR="00444762">
        <w:rPr>
          <w:lang w:val="en-GB"/>
        </w:rPr>
        <w:t>more</w:t>
      </w:r>
      <w:r>
        <w:rPr>
          <w:lang w:val="en-GB"/>
        </w:rPr>
        <w:t xml:space="preserve"> controversial aspects of the CTF. Some beneficiary countries, in Latin America in particular, have expressed concern</w:t>
      </w:r>
      <w:r w:rsidR="00190EC8">
        <w:rPr>
          <w:lang w:val="en-GB"/>
        </w:rPr>
        <w:t xml:space="preserve"> that the criteria used for determining eligibility and phase out periods are biased</w:t>
      </w:r>
      <w:r>
        <w:rPr>
          <w:lang w:val="en-GB"/>
        </w:rPr>
        <w:t>. The debate has reached such proportions that, in the words of one of the Codex Chairs: “</w:t>
      </w:r>
      <w:r w:rsidRPr="00C90EFB">
        <w:rPr>
          <w:i/>
          <w:lang w:val="en-GB"/>
        </w:rPr>
        <w:t>[t]his issue affects the whole Codex process. We cannot allow this malignancy to grow</w:t>
      </w:r>
      <w:r w:rsidRPr="00C90EFB">
        <w:rPr>
          <w:lang w:val="en-GB"/>
        </w:rPr>
        <w:t>.</w:t>
      </w:r>
      <w:r>
        <w:rPr>
          <w:lang w:val="en-GB"/>
        </w:rPr>
        <w:t xml:space="preserve">” </w:t>
      </w:r>
    </w:p>
    <w:p w:rsidR="00D85203" w:rsidRDefault="00493A69">
      <w:pPr>
        <w:rPr>
          <w:lang w:val="en-GB"/>
        </w:rPr>
      </w:pPr>
      <w:r>
        <w:rPr>
          <w:lang w:val="en-GB"/>
        </w:rPr>
        <w:lastRenderedPageBreak/>
        <w:t>The question of who should benefit from the CTF and from which type of activities relates to the perception that certain CTF beneficiaries are not up to standards that was discussed above and that some countries have low capacity to make participation effective. At the same time it can be asserted that there is a learning process in terms of preparing countries for Codex participation and it takes time for national structures to evolve. In addition, donors have aid priorities</w:t>
      </w:r>
      <w:r w:rsidR="00190EC8">
        <w:rPr>
          <w:lang w:val="en-GB"/>
        </w:rPr>
        <w:t xml:space="preserve">, often </w:t>
      </w:r>
      <w:r w:rsidR="00FB743D">
        <w:rPr>
          <w:lang w:val="en-GB"/>
        </w:rPr>
        <w:t>with a focus</w:t>
      </w:r>
      <w:r w:rsidR="00190EC8">
        <w:rPr>
          <w:lang w:val="en-GB"/>
        </w:rPr>
        <w:t xml:space="preserve"> on the poorest </w:t>
      </w:r>
      <w:r w:rsidR="00FB743D">
        <w:rPr>
          <w:lang w:val="en-GB"/>
        </w:rPr>
        <w:t>countries, which</w:t>
      </w:r>
      <w:r>
        <w:rPr>
          <w:lang w:val="en-GB"/>
        </w:rPr>
        <w:t xml:space="preserve"> have to be met. There is also a need to establish transparent and objective allocation criteria. To this background, what is a ‘fair’ distribution of CTF resources? </w:t>
      </w:r>
    </w:p>
    <w:p w:rsidR="00D85203" w:rsidRDefault="00493A69">
      <w:pPr>
        <w:rPr>
          <w:lang w:val="en-GB"/>
        </w:rPr>
      </w:pPr>
      <w:r>
        <w:rPr>
          <w:lang w:val="en-GB"/>
        </w:rPr>
        <w:t xml:space="preserve">The current allocation system is based on country groupings, in which countries are </w:t>
      </w:r>
      <w:r w:rsidR="00FB743D">
        <w:rPr>
          <w:lang w:val="en-GB"/>
        </w:rPr>
        <w:t>placed,</w:t>
      </w:r>
      <w:r>
        <w:rPr>
          <w:lang w:val="en-GB"/>
        </w:rPr>
        <w:t xml:space="preserve"> based on a set of criteria relating </w:t>
      </w:r>
      <w:r w:rsidRPr="00AF50EC">
        <w:rPr>
          <w:lang w:val="en-GB"/>
        </w:rPr>
        <w:t>the list of Least Developed Countries established by the United Nations Economic and Social Council, the World Bank classification of economies and the UNDP Human Development Index.</w:t>
      </w:r>
      <w:r>
        <w:rPr>
          <w:rStyle w:val="FootnoteReference"/>
          <w:sz w:val="22"/>
          <w:lang w:val="en-GB"/>
        </w:rPr>
        <w:footnoteReference w:id="12"/>
      </w:r>
      <w:r w:rsidRPr="00AF50EC">
        <w:rPr>
          <w:lang w:val="en-GB"/>
        </w:rPr>
        <w:t xml:space="preserve"> </w:t>
      </w:r>
      <w:r>
        <w:rPr>
          <w:lang w:val="en-GB"/>
        </w:rPr>
        <w:t xml:space="preserve">The list of eligible countries is reviewed annually. The original groupings are presented in </w:t>
      </w:r>
      <w:r w:rsidR="00AE227F">
        <w:rPr>
          <w:lang w:val="en-GB"/>
        </w:rPr>
        <w:fldChar w:fldCharType="begin"/>
      </w:r>
      <w:r w:rsidR="00FB743D">
        <w:rPr>
          <w:lang w:val="en-GB"/>
        </w:rPr>
        <w:instrText xml:space="preserve"> REF _Ref256611185 \h </w:instrText>
      </w:r>
      <w:r w:rsidR="00AE227F">
        <w:rPr>
          <w:lang w:val="en-GB"/>
        </w:rPr>
      </w:r>
      <w:r w:rsidR="00AE227F">
        <w:rPr>
          <w:lang w:val="en-GB"/>
        </w:rPr>
        <w:fldChar w:fldCharType="separate"/>
      </w:r>
      <w:r w:rsidR="004F08A8" w:rsidRPr="00332D84">
        <w:rPr>
          <w:lang w:val="en-US"/>
        </w:rPr>
        <w:t xml:space="preserve">Table </w:t>
      </w:r>
      <w:r w:rsidR="004F08A8">
        <w:rPr>
          <w:noProof/>
          <w:lang w:val="en-US"/>
        </w:rPr>
        <w:t>7</w:t>
      </w:r>
      <w:r w:rsidR="00AE227F">
        <w:rPr>
          <w:lang w:val="en-GB"/>
        </w:rPr>
        <w:fldChar w:fldCharType="end"/>
      </w:r>
      <w:r>
        <w:rPr>
          <w:lang w:val="en-GB"/>
        </w:rPr>
        <w:t xml:space="preserve">. </w:t>
      </w:r>
    </w:p>
    <w:p w:rsidR="00BD3FA0" w:rsidRDefault="00BD3FA0" w:rsidP="00BD3FA0">
      <w:pPr>
        <w:pStyle w:val="Caption"/>
        <w:keepNext/>
        <w:rPr>
          <w:lang w:val="en-US"/>
        </w:rPr>
      </w:pPr>
      <w:bookmarkStart w:id="82" w:name="_Ref256611185"/>
      <w:bookmarkStart w:id="83" w:name="_Toc260036742"/>
      <w:r w:rsidRPr="00332D84">
        <w:rPr>
          <w:lang w:val="en-US"/>
        </w:rPr>
        <w:t xml:space="preserve">Table </w:t>
      </w:r>
      <w:r w:rsidR="00AE227F">
        <w:fldChar w:fldCharType="begin"/>
      </w:r>
      <w:r w:rsidRPr="00332D84">
        <w:rPr>
          <w:lang w:val="en-US"/>
        </w:rPr>
        <w:instrText xml:space="preserve"> SEQ Table \* ARABIC </w:instrText>
      </w:r>
      <w:r w:rsidR="00AE227F">
        <w:fldChar w:fldCharType="separate"/>
      </w:r>
      <w:r w:rsidR="004F08A8">
        <w:rPr>
          <w:noProof/>
          <w:lang w:val="en-US"/>
        </w:rPr>
        <w:t>7</w:t>
      </w:r>
      <w:r w:rsidR="00AE227F">
        <w:fldChar w:fldCharType="end"/>
      </w:r>
      <w:bookmarkEnd w:id="82"/>
      <w:r w:rsidRPr="00332D84">
        <w:rPr>
          <w:lang w:val="en-US"/>
        </w:rPr>
        <w:t xml:space="preserve"> CTF country groups</w:t>
      </w:r>
      <w:r>
        <w:rPr>
          <w:lang w:val="en-US"/>
        </w:rPr>
        <w:t xml:space="preserve"> and graduation</w:t>
      </w:r>
      <w:bookmarkEnd w:id="83"/>
    </w:p>
    <w:tbl>
      <w:tblPr>
        <w:tblStyle w:val="MediumGrid3-Accent1"/>
        <w:tblW w:w="0" w:type="auto"/>
        <w:tblLook w:val="04A0" w:firstRow="1" w:lastRow="0" w:firstColumn="1" w:lastColumn="0" w:noHBand="0" w:noVBand="1"/>
      </w:tblPr>
      <w:tblGrid>
        <w:gridCol w:w="1015"/>
        <w:gridCol w:w="2365"/>
        <w:gridCol w:w="1109"/>
        <w:gridCol w:w="1109"/>
        <w:gridCol w:w="1164"/>
        <w:gridCol w:w="1287"/>
        <w:gridCol w:w="1231"/>
      </w:tblGrid>
      <w:tr w:rsidR="00BD3FA0" w:rsidRPr="000153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dxa"/>
          </w:tcPr>
          <w:p w:rsidR="00BD3FA0" w:rsidRPr="00117572" w:rsidRDefault="00BD3FA0" w:rsidP="000239A3">
            <w:pPr>
              <w:spacing w:after="100" w:afterAutospacing="1"/>
              <w:rPr>
                <w:rFonts w:asciiTheme="minorHAnsi" w:hAnsiTheme="minorHAnsi"/>
                <w:szCs w:val="20"/>
                <w:lang w:val="en-GB"/>
              </w:rPr>
            </w:pPr>
          </w:p>
        </w:tc>
        <w:tc>
          <w:tcPr>
            <w:tcW w:w="2368" w:type="dxa"/>
          </w:tcPr>
          <w:p w:rsidR="00BD3FA0" w:rsidRPr="00117572" w:rsidRDefault="00BD3FA0" w:rsidP="000239A3">
            <w:pPr>
              <w:spacing w:after="100" w:afterAutospacing="1"/>
              <w:jc w:val="left"/>
              <w:cnfStyle w:val="100000000000" w:firstRow="1" w:lastRow="0" w:firstColumn="0" w:lastColumn="0" w:oddVBand="0" w:evenVBand="0" w:oddHBand="0" w:evenHBand="0" w:firstRowFirstColumn="0" w:firstRowLastColumn="0" w:lastRowFirstColumn="0" w:lastRowLastColumn="0"/>
              <w:rPr>
                <w:rFonts w:asciiTheme="minorHAnsi" w:hAnsiTheme="minorHAnsi"/>
                <w:szCs w:val="20"/>
                <w:lang w:val="en-GB"/>
              </w:rPr>
            </w:pPr>
            <w:r w:rsidRPr="00117572">
              <w:rPr>
                <w:rFonts w:asciiTheme="minorHAnsi" w:hAnsiTheme="minorHAnsi"/>
                <w:szCs w:val="20"/>
                <w:lang w:val="en-GB"/>
              </w:rPr>
              <w:t>Criteria</w:t>
            </w:r>
          </w:p>
        </w:tc>
        <w:tc>
          <w:tcPr>
            <w:tcW w:w="1109" w:type="dxa"/>
          </w:tcPr>
          <w:p w:rsidR="00BD3FA0" w:rsidRPr="00117572" w:rsidRDefault="00BD3FA0" w:rsidP="000239A3">
            <w:pPr>
              <w:spacing w:after="100" w:afterAutospacing="1"/>
              <w:jc w:val="right"/>
              <w:cnfStyle w:val="100000000000" w:firstRow="1" w:lastRow="0" w:firstColumn="0" w:lastColumn="0" w:oddVBand="0" w:evenVBand="0" w:oddHBand="0" w:evenHBand="0" w:firstRowFirstColumn="0" w:firstRowLastColumn="0" w:lastRowFirstColumn="0" w:lastRowLastColumn="0"/>
              <w:rPr>
                <w:rFonts w:asciiTheme="minorHAnsi" w:hAnsiTheme="minorHAnsi"/>
                <w:color w:val="4F81BD" w:themeColor="accent1"/>
                <w:szCs w:val="20"/>
                <w:lang w:val="en-GB"/>
              </w:rPr>
            </w:pPr>
            <w:r w:rsidRPr="00117572">
              <w:rPr>
                <w:rFonts w:asciiTheme="minorHAnsi" w:hAnsiTheme="minorHAnsi"/>
                <w:szCs w:val="20"/>
                <w:lang w:val="en-GB"/>
              </w:rPr>
              <w:t>Initial number</w:t>
            </w:r>
            <w:r w:rsidR="007B2048">
              <w:rPr>
                <w:rFonts w:asciiTheme="minorHAnsi" w:hAnsiTheme="minorHAnsi"/>
                <w:szCs w:val="20"/>
                <w:lang w:val="en-GB"/>
              </w:rPr>
              <w:t xml:space="preserve"> of</w:t>
            </w:r>
            <w:r w:rsidRPr="00117572">
              <w:rPr>
                <w:rFonts w:asciiTheme="minorHAnsi" w:hAnsiTheme="minorHAnsi"/>
                <w:szCs w:val="20"/>
                <w:lang w:val="en-GB"/>
              </w:rPr>
              <w:t xml:space="preserve">  countries</w:t>
            </w:r>
          </w:p>
        </w:tc>
        <w:tc>
          <w:tcPr>
            <w:tcW w:w="1109" w:type="dxa"/>
          </w:tcPr>
          <w:p w:rsidR="00BD3FA0" w:rsidRPr="00117572" w:rsidRDefault="00BD3FA0" w:rsidP="000239A3">
            <w:pPr>
              <w:spacing w:after="100" w:afterAutospacing="1"/>
              <w:jc w:val="right"/>
              <w:cnfStyle w:val="100000000000" w:firstRow="1" w:lastRow="0" w:firstColumn="0" w:lastColumn="0" w:oddVBand="0" w:evenVBand="0" w:oddHBand="0" w:evenHBand="0" w:firstRowFirstColumn="0" w:firstRowLastColumn="0" w:lastRowFirstColumn="0" w:lastRowLastColumn="0"/>
              <w:rPr>
                <w:rFonts w:asciiTheme="minorHAnsi" w:hAnsiTheme="minorHAnsi"/>
                <w:color w:val="4F81BD" w:themeColor="accent1"/>
                <w:szCs w:val="20"/>
                <w:lang w:val="en-GB"/>
              </w:rPr>
            </w:pPr>
            <w:r w:rsidRPr="00117572">
              <w:rPr>
                <w:rFonts w:asciiTheme="minorHAnsi" w:hAnsiTheme="minorHAnsi"/>
                <w:szCs w:val="20"/>
                <w:lang w:val="en-GB"/>
              </w:rPr>
              <w:t xml:space="preserve">Number </w:t>
            </w:r>
            <w:r w:rsidR="007B2048">
              <w:rPr>
                <w:rFonts w:asciiTheme="minorHAnsi" w:hAnsiTheme="minorHAnsi"/>
                <w:szCs w:val="20"/>
                <w:lang w:val="en-GB"/>
              </w:rPr>
              <w:t xml:space="preserve">of </w:t>
            </w:r>
            <w:r w:rsidRPr="00117572">
              <w:rPr>
                <w:rFonts w:asciiTheme="minorHAnsi" w:hAnsiTheme="minorHAnsi"/>
                <w:szCs w:val="20"/>
                <w:lang w:val="en-GB"/>
              </w:rPr>
              <w:t>countries 2010</w:t>
            </w:r>
          </w:p>
        </w:tc>
        <w:tc>
          <w:tcPr>
            <w:tcW w:w="1158" w:type="dxa"/>
          </w:tcPr>
          <w:p w:rsidR="00BD3FA0" w:rsidRPr="00117572" w:rsidRDefault="00BD3FA0" w:rsidP="000239A3">
            <w:pPr>
              <w:spacing w:after="100" w:afterAutospacing="1"/>
              <w:jc w:val="right"/>
              <w:cnfStyle w:val="100000000000" w:firstRow="1" w:lastRow="0" w:firstColumn="0" w:lastColumn="0" w:oddVBand="0" w:evenVBand="0" w:oddHBand="0" w:evenHBand="0" w:firstRowFirstColumn="0" w:firstRowLastColumn="0" w:lastRowFirstColumn="0" w:lastRowLastColumn="0"/>
              <w:rPr>
                <w:rFonts w:asciiTheme="minorHAnsi" w:hAnsiTheme="minorHAnsi"/>
                <w:color w:val="4F81BD" w:themeColor="accent1"/>
                <w:szCs w:val="20"/>
                <w:lang w:val="en-GB"/>
              </w:rPr>
            </w:pPr>
            <w:r w:rsidRPr="00117572">
              <w:rPr>
                <w:rFonts w:asciiTheme="minorHAnsi" w:hAnsiTheme="minorHAnsi"/>
                <w:szCs w:val="20"/>
                <w:lang w:val="en-GB"/>
              </w:rPr>
              <w:t>No</w:t>
            </w:r>
            <w:r w:rsidR="0001533C">
              <w:rPr>
                <w:rFonts w:asciiTheme="minorHAnsi" w:hAnsiTheme="minorHAnsi"/>
                <w:szCs w:val="20"/>
                <w:lang w:val="en-GB"/>
              </w:rPr>
              <w:t>.</w:t>
            </w:r>
            <w:r w:rsidRPr="00117572">
              <w:rPr>
                <w:rFonts w:asciiTheme="minorHAnsi" w:hAnsiTheme="minorHAnsi"/>
                <w:szCs w:val="20"/>
                <w:lang w:val="en-GB"/>
              </w:rPr>
              <w:t xml:space="preserve"> </w:t>
            </w:r>
            <w:r w:rsidR="007B2048">
              <w:rPr>
                <w:rFonts w:asciiTheme="minorHAnsi" w:hAnsiTheme="minorHAnsi"/>
                <w:szCs w:val="20"/>
                <w:lang w:val="en-GB"/>
              </w:rPr>
              <w:t xml:space="preserve"> of </w:t>
            </w:r>
            <w:r w:rsidRPr="00117572">
              <w:rPr>
                <w:rFonts w:asciiTheme="minorHAnsi" w:hAnsiTheme="minorHAnsi"/>
                <w:szCs w:val="20"/>
                <w:lang w:val="en-GB"/>
              </w:rPr>
              <w:t>countries graduated 2010</w:t>
            </w:r>
          </w:p>
        </w:tc>
        <w:tc>
          <w:tcPr>
            <w:tcW w:w="1288" w:type="dxa"/>
          </w:tcPr>
          <w:p w:rsidR="00BD3FA0" w:rsidRPr="00117572" w:rsidRDefault="00BD3FA0" w:rsidP="000239A3">
            <w:pPr>
              <w:spacing w:after="100" w:afterAutospacing="1"/>
              <w:jc w:val="right"/>
              <w:cnfStyle w:val="100000000000" w:firstRow="1" w:lastRow="0" w:firstColumn="0" w:lastColumn="0" w:oddVBand="0" w:evenVBand="0" w:oddHBand="0" w:evenHBand="0" w:firstRowFirstColumn="0" w:firstRowLastColumn="0" w:lastRowFirstColumn="0" w:lastRowLastColumn="0"/>
              <w:rPr>
                <w:rFonts w:asciiTheme="minorHAnsi" w:hAnsiTheme="minorHAnsi"/>
                <w:szCs w:val="20"/>
                <w:lang w:val="en-GB"/>
              </w:rPr>
            </w:pPr>
            <w:r w:rsidRPr="00117572">
              <w:rPr>
                <w:rFonts w:asciiTheme="minorHAnsi" w:hAnsiTheme="minorHAnsi"/>
                <w:szCs w:val="20"/>
                <w:lang w:val="en-GB"/>
              </w:rPr>
              <w:t>No</w:t>
            </w:r>
            <w:r w:rsidR="0001533C">
              <w:rPr>
                <w:rFonts w:asciiTheme="minorHAnsi" w:hAnsiTheme="minorHAnsi"/>
                <w:szCs w:val="20"/>
                <w:lang w:val="en-GB"/>
              </w:rPr>
              <w:t>.</w:t>
            </w:r>
            <w:r w:rsidRPr="00117572">
              <w:rPr>
                <w:rFonts w:asciiTheme="minorHAnsi" w:hAnsiTheme="minorHAnsi"/>
                <w:szCs w:val="20"/>
                <w:lang w:val="en-GB"/>
              </w:rPr>
              <w:t xml:space="preserve"> on matched funding 2010</w:t>
            </w:r>
          </w:p>
        </w:tc>
        <w:tc>
          <w:tcPr>
            <w:tcW w:w="1232" w:type="dxa"/>
          </w:tcPr>
          <w:p w:rsidR="00BD3FA0" w:rsidRPr="00117572" w:rsidRDefault="0001533C" w:rsidP="0001533C">
            <w:pPr>
              <w:spacing w:after="100" w:afterAutospacing="1"/>
              <w:jc w:val="right"/>
              <w:cnfStyle w:val="100000000000" w:firstRow="1" w:lastRow="0" w:firstColumn="0" w:lastColumn="0" w:oddVBand="0" w:evenVBand="0" w:oddHBand="0" w:evenHBand="0" w:firstRowFirstColumn="0" w:firstRowLastColumn="0" w:lastRowFirstColumn="0" w:lastRowLastColumn="0"/>
              <w:rPr>
                <w:rFonts w:asciiTheme="minorHAnsi" w:hAnsiTheme="minorHAnsi"/>
                <w:szCs w:val="20"/>
                <w:lang w:val="en-GB"/>
              </w:rPr>
            </w:pPr>
            <w:r>
              <w:rPr>
                <w:rFonts w:asciiTheme="minorHAnsi" w:hAnsiTheme="minorHAnsi"/>
                <w:szCs w:val="20"/>
                <w:lang w:val="en-GB"/>
              </w:rPr>
              <w:t>No. e</w:t>
            </w:r>
            <w:r w:rsidR="00BD3FA0" w:rsidRPr="00117572">
              <w:rPr>
                <w:rFonts w:asciiTheme="minorHAnsi" w:hAnsiTheme="minorHAnsi"/>
                <w:szCs w:val="20"/>
                <w:lang w:val="en-GB"/>
              </w:rPr>
              <w:t>xpected</w:t>
            </w:r>
            <w:r>
              <w:rPr>
                <w:rFonts w:asciiTheme="minorHAnsi" w:hAnsiTheme="minorHAnsi"/>
                <w:szCs w:val="20"/>
                <w:lang w:val="en-GB"/>
              </w:rPr>
              <w:t xml:space="preserve"> to</w:t>
            </w:r>
            <w:r w:rsidR="00BD3FA0" w:rsidRPr="00117572">
              <w:rPr>
                <w:rFonts w:asciiTheme="minorHAnsi" w:hAnsiTheme="minorHAnsi"/>
                <w:szCs w:val="20"/>
                <w:lang w:val="en-GB"/>
              </w:rPr>
              <w:t xml:space="preserve"> graduat</w:t>
            </w:r>
            <w:r>
              <w:rPr>
                <w:rFonts w:asciiTheme="minorHAnsi" w:hAnsiTheme="minorHAnsi"/>
                <w:szCs w:val="20"/>
                <w:lang w:val="en-GB"/>
              </w:rPr>
              <w:t>e</w:t>
            </w:r>
            <w:r w:rsidR="00BD3FA0" w:rsidRPr="00117572">
              <w:rPr>
                <w:rFonts w:asciiTheme="minorHAnsi" w:hAnsiTheme="minorHAnsi"/>
                <w:szCs w:val="20"/>
                <w:lang w:val="en-GB"/>
              </w:rPr>
              <w:t xml:space="preserve"> 2011</w:t>
            </w:r>
          </w:p>
        </w:tc>
      </w:tr>
      <w:tr w:rsidR="00BD3FA0" w:rsidRPr="00015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dxa"/>
          </w:tcPr>
          <w:p w:rsidR="00BD3FA0" w:rsidRPr="00117572" w:rsidRDefault="00BD3FA0" w:rsidP="000239A3">
            <w:pPr>
              <w:spacing w:after="100" w:afterAutospacing="1"/>
              <w:rPr>
                <w:rFonts w:asciiTheme="minorHAnsi" w:hAnsiTheme="minorHAnsi"/>
                <w:szCs w:val="20"/>
                <w:lang w:val="en-GB"/>
              </w:rPr>
            </w:pPr>
            <w:r w:rsidRPr="00117572">
              <w:rPr>
                <w:rFonts w:asciiTheme="minorHAnsi" w:hAnsiTheme="minorHAnsi"/>
                <w:szCs w:val="20"/>
                <w:lang w:val="en-GB"/>
              </w:rPr>
              <w:t>Group 1A</w:t>
            </w:r>
          </w:p>
        </w:tc>
        <w:tc>
          <w:tcPr>
            <w:tcW w:w="2368" w:type="dxa"/>
          </w:tcPr>
          <w:p w:rsidR="00BD3FA0" w:rsidRPr="00117572" w:rsidRDefault="00BD3FA0" w:rsidP="000239A3">
            <w:pPr>
              <w:spacing w:after="100" w:afterAutospacing="1"/>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0"/>
                <w:lang w:val="en-GB"/>
              </w:rPr>
            </w:pPr>
            <w:r w:rsidRPr="00117572">
              <w:rPr>
                <w:rFonts w:asciiTheme="minorHAnsi" w:hAnsiTheme="minorHAnsi"/>
                <w:szCs w:val="20"/>
                <w:lang w:val="en-GB"/>
              </w:rPr>
              <w:t>Least Developed Countries (LDCs)</w:t>
            </w:r>
          </w:p>
        </w:tc>
        <w:tc>
          <w:tcPr>
            <w:tcW w:w="1109" w:type="dxa"/>
          </w:tcPr>
          <w:p w:rsidR="00BD3FA0" w:rsidRPr="00117572" w:rsidRDefault="00BD3FA0" w:rsidP="000239A3">
            <w:pPr>
              <w:spacing w:after="100" w:afterAutospacing="1"/>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Cs w:val="20"/>
                <w:lang w:val="en-GB"/>
              </w:rPr>
            </w:pPr>
            <w:r w:rsidRPr="00117572">
              <w:rPr>
                <w:rFonts w:asciiTheme="minorHAnsi" w:hAnsiTheme="minorHAnsi"/>
                <w:szCs w:val="20"/>
                <w:lang w:val="en-GB"/>
              </w:rPr>
              <w:t>42</w:t>
            </w:r>
          </w:p>
        </w:tc>
        <w:tc>
          <w:tcPr>
            <w:tcW w:w="1109" w:type="dxa"/>
          </w:tcPr>
          <w:p w:rsidR="00BD3FA0" w:rsidRPr="00117572" w:rsidRDefault="00BD3FA0" w:rsidP="000239A3">
            <w:pPr>
              <w:spacing w:after="100" w:afterAutospacing="1"/>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Cs w:val="20"/>
                <w:lang w:val="en-GB"/>
              </w:rPr>
            </w:pPr>
            <w:r w:rsidRPr="00117572">
              <w:rPr>
                <w:rFonts w:asciiTheme="minorHAnsi" w:hAnsiTheme="minorHAnsi"/>
                <w:szCs w:val="20"/>
                <w:lang w:val="en-GB"/>
              </w:rPr>
              <w:t>48</w:t>
            </w:r>
          </w:p>
        </w:tc>
        <w:tc>
          <w:tcPr>
            <w:tcW w:w="1158" w:type="dxa"/>
          </w:tcPr>
          <w:p w:rsidR="00BD3FA0" w:rsidRPr="00117572" w:rsidRDefault="00BD3FA0" w:rsidP="000239A3">
            <w:pPr>
              <w:spacing w:after="100" w:afterAutospacing="1"/>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Cs w:val="20"/>
                <w:lang w:val="en-GB"/>
              </w:rPr>
            </w:pPr>
            <w:r w:rsidRPr="00117572">
              <w:rPr>
                <w:rFonts w:asciiTheme="minorHAnsi" w:hAnsiTheme="minorHAnsi"/>
                <w:szCs w:val="20"/>
                <w:lang w:val="en-GB"/>
              </w:rPr>
              <w:t>0</w:t>
            </w:r>
          </w:p>
        </w:tc>
        <w:tc>
          <w:tcPr>
            <w:tcW w:w="1288" w:type="dxa"/>
          </w:tcPr>
          <w:p w:rsidR="00BD3FA0" w:rsidRPr="00117572" w:rsidRDefault="00BD3FA0" w:rsidP="000239A3">
            <w:pPr>
              <w:spacing w:after="100" w:afterAutospacing="1"/>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Cs w:val="20"/>
                <w:lang w:val="en-GB"/>
              </w:rPr>
            </w:pPr>
            <w:r w:rsidRPr="00117572">
              <w:rPr>
                <w:rFonts w:asciiTheme="minorHAnsi" w:hAnsiTheme="minorHAnsi"/>
                <w:szCs w:val="20"/>
                <w:lang w:val="en-GB"/>
              </w:rPr>
              <w:t>23</w:t>
            </w:r>
          </w:p>
        </w:tc>
        <w:tc>
          <w:tcPr>
            <w:tcW w:w="1232" w:type="dxa"/>
          </w:tcPr>
          <w:p w:rsidR="00BD3FA0" w:rsidRPr="00117572" w:rsidRDefault="00BD3FA0" w:rsidP="000239A3">
            <w:pPr>
              <w:spacing w:after="100" w:afterAutospacing="1"/>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Cs w:val="20"/>
                <w:lang w:val="en-GB"/>
              </w:rPr>
            </w:pPr>
            <w:r w:rsidRPr="00117572">
              <w:rPr>
                <w:rFonts w:asciiTheme="minorHAnsi" w:hAnsiTheme="minorHAnsi"/>
                <w:szCs w:val="20"/>
                <w:lang w:val="en-GB"/>
              </w:rPr>
              <w:t>12</w:t>
            </w:r>
          </w:p>
        </w:tc>
      </w:tr>
      <w:tr w:rsidR="00BD3FA0" w:rsidRPr="0011757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dxa"/>
          </w:tcPr>
          <w:p w:rsidR="00BD3FA0" w:rsidRPr="00117572" w:rsidRDefault="00BD3FA0" w:rsidP="000239A3">
            <w:pPr>
              <w:spacing w:after="100" w:afterAutospacing="1"/>
              <w:rPr>
                <w:rFonts w:asciiTheme="minorHAnsi" w:hAnsiTheme="minorHAnsi"/>
                <w:szCs w:val="20"/>
                <w:lang w:val="en-GB"/>
              </w:rPr>
            </w:pPr>
            <w:r w:rsidRPr="00117572">
              <w:rPr>
                <w:rFonts w:asciiTheme="minorHAnsi" w:hAnsiTheme="minorHAnsi"/>
                <w:szCs w:val="20"/>
                <w:lang w:val="en-GB"/>
              </w:rPr>
              <w:t>Group 1B</w:t>
            </w:r>
          </w:p>
        </w:tc>
        <w:tc>
          <w:tcPr>
            <w:tcW w:w="2368" w:type="dxa"/>
          </w:tcPr>
          <w:p w:rsidR="00BD3FA0" w:rsidRPr="00117572" w:rsidRDefault="00BD3FA0" w:rsidP="000239A3">
            <w:pPr>
              <w:spacing w:after="100" w:afterAutospacing="1"/>
              <w:jc w:val="left"/>
              <w:cnfStyle w:val="000000010000" w:firstRow="0" w:lastRow="0" w:firstColumn="0" w:lastColumn="0" w:oddVBand="0" w:evenVBand="0" w:oddHBand="0" w:evenHBand="1" w:firstRowFirstColumn="0" w:firstRowLastColumn="0" w:lastRowFirstColumn="0" w:lastRowLastColumn="0"/>
              <w:rPr>
                <w:rFonts w:asciiTheme="minorHAnsi" w:hAnsiTheme="minorHAnsi"/>
                <w:szCs w:val="20"/>
                <w:lang w:val="en-GB"/>
              </w:rPr>
            </w:pPr>
            <w:r w:rsidRPr="00117572">
              <w:rPr>
                <w:rFonts w:asciiTheme="minorHAnsi" w:hAnsiTheme="minorHAnsi"/>
                <w:szCs w:val="20"/>
                <w:lang w:val="en-GB"/>
              </w:rPr>
              <w:t>Other low income countries, low-income (LIC) or low human development (LHD)</w:t>
            </w:r>
          </w:p>
        </w:tc>
        <w:tc>
          <w:tcPr>
            <w:tcW w:w="1109" w:type="dxa"/>
          </w:tcPr>
          <w:p w:rsidR="00BD3FA0" w:rsidRPr="00117572" w:rsidRDefault="00BD3FA0" w:rsidP="000239A3">
            <w:pPr>
              <w:spacing w:after="100" w:afterAutospacing="1"/>
              <w:jc w:val="right"/>
              <w:cnfStyle w:val="000000010000" w:firstRow="0" w:lastRow="0" w:firstColumn="0" w:lastColumn="0" w:oddVBand="0" w:evenVBand="0" w:oddHBand="0" w:evenHBand="1" w:firstRowFirstColumn="0" w:firstRowLastColumn="0" w:lastRowFirstColumn="0" w:lastRowLastColumn="0"/>
              <w:rPr>
                <w:rFonts w:asciiTheme="minorHAnsi" w:hAnsiTheme="minorHAnsi"/>
                <w:szCs w:val="20"/>
                <w:lang w:val="en-GB"/>
              </w:rPr>
            </w:pPr>
            <w:r w:rsidRPr="00117572">
              <w:rPr>
                <w:rFonts w:asciiTheme="minorHAnsi" w:hAnsiTheme="minorHAnsi"/>
                <w:szCs w:val="20"/>
                <w:lang w:val="en-GB"/>
              </w:rPr>
              <w:t>19</w:t>
            </w:r>
          </w:p>
        </w:tc>
        <w:tc>
          <w:tcPr>
            <w:tcW w:w="1109" w:type="dxa"/>
          </w:tcPr>
          <w:p w:rsidR="00BD3FA0" w:rsidRPr="00117572" w:rsidRDefault="00BD3FA0" w:rsidP="000239A3">
            <w:pPr>
              <w:spacing w:after="100" w:afterAutospacing="1"/>
              <w:jc w:val="right"/>
              <w:cnfStyle w:val="000000010000" w:firstRow="0" w:lastRow="0" w:firstColumn="0" w:lastColumn="0" w:oddVBand="0" w:evenVBand="0" w:oddHBand="0" w:evenHBand="1" w:firstRowFirstColumn="0" w:firstRowLastColumn="0" w:lastRowFirstColumn="0" w:lastRowLastColumn="0"/>
              <w:rPr>
                <w:rFonts w:asciiTheme="minorHAnsi" w:hAnsiTheme="minorHAnsi"/>
                <w:szCs w:val="20"/>
                <w:lang w:val="en-GB"/>
              </w:rPr>
            </w:pPr>
            <w:r w:rsidRPr="00117572">
              <w:rPr>
                <w:rFonts w:asciiTheme="minorHAnsi" w:hAnsiTheme="minorHAnsi"/>
                <w:szCs w:val="20"/>
                <w:lang w:val="en-GB"/>
              </w:rPr>
              <w:t>11</w:t>
            </w:r>
          </w:p>
        </w:tc>
        <w:tc>
          <w:tcPr>
            <w:tcW w:w="1158" w:type="dxa"/>
          </w:tcPr>
          <w:p w:rsidR="00BD3FA0" w:rsidRPr="00117572" w:rsidRDefault="00BD3FA0" w:rsidP="000239A3">
            <w:pPr>
              <w:spacing w:after="100" w:afterAutospacing="1"/>
              <w:jc w:val="right"/>
              <w:cnfStyle w:val="000000010000" w:firstRow="0" w:lastRow="0" w:firstColumn="0" w:lastColumn="0" w:oddVBand="0" w:evenVBand="0" w:oddHBand="0" w:evenHBand="1" w:firstRowFirstColumn="0" w:firstRowLastColumn="0" w:lastRowFirstColumn="0" w:lastRowLastColumn="0"/>
              <w:rPr>
                <w:rFonts w:asciiTheme="minorHAnsi" w:hAnsiTheme="minorHAnsi"/>
                <w:szCs w:val="20"/>
                <w:lang w:val="en-GB"/>
              </w:rPr>
            </w:pPr>
            <w:r w:rsidRPr="00117572">
              <w:rPr>
                <w:rFonts w:asciiTheme="minorHAnsi" w:hAnsiTheme="minorHAnsi"/>
                <w:szCs w:val="20"/>
                <w:lang w:val="en-GB"/>
              </w:rPr>
              <w:t>0</w:t>
            </w:r>
          </w:p>
        </w:tc>
        <w:tc>
          <w:tcPr>
            <w:tcW w:w="1288" w:type="dxa"/>
          </w:tcPr>
          <w:p w:rsidR="00BD3FA0" w:rsidRPr="00117572" w:rsidRDefault="00BD3FA0" w:rsidP="000239A3">
            <w:pPr>
              <w:spacing w:after="100" w:afterAutospacing="1"/>
              <w:jc w:val="right"/>
              <w:cnfStyle w:val="000000010000" w:firstRow="0" w:lastRow="0" w:firstColumn="0" w:lastColumn="0" w:oddVBand="0" w:evenVBand="0" w:oddHBand="0" w:evenHBand="1" w:firstRowFirstColumn="0" w:firstRowLastColumn="0" w:lastRowFirstColumn="0" w:lastRowLastColumn="0"/>
              <w:rPr>
                <w:rFonts w:asciiTheme="minorHAnsi" w:hAnsiTheme="minorHAnsi"/>
                <w:szCs w:val="20"/>
                <w:lang w:val="en-GB"/>
              </w:rPr>
            </w:pPr>
            <w:r w:rsidRPr="00117572">
              <w:rPr>
                <w:rFonts w:asciiTheme="minorHAnsi" w:hAnsiTheme="minorHAnsi"/>
                <w:szCs w:val="20"/>
                <w:lang w:val="en-GB"/>
              </w:rPr>
              <w:t>11</w:t>
            </w:r>
          </w:p>
        </w:tc>
        <w:tc>
          <w:tcPr>
            <w:tcW w:w="1232" w:type="dxa"/>
          </w:tcPr>
          <w:p w:rsidR="00BD3FA0" w:rsidRPr="00117572" w:rsidRDefault="00BD3FA0" w:rsidP="000239A3">
            <w:pPr>
              <w:spacing w:after="100" w:afterAutospacing="1"/>
              <w:jc w:val="right"/>
              <w:cnfStyle w:val="000000010000" w:firstRow="0" w:lastRow="0" w:firstColumn="0" w:lastColumn="0" w:oddVBand="0" w:evenVBand="0" w:oddHBand="0" w:evenHBand="1" w:firstRowFirstColumn="0" w:firstRowLastColumn="0" w:lastRowFirstColumn="0" w:lastRowLastColumn="0"/>
              <w:rPr>
                <w:rFonts w:asciiTheme="minorHAnsi" w:hAnsiTheme="minorHAnsi"/>
                <w:szCs w:val="20"/>
                <w:lang w:val="en-GB"/>
              </w:rPr>
            </w:pPr>
            <w:r w:rsidRPr="00117572">
              <w:rPr>
                <w:rFonts w:asciiTheme="minorHAnsi" w:hAnsiTheme="minorHAnsi"/>
                <w:szCs w:val="20"/>
                <w:lang w:val="en-GB"/>
              </w:rPr>
              <w:t>8</w:t>
            </w:r>
          </w:p>
        </w:tc>
      </w:tr>
      <w:tr w:rsidR="00BD3FA0" w:rsidRPr="001175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dxa"/>
          </w:tcPr>
          <w:p w:rsidR="00BD3FA0" w:rsidRPr="00117572" w:rsidRDefault="00BD3FA0" w:rsidP="000239A3">
            <w:pPr>
              <w:spacing w:after="100" w:afterAutospacing="1"/>
              <w:rPr>
                <w:rFonts w:asciiTheme="minorHAnsi" w:hAnsiTheme="minorHAnsi"/>
                <w:szCs w:val="20"/>
                <w:lang w:val="en-GB"/>
              </w:rPr>
            </w:pPr>
            <w:r w:rsidRPr="00117572">
              <w:rPr>
                <w:rFonts w:asciiTheme="minorHAnsi" w:hAnsiTheme="minorHAnsi"/>
                <w:szCs w:val="20"/>
                <w:lang w:val="en-GB"/>
              </w:rPr>
              <w:t>Group 2</w:t>
            </w:r>
          </w:p>
        </w:tc>
        <w:tc>
          <w:tcPr>
            <w:tcW w:w="2368" w:type="dxa"/>
          </w:tcPr>
          <w:p w:rsidR="00BD3FA0" w:rsidRPr="00117572" w:rsidRDefault="00BD3FA0" w:rsidP="000239A3">
            <w:pPr>
              <w:spacing w:after="100" w:afterAutospacing="1"/>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0"/>
                <w:lang w:val="en-GB"/>
              </w:rPr>
            </w:pPr>
            <w:r w:rsidRPr="00117572">
              <w:rPr>
                <w:rFonts w:asciiTheme="minorHAnsi" w:hAnsiTheme="minorHAnsi"/>
                <w:szCs w:val="20"/>
                <w:lang w:val="en-GB"/>
              </w:rPr>
              <w:t>Lower middle income (LMC) or medium human development (MHD) countries</w:t>
            </w:r>
          </w:p>
        </w:tc>
        <w:tc>
          <w:tcPr>
            <w:tcW w:w="1109" w:type="dxa"/>
          </w:tcPr>
          <w:p w:rsidR="00BD3FA0" w:rsidRPr="00117572" w:rsidRDefault="00BD3FA0" w:rsidP="000239A3">
            <w:pPr>
              <w:spacing w:after="100" w:afterAutospacing="1"/>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Cs w:val="20"/>
                <w:lang w:val="en-GB"/>
              </w:rPr>
            </w:pPr>
            <w:r w:rsidRPr="00117572">
              <w:rPr>
                <w:rFonts w:asciiTheme="minorHAnsi" w:hAnsiTheme="minorHAnsi"/>
                <w:szCs w:val="20"/>
                <w:lang w:val="en-GB"/>
              </w:rPr>
              <w:t>41</w:t>
            </w:r>
          </w:p>
        </w:tc>
        <w:tc>
          <w:tcPr>
            <w:tcW w:w="1109" w:type="dxa"/>
          </w:tcPr>
          <w:p w:rsidR="00BD3FA0" w:rsidRPr="00117572" w:rsidRDefault="00BD3FA0" w:rsidP="000239A3">
            <w:pPr>
              <w:spacing w:after="100" w:afterAutospacing="1"/>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Cs w:val="20"/>
                <w:lang w:val="en-GB"/>
              </w:rPr>
            </w:pPr>
            <w:r w:rsidRPr="00117572">
              <w:rPr>
                <w:rFonts w:asciiTheme="minorHAnsi" w:hAnsiTheme="minorHAnsi"/>
                <w:szCs w:val="20"/>
                <w:lang w:val="en-GB"/>
              </w:rPr>
              <w:t>30</w:t>
            </w:r>
          </w:p>
        </w:tc>
        <w:tc>
          <w:tcPr>
            <w:tcW w:w="1158" w:type="dxa"/>
          </w:tcPr>
          <w:p w:rsidR="00BD3FA0" w:rsidRPr="00117572" w:rsidRDefault="00BD3FA0" w:rsidP="000239A3">
            <w:pPr>
              <w:spacing w:after="100" w:afterAutospacing="1"/>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Cs w:val="20"/>
                <w:lang w:val="en-GB"/>
              </w:rPr>
            </w:pPr>
            <w:r w:rsidRPr="00117572">
              <w:rPr>
                <w:rFonts w:asciiTheme="minorHAnsi" w:hAnsiTheme="minorHAnsi"/>
                <w:szCs w:val="20"/>
                <w:lang w:val="en-GB"/>
              </w:rPr>
              <w:t>19</w:t>
            </w:r>
          </w:p>
        </w:tc>
        <w:tc>
          <w:tcPr>
            <w:tcW w:w="1288" w:type="dxa"/>
          </w:tcPr>
          <w:p w:rsidR="00BD3FA0" w:rsidRPr="00117572" w:rsidRDefault="00BD3FA0" w:rsidP="000239A3">
            <w:pPr>
              <w:spacing w:after="100" w:afterAutospacing="1"/>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Cs w:val="20"/>
                <w:lang w:val="en-GB"/>
              </w:rPr>
            </w:pPr>
            <w:r w:rsidRPr="00117572">
              <w:rPr>
                <w:rFonts w:asciiTheme="minorHAnsi" w:hAnsiTheme="minorHAnsi"/>
                <w:szCs w:val="20"/>
                <w:lang w:val="en-GB"/>
              </w:rPr>
              <w:t>13</w:t>
            </w:r>
          </w:p>
        </w:tc>
        <w:tc>
          <w:tcPr>
            <w:tcW w:w="1232" w:type="dxa"/>
          </w:tcPr>
          <w:p w:rsidR="00BD3FA0" w:rsidRPr="00117572" w:rsidRDefault="00BD3FA0" w:rsidP="000239A3">
            <w:pPr>
              <w:spacing w:after="100" w:afterAutospacing="1"/>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Cs w:val="20"/>
                <w:lang w:val="en-GB"/>
              </w:rPr>
            </w:pPr>
            <w:r w:rsidRPr="00117572">
              <w:rPr>
                <w:rFonts w:asciiTheme="minorHAnsi" w:hAnsiTheme="minorHAnsi"/>
                <w:szCs w:val="20"/>
                <w:lang w:val="en-GB"/>
              </w:rPr>
              <w:t>6</w:t>
            </w:r>
          </w:p>
        </w:tc>
      </w:tr>
      <w:tr w:rsidR="00BD3FA0" w:rsidRPr="0011757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dxa"/>
          </w:tcPr>
          <w:p w:rsidR="00BD3FA0" w:rsidRPr="00117572" w:rsidRDefault="00BD3FA0" w:rsidP="000239A3">
            <w:pPr>
              <w:spacing w:after="100" w:afterAutospacing="1"/>
              <w:rPr>
                <w:rFonts w:asciiTheme="minorHAnsi" w:hAnsiTheme="minorHAnsi"/>
                <w:szCs w:val="20"/>
                <w:lang w:val="en-GB"/>
              </w:rPr>
            </w:pPr>
            <w:r w:rsidRPr="00117572">
              <w:rPr>
                <w:rFonts w:asciiTheme="minorHAnsi" w:hAnsiTheme="minorHAnsi"/>
                <w:szCs w:val="20"/>
                <w:lang w:val="en-GB"/>
              </w:rPr>
              <w:t>Group 3A</w:t>
            </w:r>
          </w:p>
        </w:tc>
        <w:tc>
          <w:tcPr>
            <w:tcW w:w="2368" w:type="dxa"/>
          </w:tcPr>
          <w:p w:rsidR="00BD3FA0" w:rsidRPr="00117572" w:rsidRDefault="00BD3FA0" w:rsidP="000239A3">
            <w:pPr>
              <w:spacing w:after="100" w:afterAutospacing="1"/>
              <w:jc w:val="left"/>
              <w:cnfStyle w:val="000000010000" w:firstRow="0" w:lastRow="0" w:firstColumn="0" w:lastColumn="0" w:oddVBand="0" w:evenVBand="0" w:oddHBand="0" w:evenHBand="1" w:firstRowFirstColumn="0" w:firstRowLastColumn="0" w:lastRowFirstColumn="0" w:lastRowLastColumn="0"/>
              <w:rPr>
                <w:rFonts w:asciiTheme="minorHAnsi" w:hAnsiTheme="minorHAnsi"/>
                <w:szCs w:val="20"/>
                <w:lang w:val="en-GB"/>
              </w:rPr>
            </w:pPr>
            <w:r w:rsidRPr="00117572">
              <w:rPr>
                <w:rFonts w:asciiTheme="minorHAnsi" w:hAnsiTheme="minorHAnsi"/>
                <w:szCs w:val="20"/>
                <w:lang w:val="en-GB"/>
              </w:rPr>
              <w:t>Upper middle income (UMC) and MHD countries</w:t>
            </w:r>
          </w:p>
        </w:tc>
        <w:tc>
          <w:tcPr>
            <w:tcW w:w="1109" w:type="dxa"/>
          </w:tcPr>
          <w:p w:rsidR="00BD3FA0" w:rsidRPr="00117572" w:rsidRDefault="00BD3FA0" w:rsidP="000239A3">
            <w:pPr>
              <w:spacing w:after="100" w:afterAutospacing="1"/>
              <w:jc w:val="right"/>
              <w:cnfStyle w:val="000000010000" w:firstRow="0" w:lastRow="0" w:firstColumn="0" w:lastColumn="0" w:oddVBand="0" w:evenVBand="0" w:oddHBand="0" w:evenHBand="1" w:firstRowFirstColumn="0" w:firstRowLastColumn="0" w:lastRowFirstColumn="0" w:lastRowLastColumn="0"/>
              <w:rPr>
                <w:rFonts w:asciiTheme="minorHAnsi" w:hAnsiTheme="minorHAnsi"/>
                <w:szCs w:val="20"/>
                <w:lang w:val="en-GB"/>
              </w:rPr>
            </w:pPr>
            <w:r w:rsidRPr="00117572">
              <w:rPr>
                <w:rFonts w:asciiTheme="minorHAnsi" w:hAnsiTheme="minorHAnsi"/>
                <w:szCs w:val="20"/>
                <w:lang w:val="en-GB"/>
              </w:rPr>
              <w:t>15</w:t>
            </w:r>
          </w:p>
        </w:tc>
        <w:tc>
          <w:tcPr>
            <w:tcW w:w="1109" w:type="dxa"/>
          </w:tcPr>
          <w:p w:rsidR="00BD3FA0" w:rsidRPr="00117572" w:rsidRDefault="00BD3FA0" w:rsidP="000239A3">
            <w:pPr>
              <w:spacing w:after="100" w:afterAutospacing="1"/>
              <w:jc w:val="right"/>
              <w:cnfStyle w:val="000000010000" w:firstRow="0" w:lastRow="0" w:firstColumn="0" w:lastColumn="0" w:oddVBand="0" w:evenVBand="0" w:oddHBand="0" w:evenHBand="1" w:firstRowFirstColumn="0" w:firstRowLastColumn="0" w:lastRowFirstColumn="0" w:lastRowLastColumn="0"/>
              <w:rPr>
                <w:rFonts w:asciiTheme="minorHAnsi" w:hAnsiTheme="minorHAnsi"/>
                <w:szCs w:val="20"/>
                <w:lang w:val="en-GB"/>
              </w:rPr>
            </w:pPr>
            <w:r w:rsidRPr="00117572">
              <w:rPr>
                <w:rFonts w:asciiTheme="minorHAnsi" w:hAnsiTheme="minorHAnsi"/>
                <w:szCs w:val="20"/>
                <w:lang w:val="en-GB"/>
              </w:rPr>
              <w:t>16</w:t>
            </w:r>
          </w:p>
        </w:tc>
        <w:tc>
          <w:tcPr>
            <w:tcW w:w="1158" w:type="dxa"/>
          </w:tcPr>
          <w:p w:rsidR="00BD3FA0" w:rsidRPr="00117572" w:rsidRDefault="00BD3FA0" w:rsidP="000239A3">
            <w:pPr>
              <w:spacing w:after="100" w:afterAutospacing="1"/>
              <w:jc w:val="right"/>
              <w:cnfStyle w:val="000000010000" w:firstRow="0" w:lastRow="0" w:firstColumn="0" w:lastColumn="0" w:oddVBand="0" w:evenVBand="0" w:oddHBand="0" w:evenHBand="1" w:firstRowFirstColumn="0" w:firstRowLastColumn="0" w:lastRowFirstColumn="0" w:lastRowLastColumn="0"/>
              <w:rPr>
                <w:rFonts w:asciiTheme="minorHAnsi" w:hAnsiTheme="minorHAnsi"/>
                <w:szCs w:val="20"/>
                <w:lang w:val="en-GB"/>
              </w:rPr>
            </w:pPr>
            <w:r w:rsidRPr="00117572">
              <w:rPr>
                <w:rFonts w:asciiTheme="minorHAnsi" w:hAnsiTheme="minorHAnsi"/>
                <w:szCs w:val="20"/>
                <w:lang w:val="en-GB"/>
              </w:rPr>
              <w:t>2</w:t>
            </w:r>
          </w:p>
        </w:tc>
        <w:tc>
          <w:tcPr>
            <w:tcW w:w="1288" w:type="dxa"/>
          </w:tcPr>
          <w:p w:rsidR="00BD3FA0" w:rsidRPr="00117572" w:rsidRDefault="00BD3FA0" w:rsidP="000239A3">
            <w:pPr>
              <w:spacing w:after="100" w:afterAutospacing="1"/>
              <w:jc w:val="right"/>
              <w:cnfStyle w:val="000000010000" w:firstRow="0" w:lastRow="0" w:firstColumn="0" w:lastColumn="0" w:oddVBand="0" w:evenVBand="0" w:oddHBand="0" w:evenHBand="1" w:firstRowFirstColumn="0" w:firstRowLastColumn="0" w:lastRowFirstColumn="0" w:lastRowLastColumn="0"/>
              <w:rPr>
                <w:rFonts w:asciiTheme="minorHAnsi" w:hAnsiTheme="minorHAnsi"/>
                <w:szCs w:val="20"/>
                <w:lang w:val="en-GB"/>
              </w:rPr>
            </w:pPr>
            <w:r w:rsidRPr="00117572">
              <w:rPr>
                <w:rFonts w:asciiTheme="minorHAnsi" w:hAnsiTheme="minorHAnsi"/>
                <w:szCs w:val="20"/>
                <w:lang w:val="en-GB"/>
              </w:rPr>
              <w:t>11</w:t>
            </w:r>
          </w:p>
        </w:tc>
        <w:tc>
          <w:tcPr>
            <w:tcW w:w="1232" w:type="dxa"/>
          </w:tcPr>
          <w:p w:rsidR="00BD3FA0" w:rsidRPr="00117572" w:rsidRDefault="00BD3FA0" w:rsidP="000239A3">
            <w:pPr>
              <w:spacing w:after="100" w:afterAutospacing="1"/>
              <w:jc w:val="right"/>
              <w:cnfStyle w:val="000000010000" w:firstRow="0" w:lastRow="0" w:firstColumn="0" w:lastColumn="0" w:oddVBand="0" w:evenVBand="0" w:oddHBand="0" w:evenHBand="1" w:firstRowFirstColumn="0" w:firstRowLastColumn="0" w:lastRowFirstColumn="0" w:lastRowLastColumn="0"/>
              <w:rPr>
                <w:rFonts w:asciiTheme="minorHAnsi" w:hAnsiTheme="minorHAnsi"/>
                <w:szCs w:val="20"/>
                <w:lang w:val="en-GB"/>
              </w:rPr>
            </w:pPr>
            <w:r w:rsidRPr="00117572">
              <w:rPr>
                <w:rFonts w:asciiTheme="minorHAnsi" w:hAnsiTheme="minorHAnsi"/>
                <w:szCs w:val="20"/>
                <w:lang w:val="en-GB"/>
              </w:rPr>
              <w:t>5</w:t>
            </w:r>
          </w:p>
        </w:tc>
      </w:tr>
      <w:tr w:rsidR="00BD3FA0" w:rsidRPr="001175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dxa"/>
          </w:tcPr>
          <w:p w:rsidR="00BD3FA0" w:rsidRPr="00117572" w:rsidRDefault="00BD3FA0" w:rsidP="000239A3">
            <w:pPr>
              <w:spacing w:after="100" w:afterAutospacing="1"/>
              <w:rPr>
                <w:rFonts w:asciiTheme="minorHAnsi" w:hAnsiTheme="minorHAnsi"/>
                <w:szCs w:val="20"/>
                <w:lang w:val="en-GB"/>
              </w:rPr>
            </w:pPr>
            <w:r w:rsidRPr="00117572">
              <w:rPr>
                <w:rFonts w:asciiTheme="minorHAnsi" w:hAnsiTheme="minorHAnsi"/>
                <w:szCs w:val="20"/>
                <w:lang w:val="en-GB"/>
              </w:rPr>
              <w:t>Group 3B</w:t>
            </w:r>
          </w:p>
        </w:tc>
        <w:tc>
          <w:tcPr>
            <w:tcW w:w="2368" w:type="dxa"/>
          </w:tcPr>
          <w:p w:rsidR="00BD3FA0" w:rsidRPr="00117572" w:rsidRDefault="00BD3FA0" w:rsidP="000239A3">
            <w:pPr>
              <w:spacing w:after="100" w:afterAutospacing="1"/>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0"/>
                <w:lang w:val="en-GB"/>
              </w:rPr>
            </w:pPr>
            <w:r w:rsidRPr="00117572">
              <w:rPr>
                <w:rFonts w:asciiTheme="minorHAnsi" w:hAnsiTheme="minorHAnsi"/>
                <w:szCs w:val="20"/>
                <w:lang w:val="en-GB"/>
              </w:rPr>
              <w:t>UMC countries</w:t>
            </w:r>
          </w:p>
        </w:tc>
        <w:tc>
          <w:tcPr>
            <w:tcW w:w="1109" w:type="dxa"/>
          </w:tcPr>
          <w:p w:rsidR="00BD3FA0" w:rsidRPr="00117572" w:rsidRDefault="00BD3FA0" w:rsidP="000239A3">
            <w:pPr>
              <w:spacing w:after="100" w:afterAutospacing="1"/>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Cs w:val="20"/>
                <w:lang w:val="en-GB"/>
              </w:rPr>
            </w:pPr>
            <w:r w:rsidRPr="00117572">
              <w:rPr>
                <w:rFonts w:asciiTheme="minorHAnsi" w:hAnsiTheme="minorHAnsi"/>
                <w:szCs w:val="20"/>
                <w:lang w:val="en-GB"/>
              </w:rPr>
              <w:t>16</w:t>
            </w:r>
          </w:p>
        </w:tc>
        <w:tc>
          <w:tcPr>
            <w:tcW w:w="1109" w:type="dxa"/>
          </w:tcPr>
          <w:p w:rsidR="00BD3FA0" w:rsidRPr="00117572" w:rsidRDefault="00BD3FA0" w:rsidP="000239A3">
            <w:pPr>
              <w:spacing w:after="100" w:afterAutospacing="1"/>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Cs w:val="20"/>
                <w:lang w:val="en-GB"/>
              </w:rPr>
            </w:pPr>
            <w:r w:rsidRPr="00117572">
              <w:rPr>
                <w:rFonts w:asciiTheme="minorHAnsi" w:hAnsiTheme="minorHAnsi"/>
                <w:szCs w:val="20"/>
                <w:lang w:val="en-GB"/>
              </w:rPr>
              <w:t>11</w:t>
            </w:r>
          </w:p>
        </w:tc>
        <w:tc>
          <w:tcPr>
            <w:tcW w:w="1158" w:type="dxa"/>
          </w:tcPr>
          <w:p w:rsidR="00BD3FA0" w:rsidRPr="00117572" w:rsidRDefault="00BD3FA0" w:rsidP="000239A3">
            <w:pPr>
              <w:spacing w:after="100" w:afterAutospacing="1"/>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Cs w:val="20"/>
                <w:lang w:val="en-GB"/>
              </w:rPr>
            </w:pPr>
            <w:r w:rsidRPr="00117572">
              <w:rPr>
                <w:rFonts w:asciiTheme="minorHAnsi" w:hAnsiTheme="minorHAnsi"/>
                <w:szCs w:val="20"/>
                <w:lang w:val="en-GB"/>
              </w:rPr>
              <w:t>9</w:t>
            </w:r>
          </w:p>
        </w:tc>
        <w:tc>
          <w:tcPr>
            <w:tcW w:w="1288" w:type="dxa"/>
          </w:tcPr>
          <w:p w:rsidR="00BD3FA0" w:rsidRPr="00117572" w:rsidRDefault="00BD3FA0" w:rsidP="000239A3">
            <w:pPr>
              <w:spacing w:after="100" w:afterAutospacing="1"/>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Cs w:val="20"/>
                <w:lang w:val="en-GB"/>
              </w:rPr>
            </w:pPr>
            <w:r w:rsidRPr="00117572">
              <w:rPr>
                <w:rFonts w:asciiTheme="minorHAnsi" w:hAnsiTheme="minorHAnsi"/>
                <w:szCs w:val="20"/>
                <w:lang w:val="en-GB"/>
              </w:rPr>
              <w:t>1</w:t>
            </w:r>
          </w:p>
        </w:tc>
        <w:tc>
          <w:tcPr>
            <w:tcW w:w="1232" w:type="dxa"/>
          </w:tcPr>
          <w:p w:rsidR="00BD3FA0" w:rsidRPr="00117572" w:rsidRDefault="00BD3FA0" w:rsidP="000239A3">
            <w:pPr>
              <w:spacing w:after="100" w:afterAutospacing="1"/>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Cs w:val="20"/>
                <w:lang w:val="en-GB"/>
              </w:rPr>
            </w:pPr>
            <w:r w:rsidRPr="00117572">
              <w:rPr>
                <w:rFonts w:asciiTheme="minorHAnsi" w:hAnsiTheme="minorHAnsi"/>
                <w:szCs w:val="20"/>
                <w:lang w:val="en-GB"/>
              </w:rPr>
              <w:t>0</w:t>
            </w:r>
          </w:p>
        </w:tc>
      </w:tr>
      <w:tr w:rsidR="00BD3FA0" w:rsidRPr="0011757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dxa"/>
          </w:tcPr>
          <w:p w:rsidR="00BD3FA0" w:rsidRPr="00117572" w:rsidRDefault="00BD3FA0" w:rsidP="000239A3">
            <w:pPr>
              <w:spacing w:after="100" w:afterAutospacing="1"/>
              <w:rPr>
                <w:rFonts w:asciiTheme="minorHAnsi" w:hAnsiTheme="minorHAnsi"/>
                <w:i/>
                <w:szCs w:val="20"/>
                <w:lang w:val="en-GB"/>
              </w:rPr>
            </w:pPr>
          </w:p>
        </w:tc>
        <w:tc>
          <w:tcPr>
            <w:tcW w:w="2368" w:type="dxa"/>
          </w:tcPr>
          <w:p w:rsidR="00BD3FA0" w:rsidRPr="00117572" w:rsidRDefault="00BD3FA0" w:rsidP="000239A3">
            <w:pPr>
              <w:spacing w:after="100" w:afterAutospacing="1"/>
              <w:jc w:val="left"/>
              <w:cnfStyle w:val="000000010000" w:firstRow="0" w:lastRow="0" w:firstColumn="0" w:lastColumn="0" w:oddVBand="0" w:evenVBand="0" w:oddHBand="0" w:evenHBand="1" w:firstRowFirstColumn="0" w:firstRowLastColumn="0" w:lastRowFirstColumn="0" w:lastRowLastColumn="0"/>
              <w:rPr>
                <w:rFonts w:asciiTheme="minorHAnsi" w:hAnsiTheme="minorHAnsi"/>
                <w:i/>
                <w:szCs w:val="20"/>
                <w:lang w:val="en-GB"/>
              </w:rPr>
            </w:pPr>
            <w:r w:rsidRPr="00117572">
              <w:rPr>
                <w:rFonts w:asciiTheme="minorHAnsi" w:hAnsiTheme="minorHAnsi"/>
                <w:i/>
                <w:szCs w:val="20"/>
                <w:lang w:val="en-GB"/>
              </w:rPr>
              <w:t>Total</w:t>
            </w:r>
          </w:p>
        </w:tc>
        <w:tc>
          <w:tcPr>
            <w:tcW w:w="1109" w:type="dxa"/>
          </w:tcPr>
          <w:p w:rsidR="00BD3FA0" w:rsidRPr="00117572" w:rsidRDefault="00BD3FA0" w:rsidP="000239A3">
            <w:pPr>
              <w:spacing w:after="100" w:afterAutospacing="1"/>
              <w:jc w:val="right"/>
              <w:cnfStyle w:val="000000010000" w:firstRow="0" w:lastRow="0" w:firstColumn="0" w:lastColumn="0" w:oddVBand="0" w:evenVBand="0" w:oddHBand="0" w:evenHBand="1" w:firstRowFirstColumn="0" w:firstRowLastColumn="0" w:lastRowFirstColumn="0" w:lastRowLastColumn="0"/>
              <w:rPr>
                <w:rFonts w:asciiTheme="minorHAnsi" w:hAnsiTheme="minorHAnsi"/>
                <w:i/>
                <w:szCs w:val="20"/>
                <w:lang w:val="en-GB"/>
              </w:rPr>
            </w:pPr>
            <w:r w:rsidRPr="00117572">
              <w:rPr>
                <w:rFonts w:asciiTheme="minorHAnsi" w:hAnsiTheme="minorHAnsi"/>
                <w:i/>
                <w:szCs w:val="20"/>
                <w:lang w:val="en-GB"/>
              </w:rPr>
              <w:t>133</w:t>
            </w:r>
          </w:p>
        </w:tc>
        <w:tc>
          <w:tcPr>
            <w:tcW w:w="1109" w:type="dxa"/>
          </w:tcPr>
          <w:p w:rsidR="00BD3FA0" w:rsidRPr="00117572" w:rsidRDefault="00BD3FA0" w:rsidP="000239A3">
            <w:pPr>
              <w:spacing w:after="100" w:afterAutospacing="1"/>
              <w:jc w:val="right"/>
              <w:cnfStyle w:val="000000010000" w:firstRow="0" w:lastRow="0" w:firstColumn="0" w:lastColumn="0" w:oddVBand="0" w:evenVBand="0" w:oddHBand="0" w:evenHBand="1" w:firstRowFirstColumn="0" w:firstRowLastColumn="0" w:lastRowFirstColumn="0" w:lastRowLastColumn="0"/>
              <w:rPr>
                <w:rFonts w:asciiTheme="minorHAnsi" w:hAnsiTheme="minorHAnsi"/>
                <w:i/>
                <w:szCs w:val="20"/>
                <w:lang w:val="en-GB"/>
              </w:rPr>
            </w:pPr>
            <w:r w:rsidRPr="00117572">
              <w:rPr>
                <w:rFonts w:asciiTheme="minorHAnsi" w:hAnsiTheme="minorHAnsi"/>
                <w:i/>
                <w:szCs w:val="20"/>
                <w:lang w:val="en-GB"/>
              </w:rPr>
              <w:t>116</w:t>
            </w:r>
          </w:p>
        </w:tc>
        <w:tc>
          <w:tcPr>
            <w:tcW w:w="1158" w:type="dxa"/>
          </w:tcPr>
          <w:p w:rsidR="00BD3FA0" w:rsidRPr="00117572" w:rsidRDefault="00BD3FA0" w:rsidP="000239A3">
            <w:pPr>
              <w:spacing w:after="100" w:afterAutospacing="1"/>
              <w:jc w:val="right"/>
              <w:cnfStyle w:val="000000010000" w:firstRow="0" w:lastRow="0" w:firstColumn="0" w:lastColumn="0" w:oddVBand="0" w:evenVBand="0" w:oddHBand="0" w:evenHBand="1" w:firstRowFirstColumn="0" w:firstRowLastColumn="0" w:lastRowFirstColumn="0" w:lastRowLastColumn="0"/>
              <w:rPr>
                <w:rFonts w:asciiTheme="minorHAnsi" w:hAnsiTheme="minorHAnsi"/>
                <w:i/>
                <w:szCs w:val="20"/>
                <w:lang w:val="en-GB"/>
              </w:rPr>
            </w:pPr>
            <w:r w:rsidRPr="00117572">
              <w:rPr>
                <w:rFonts w:asciiTheme="minorHAnsi" w:hAnsiTheme="minorHAnsi"/>
                <w:i/>
                <w:szCs w:val="20"/>
                <w:lang w:val="en-GB"/>
              </w:rPr>
              <w:t>30</w:t>
            </w:r>
          </w:p>
        </w:tc>
        <w:tc>
          <w:tcPr>
            <w:tcW w:w="1288" w:type="dxa"/>
          </w:tcPr>
          <w:p w:rsidR="00BD3FA0" w:rsidRPr="00117572" w:rsidRDefault="00BD3FA0" w:rsidP="000239A3">
            <w:pPr>
              <w:spacing w:after="100" w:afterAutospacing="1"/>
              <w:jc w:val="right"/>
              <w:cnfStyle w:val="000000010000" w:firstRow="0" w:lastRow="0" w:firstColumn="0" w:lastColumn="0" w:oddVBand="0" w:evenVBand="0" w:oddHBand="0" w:evenHBand="1" w:firstRowFirstColumn="0" w:firstRowLastColumn="0" w:lastRowFirstColumn="0" w:lastRowLastColumn="0"/>
              <w:rPr>
                <w:rFonts w:asciiTheme="minorHAnsi" w:hAnsiTheme="minorHAnsi"/>
                <w:i/>
                <w:szCs w:val="20"/>
                <w:lang w:val="en-GB"/>
              </w:rPr>
            </w:pPr>
            <w:r w:rsidRPr="00117572">
              <w:rPr>
                <w:rFonts w:asciiTheme="minorHAnsi" w:hAnsiTheme="minorHAnsi"/>
                <w:i/>
                <w:szCs w:val="20"/>
                <w:lang w:val="en-GB"/>
              </w:rPr>
              <w:t>59</w:t>
            </w:r>
          </w:p>
        </w:tc>
        <w:tc>
          <w:tcPr>
            <w:tcW w:w="1232" w:type="dxa"/>
          </w:tcPr>
          <w:p w:rsidR="00BD3FA0" w:rsidRPr="00117572" w:rsidRDefault="00BD3FA0" w:rsidP="000239A3">
            <w:pPr>
              <w:spacing w:after="100" w:afterAutospacing="1"/>
              <w:jc w:val="right"/>
              <w:cnfStyle w:val="000000010000" w:firstRow="0" w:lastRow="0" w:firstColumn="0" w:lastColumn="0" w:oddVBand="0" w:evenVBand="0" w:oddHBand="0" w:evenHBand="1" w:firstRowFirstColumn="0" w:firstRowLastColumn="0" w:lastRowFirstColumn="0" w:lastRowLastColumn="0"/>
              <w:rPr>
                <w:rFonts w:asciiTheme="minorHAnsi" w:hAnsiTheme="minorHAnsi"/>
                <w:i/>
                <w:szCs w:val="20"/>
                <w:lang w:val="en-GB"/>
              </w:rPr>
            </w:pPr>
            <w:r w:rsidRPr="00117572">
              <w:rPr>
                <w:rFonts w:asciiTheme="minorHAnsi" w:hAnsiTheme="minorHAnsi"/>
                <w:i/>
                <w:szCs w:val="20"/>
                <w:lang w:val="en-GB"/>
              </w:rPr>
              <w:t>31</w:t>
            </w:r>
          </w:p>
        </w:tc>
      </w:tr>
    </w:tbl>
    <w:p w:rsidR="00BD3FA0" w:rsidRDefault="00BD3FA0">
      <w:pPr>
        <w:rPr>
          <w:lang w:val="en-GB"/>
        </w:rPr>
      </w:pPr>
    </w:p>
    <w:p w:rsidR="00493A69" w:rsidRPr="00BD3FA0" w:rsidRDefault="00493A69" w:rsidP="00BD3FA0">
      <w:pPr>
        <w:rPr>
          <w:lang w:val="en-GB"/>
        </w:rPr>
      </w:pPr>
      <w:r>
        <w:rPr>
          <w:lang w:val="en-GB"/>
        </w:rPr>
        <w:t>Since the CTF is intended to act as</w:t>
      </w:r>
      <w:r w:rsidRPr="00B00FAC">
        <w:rPr>
          <w:lang w:val="en-GB"/>
        </w:rPr>
        <w:t xml:space="preserve"> a catalyst to enhanced participation in Codex</w:t>
      </w:r>
      <w:r>
        <w:rPr>
          <w:lang w:val="en-GB"/>
        </w:rPr>
        <w:t xml:space="preserve"> and also to ensure the financial sustainability of the Trust Fund, a matched funding mechanism has been put in place. </w:t>
      </w:r>
      <w:r w:rsidRPr="00B00FAC">
        <w:rPr>
          <w:lang w:val="en-GB"/>
        </w:rPr>
        <w:t>A gradual increase in the financial participation of countries take</w:t>
      </w:r>
      <w:r>
        <w:rPr>
          <w:lang w:val="en-GB"/>
        </w:rPr>
        <w:t>s</w:t>
      </w:r>
      <w:r w:rsidRPr="00B00FAC">
        <w:rPr>
          <w:lang w:val="en-GB"/>
        </w:rPr>
        <w:t xml:space="preserve"> place according to a sliding scale</w:t>
      </w:r>
      <w:r>
        <w:rPr>
          <w:lang w:val="en-GB"/>
        </w:rPr>
        <w:t xml:space="preserve"> which is shown in </w:t>
      </w:r>
      <w:r w:rsidR="00AE227F">
        <w:rPr>
          <w:lang w:val="en-GB"/>
        </w:rPr>
        <w:fldChar w:fldCharType="begin"/>
      </w:r>
      <w:r w:rsidR="00A60364">
        <w:rPr>
          <w:lang w:val="en-GB"/>
        </w:rPr>
        <w:instrText xml:space="preserve"> REF _Ref256611916 \h </w:instrText>
      </w:r>
      <w:r w:rsidR="00AE227F">
        <w:rPr>
          <w:lang w:val="en-GB"/>
        </w:rPr>
      </w:r>
      <w:r w:rsidR="00AE227F">
        <w:rPr>
          <w:lang w:val="en-GB"/>
        </w:rPr>
        <w:fldChar w:fldCharType="separate"/>
      </w:r>
      <w:r w:rsidR="004F08A8" w:rsidRPr="00332D84">
        <w:rPr>
          <w:lang w:val="en-US"/>
        </w:rPr>
        <w:t xml:space="preserve">Table </w:t>
      </w:r>
      <w:r w:rsidR="004F08A8">
        <w:rPr>
          <w:noProof/>
          <w:lang w:val="en-US"/>
        </w:rPr>
        <w:t>8</w:t>
      </w:r>
      <w:r w:rsidR="00AE227F">
        <w:rPr>
          <w:lang w:val="en-GB"/>
        </w:rPr>
        <w:fldChar w:fldCharType="end"/>
      </w:r>
      <w:r>
        <w:rPr>
          <w:lang w:val="en-GB"/>
        </w:rPr>
        <w:t>. For example, LDCs are expected to start contributing</w:t>
      </w:r>
      <w:r w:rsidR="0001533C">
        <w:rPr>
          <w:lang w:val="en-GB"/>
        </w:rPr>
        <w:t xml:space="preserve"> by their</w:t>
      </w:r>
      <w:r>
        <w:rPr>
          <w:lang w:val="en-GB"/>
        </w:rPr>
        <w:t xml:space="preserve"> sixth year</w:t>
      </w:r>
      <w:r w:rsidR="0001533C">
        <w:rPr>
          <w:lang w:val="en-GB"/>
        </w:rPr>
        <w:t xml:space="preserve"> of participation</w:t>
      </w:r>
      <w:r>
        <w:rPr>
          <w:lang w:val="en-GB"/>
        </w:rPr>
        <w:t xml:space="preserve"> and are no longer eligible for funding (‘graduate’) in the</w:t>
      </w:r>
      <w:r w:rsidR="0001533C">
        <w:rPr>
          <w:lang w:val="en-GB"/>
        </w:rPr>
        <w:t>ir</w:t>
      </w:r>
      <w:r>
        <w:rPr>
          <w:lang w:val="en-GB"/>
        </w:rPr>
        <w:t xml:space="preserve"> eighth year</w:t>
      </w:r>
      <w:r w:rsidR="0001533C">
        <w:rPr>
          <w:lang w:val="en-GB"/>
        </w:rPr>
        <w:t xml:space="preserve"> of participation</w:t>
      </w:r>
      <w:r>
        <w:rPr>
          <w:lang w:val="en-GB"/>
        </w:rPr>
        <w:t xml:space="preserve">. In addition to these rules, </w:t>
      </w:r>
      <w:r w:rsidRPr="00B00FAC">
        <w:rPr>
          <w:lang w:val="en-GB"/>
        </w:rPr>
        <w:t>a decision was taken at the December 2007 meeting of the Consultative Group for the Trust Fund that small island developing states with populations of less than 1 million should be given an additional year at 50% matched funding status</w:t>
      </w:r>
      <w:r>
        <w:rPr>
          <w:lang w:val="en-GB"/>
        </w:rPr>
        <w:t xml:space="preserve"> g</w:t>
      </w:r>
      <w:r w:rsidRPr="00B00FAC">
        <w:rPr>
          <w:lang w:val="en-GB"/>
        </w:rPr>
        <w:t>iven th</w:t>
      </w:r>
      <w:r>
        <w:rPr>
          <w:lang w:val="en-GB"/>
        </w:rPr>
        <w:t xml:space="preserve">e small size of their economies. As shown in </w:t>
      </w:r>
      <w:r w:rsidR="00AE227F">
        <w:rPr>
          <w:highlight w:val="yellow"/>
          <w:lang w:val="en-GB"/>
        </w:rPr>
        <w:fldChar w:fldCharType="begin"/>
      </w:r>
      <w:r w:rsidR="00A60364">
        <w:rPr>
          <w:lang w:val="en-GB"/>
        </w:rPr>
        <w:instrText xml:space="preserve"> REF _Ref256612008 \h </w:instrText>
      </w:r>
      <w:r w:rsidR="00AE227F">
        <w:rPr>
          <w:highlight w:val="yellow"/>
          <w:lang w:val="en-GB"/>
        </w:rPr>
      </w:r>
      <w:r w:rsidR="00AE227F">
        <w:rPr>
          <w:highlight w:val="yellow"/>
          <w:lang w:val="en-GB"/>
        </w:rPr>
        <w:fldChar w:fldCharType="separate"/>
      </w:r>
      <w:r w:rsidR="004F08A8" w:rsidRPr="00332D84">
        <w:rPr>
          <w:lang w:val="en-US"/>
        </w:rPr>
        <w:t xml:space="preserve">Table </w:t>
      </w:r>
      <w:r w:rsidR="004F08A8">
        <w:rPr>
          <w:noProof/>
          <w:lang w:val="en-US"/>
        </w:rPr>
        <w:t>9</w:t>
      </w:r>
      <w:r w:rsidR="00AE227F">
        <w:rPr>
          <w:highlight w:val="yellow"/>
          <w:lang w:val="en-GB"/>
        </w:rPr>
        <w:fldChar w:fldCharType="end"/>
      </w:r>
      <w:r>
        <w:rPr>
          <w:lang w:val="en-GB"/>
        </w:rPr>
        <w:t xml:space="preserve">, the lower the group, the more meetings are financed. The exact levels depends on availability of funds and are decided in December each year by the Consultative Group based on </w:t>
      </w:r>
      <w:r w:rsidR="00FB743D">
        <w:rPr>
          <w:lang w:val="en-GB"/>
        </w:rPr>
        <w:t xml:space="preserve">planning </w:t>
      </w:r>
      <w:r>
        <w:rPr>
          <w:lang w:val="en-GB"/>
        </w:rPr>
        <w:t xml:space="preserve">scenarios presented by the </w:t>
      </w:r>
      <w:r>
        <w:rPr>
          <w:lang w:val="en-GB"/>
        </w:rPr>
        <w:lastRenderedPageBreak/>
        <w:t xml:space="preserve">Secretariat. </w:t>
      </w:r>
      <w:r w:rsidR="00444762">
        <w:rPr>
          <w:lang w:val="en-GB"/>
        </w:rPr>
        <w:t>In total</w:t>
      </w:r>
      <w:r>
        <w:rPr>
          <w:lang w:val="en-GB"/>
        </w:rPr>
        <w:t xml:space="preserve"> 30 countries had graduated by 2010 and 59 countries were on matched funding. So far no countries in </w:t>
      </w:r>
      <w:r w:rsidR="00FB743D">
        <w:rPr>
          <w:lang w:val="en-GB"/>
        </w:rPr>
        <w:t>g</w:t>
      </w:r>
      <w:r>
        <w:rPr>
          <w:lang w:val="en-GB"/>
        </w:rPr>
        <w:t>roup 1 have</w:t>
      </w:r>
      <w:r w:rsidR="00FB743D">
        <w:rPr>
          <w:lang w:val="en-GB"/>
        </w:rPr>
        <w:t xml:space="preserve"> graduated</w:t>
      </w:r>
      <w:r>
        <w:rPr>
          <w:lang w:val="en-GB"/>
        </w:rPr>
        <w:t>, but</w:t>
      </w:r>
      <w:r w:rsidR="00B43267">
        <w:rPr>
          <w:lang w:val="en-GB"/>
        </w:rPr>
        <w:t>,</w:t>
      </w:r>
      <w:r>
        <w:rPr>
          <w:lang w:val="en-GB"/>
        </w:rPr>
        <w:t xml:space="preserve"> </w:t>
      </w:r>
      <w:r w:rsidR="00FB743D">
        <w:rPr>
          <w:lang w:val="en-GB"/>
        </w:rPr>
        <w:t xml:space="preserve">as is shown in </w:t>
      </w:r>
      <w:r w:rsidR="00AE227F">
        <w:rPr>
          <w:lang w:val="en-GB"/>
        </w:rPr>
        <w:fldChar w:fldCharType="begin"/>
      </w:r>
      <w:r w:rsidR="00FB743D">
        <w:rPr>
          <w:lang w:val="en-GB"/>
        </w:rPr>
        <w:instrText xml:space="preserve"> REF _Ref256611185 \h </w:instrText>
      </w:r>
      <w:r w:rsidR="00AE227F">
        <w:rPr>
          <w:lang w:val="en-GB"/>
        </w:rPr>
      </w:r>
      <w:r w:rsidR="00AE227F">
        <w:rPr>
          <w:lang w:val="en-GB"/>
        </w:rPr>
        <w:fldChar w:fldCharType="separate"/>
      </w:r>
      <w:r w:rsidR="004F08A8" w:rsidRPr="00332D84">
        <w:rPr>
          <w:lang w:val="en-US"/>
        </w:rPr>
        <w:t xml:space="preserve">Table </w:t>
      </w:r>
      <w:r w:rsidR="004F08A8">
        <w:rPr>
          <w:noProof/>
          <w:lang w:val="en-US"/>
        </w:rPr>
        <w:t>7</w:t>
      </w:r>
      <w:r w:rsidR="00AE227F">
        <w:rPr>
          <w:lang w:val="en-GB"/>
        </w:rPr>
        <w:fldChar w:fldCharType="end"/>
      </w:r>
      <w:r w:rsidR="00B43267">
        <w:rPr>
          <w:lang w:val="en-GB"/>
        </w:rPr>
        <w:t xml:space="preserve">, </w:t>
      </w:r>
      <w:r>
        <w:rPr>
          <w:lang w:val="en-GB"/>
        </w:rPr>
        <w:t xml:space="preserve">20 countries, including 12 LDCs, can be expected to do so in 2011. </w:t>
      </w:r>
      <w:r w:rsidR="00FB743D">
        <w:rPr>
          <w:lang w:val="en-GB"/>
        </w:rPr>
        <w:t xml:space="preserve">This will </w:t>
      </w:r>
      <w:r w:rsidR="0001533C">
        <w:rPr>
          <w:lang w:val="en-GB"/>
        </w:rPr>
        <w:t xml:space="preserve">be </w:t>
      </w:r>
      <w:r w:rsidR="00FB743D">
        <w:rPr>
          <w:lang w:val="en-GB"/>
        </w:rPr>
        <w:t xml:space="preserve">a decisive point as far as sustainability of participation is concerned. </w:t>
      </w:r>
    </w:p>
    <w:p w:rsidR="00D85203" w:rsidRDefault="00332D84">
      <w:pPr>
        <w:pStyle w:val="Caption"/>
        <w:keepNext/>
        <w:rPr>
          <w:lang w:val="en-US"/>
        </w:rPr>
      </w:pPr>
      <w:bookmarkStart w:id="84" w:name="_Ref256611916"/>
      <w:bookmarkStart w:id="85" w:name="_Toc260036743"/>
      <w:r w:rsidRPr="00332D84">
        <w:rPr>
          <w:lang w:val="en-US"/>
        </w:rPr>
        <w:t xml:space="preserve">Table </w:t>
      </w:r>
      <w:r w:rsidR="00AE227F">
        <w:fldChar w:fldCharType="begin"/>
      </w:r>
      <w:r w:rsidRPr="00332D84">
        <w:rPr>
          <w:lang w:val="en-US"/>
        </w:rPr>
        <w:instrText xml:space="preserve"> SEQ Table \* ARABIC </w:instrText>
      </w:r>
      <w:r w:rsidR="00AE227F">
        <w:fldChar w:fldCharType="separate"/>
      </w:r>
      <w:r w:rsidR="004F08A8">
        <w:rPr>
          <w:noProof/>
          <w:lang w:val="en-US"/>
        </w:rPr>
        <w:t>8</w:t>
      </w:r>
      <w:r w:rsidR="00AE227F">
        <w:fldChar w:fldCharType="end"/>
      </w:r>
      <w:bookmarkEnd w:id="84"/>
      <w:r w:rsidRPr="00332D84">
        <w:rPr>
          <w:lang w:val="en-US"/>
        </w:rPr>
        <w:t xml:space="preserve"> CTF graduation schedule, percentage finance</w:t>
      </w:r>
      <w:r w:rsidR="00117572">
        <w:rPr>
          <w:lang w:val="en-US"/>
        </w:rPr>
        <w:t>d</w:t>
      </w:r>
      <w:r w:rsidRPr="00332D84">
        <w:rPr>
          <w:lang w:val="en-US"/>
        </w:rPr>
        <w:t xml:space="preserve"> by the CTF</w:t>
      </w:r>
      <w:bookmarkEnd w:id="85"/>
    </w:p>
    <w:tbl>
      <w:tblPr>
        <w:tblStyle w:val="MediumGrid3-Accent1"/>
        <w:tblW w:w="0" w:type="auto"/>
        <w:tblLook w:val="04A0" w:firstRow="1" w:lastRow="0" w:firstColumn="1" w:lastColumn="0" w:noHBand="0" w:noVBand="1"/>
      </w:tblPr>
      <w:tblGrid>
        <w:gridCol w:w="1305"/>
        <w:gridCol w:w="986"/>
        <w:gridCol w:w="993"/>
        <w:gridCol w:w="994"/>
        <w:gridCol w:w="1002"/>
        <w:gridCol w:w="1002"/>
        <w:gridCol w:w="1002"/>
        <w:gridCol w:w="994"/>
        <w:gridCol w:w="1002"/>
      </w:tblGrid>
      <w:tr w:rsidR="00493A69" w:rsidRPr="001175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2" w:type="dxa"/>
          </w:tcPr>
          <w:p w:rsidR="00493A69" w:rsidRPr="00117572" w:rsidRDefault="00493A69" w:rsidP="00493A69">
            <w:pPr>
              <w:spacing w:after="100" w:afterAutospacing="1"/>
              <w:rPr>
                <w:rFonts w:asciiTheme="minorHAnsi" w:hAnsiTheme="minorHAnsi"/>
                <w:szCs w:val="20"/>
                <w:lang w:val="en-GB"/>
              </w:rPr>
            </w:pPr>
            <w:r w:rsidRPr="00117572">
              <w:rPr>
                <w:rFonts w:asciiTheme="minorHAnsi" w:hAnsiTheme="minorHAnsi" w:cs="Arial"/>
                <w:bCs w:val="0"/>
                <w:szCs w:val="20"/>
                <w:lang w:val="en-US"/>
              </w:rPr>
              <w:t>Country Group</w:t>
            </w:r>
            <w:r w:rsidR="00A60364" w:rsidRPr="00117572">
              <w:rPr>
                <w:rFonts w:asciiTheme="minorHAnsi" w:hAnsiTheme="minorHAnsi" w:cs="Arial"/>
                <w:bCs w:val="0"/>
                <w:szCs w:val="20"/>
                <w:lang w:val="en-US"/>
              </w:rPr>
              <w:t>/year</w:t>
            </w:r>
          </w:p>
        </w:tc>
        <w:tc>
          <w:tcPr>
            <w:tcW w:w="1022" w:type="dxa"/>
          </w:tcPr>
          <w:p w:rsidR="00493A69" w:rsidRPr="00117572" w:rsidRDefault="00493A69" w:rsidP="00493A69">
            <w:pPr>
              <w:pStyle w:val="Default"/>
              <w:jc w:val="both"/>
              <w:cnfStyle w:val="100000000000" w:firstRow="1" w:lastRow="0" w:firstColumn="0" w:lastColumn="0" w:oddVBand="0" w:evenVBand="0" w:oddHBand="0" w:evenHBand="0" w:firstRowFirstColumn="0" w:firstRowLastColumn="0" w:lastRowFirstColumn="0" w:lastRowLastColumn="0"/>
              <w:rPr>
                <w:rFonts w:asciiTheme="minorHAnsi" w:hAnsiTheme="minorHAnsi" w:cs="Arial"/>
                <w:color w:val="FFFFFF" w:themeColor="background1"/>
                <w:szCs w:val="20"/>
              </w:rPr>
            </w:pPr>
            <w:r w:rsidRPr="00117572">
              <w:rPr>
                <w:rFonts w:asciiTheme="minorHAnsi" w:hAnsiTheme="minorHAnsi" w:cs="Arial"/>
                <w:bCs w:val="0"/>
                <w:color w:val="FFFFFF" w:themeColor="background1"/>
                <w:szCs w:val="20"/>
              </w:rPr>
              <w:t xml:space="preserve">1 </w:t>
            </w:r>
          </w:p>
        </w:tc>
        <w:tc>
          <w:tcPr>
            <w:tcW w:w="1022" w:type="dxa"/>
          </w:tcPr>
          <w:p w:rsidR="00493A69" w:rsidRPr="00117572" w:rsidRDefault="00493A69" w:rsidP="00493A69">
            <w:pPr>
              <w:pStyle w:val="Default"/>
              <w:jc w:val="both"/>
              <w:cnfStyle w:val="100000000000" w:firstRow="1" w:lastRow="0" w:firstColumn="0" w:lastColumn="0" w:oddVBand="0" w:evenVBand="0" w:oddHBand="0" w:evenHBand="0" w:firstRowFirstColumn="0" w:firstRowLastColumn="0" w:lastRowFirstColumn="0" w:lastRowLastColumn="0"/>
              <w:rPr>
                <w:rFonts w:asciiTheme="minorHAnsi" w:hAnsiTheme="minorHAnsi" w:cs="Arial"/>
                <w:color w:val="FFFFFF" w:themeColor="background1"/>
                <w:szCs w:val="20"/>
              </w:rPr>
            </w:pPr>
            <w:r w:rsidRPr="00117572">
              <w:rPr>
                <w:rFonts w:asciiTheme="minorHAnsi" w:hAnsiTheme="minorHAnsi" w:cs="Arial"/>
                <w:bCs w:val="0"/>
                <w:color w:val="FFFFFF" w:themeColor="background1"/>
                <w:szCs w:val="20"/>
              </w:rPr>
              <w:t xml:space="preserve">2 </w:t>
            </w:r>
          </w:p>
        </w:tc>
        <w:tc>
          <w:tcPr>
            <w:tcW w:w="1023" w:type="dxa"/>
          </w:tcPr>
          <w:p w:rsidR="00493A69" w:rsidRPr="00117572" w:rsidRDefault="00493A69" w:rsidP="00493A69">
            <w:pPr>
              <w:pStyle w:val="Default"/>
              <w:jc w:val="both"/>
              <w:cnfStyle w:val="100000000000" w:firstRow="1" w:lastRow="0" w:firstColumn="0" w:lastColumn="0" w:oddVBand="0" w:evenVBand="0" w:oddHBand="0" w:evenHBand="0" w:firstRowFirstColumn="0" w:firstRowLastColumn="0" w:lastRowFirstColumn="0" w:lastRowLastColumn="0"/>
              <w:rPr>
                <w:rFonts w:asciiTheme="minorHAnsi" w:hAnsiTheme="minorHAnsi" w:cs="Arial"/>
                <w:color w:val="FFFFFF" w:themeColor="background1"/>
                <w:szCs w:val="20"/>
              </w:rPr>
            </w:pPr>
            <w:r w:rsidRPr="00117572">
              <w:rPr>
                <w:rFonts w:asciiTheme="minorHAnsi" w:hAnsiTheme="minorHAnsi" w:cs="Arial"/>
                <w:bCs w:val="0"/>
                <w:color w:val="FFFFFF" w:themeColor="background1"/>
                <w:szCs w:val="20"/>
              </w:rPr>
              <w:t xml:space="preserve">3 </w:t>
            </w:r>
          </w:p>
        </w:tc>
        <w:tc>
          <w:tcPr>
            <w:tcW w:w="1023" w:type="dxa"/>
          </w:tcPr>
          <w:p w:rsidR="00493A69" w:rsidRPr="00117572" w:rsidRDefault="00493A69" w:rsidP="00493A69">
            <w:pPr>
              <w:pStyle w:val="Default"/>
              <w:jc w:val="both"/>
              <w:cnfStyle w:val="100000000000" w:firstRow="1" w:lastRow="0" w:firstColumn="0" w:lastColumn="0" w:oddVBand="0" w:evenVBand="0" w:oddHBand="0" w:evenHBand="0" w:firstRowFirstColumn="0" w:firstRowLastColumn="0" w:lastRowFirstColumn="0" w:lastRowLastColumn="0"/>
              <w:rPr>
                <w:rFonts w:asciiTheme="minorHAnsi" w:hAnsiTheme="minorHAnsi" w:cs="Arial"/>
                <w:color w:val="FFFFFF" w:themeColor="background1"/>
                <w:szCs w:val="20"/>
              </w:rPr>
            </w:pPr>
            <w:r w:rsidRPr="00117572">
              <w:rPr>
                <w:rFonts w:asciiTheme="minorHAnsi" w:hAnsiTheme="minorHAnsi" w:cs="Arial"/>
                <w:bCs w:val="0"/>
                <w:color w:val="FFFFFF" w:themeColor="background1"/>
                <w:szCs w:val="20"/>
              </w:rPr>
              <w:t xml:space="preserve">4 </w:t>
            </w:r>
          </w:p>
        </w:tc>
        <w:tc>
          <w:tcPr>
            <w:tcW w:w="1023" w:type="dxa"/>
          </w:tcPr>
          <w:p w:rsidR="00493A69" w:rsidRPr="00117572" w:rsidRDefault="00493A69" w:rsidP="00493A69">
            <w:pPr>
              <w:pStyle w:val="Default"/>
              <w:jc w:val="both"/>
              <w:cnfStyle w:val="100000000000" w:firstRow="1" w:lastRow="0" w:firstColumn="0" w:lastColumn="0" w:oddVBand="0" w:evenVBand="0" w:oddHBand="0" w:evenHBand="0" w:firstRowFirstColumn="0" w:firstRowLastColumn="0" w:lastRowFirstColumn="0" w:lastRowLastColumn="0"/>
              <w:rPr>
                <w:rFonts w:asciiTheme="minorHAnsi" w:hAnsiTheme="minorHAnsi" w:cs="Arial"/>
                <w:color w:val="FFFFFF" w:themeColor="background1"/>
                <w:szCs w:val="20"/>
              </w:rPr>
            </w:pPr>
            <w:r w:rsidRPr="00117572">
              <w:rPr>
                <w:rFonts w:asciiTheme="minorHAnsi" w:hAnsiTheme="minorHAnsi" w:cs="Arial"/>
                <w:bCs w:val="0"/>
                <w:color w:val="FFFFFF" w:themeColor="background1"/>
                <w:szCs w:val="20"/>
              </w:rPr>
              <w:t xml:space="preserve">5 </w:t>
            </w:r>
          </w:p>
        </w:tc>
        <w:tc>
          <w:tcPr>
            <w:tcW w:w="1023" w:type="dxa"/>
          </w:tcPr>
          <w:p w:rsidR="00493A69" w:rsidRPr="00117572" w:rsidRDefault="00493A69" w:rsidP="00493A69">
            <w:pPr>
              <w:pStyle w:val="Default"/>
              <w:jc w:val="both"/>
              <w:cnfStyle w:val="100000000000" w:firstRow="1" w:lastRow="0" w:firstColumn="0" w:lastColumn="0" w:oddVBand="0" w:evenVBand="0" w:oddHBand="0" w:evenHBand="0" w:firstRowFirstColumn="0" w:firstRowLastColumn="0" w:lastRowFirstColumn="0" w:lastRowLastColumn="0"/>
              <w:rPr>
                <w:rFonts w:asciiTheme="minorHAnsi" w:hAnsiTheme="minorHAnsi" w:cs="Arial"/>
                <w:color w:val="FFFFFF" w:themeColor="background1"/>
                <w:szCs w:val="20"/>
              </w:rPr>
            </w:pPr>
            <w:r w:rsidRPr="00117572">
              <w:rPr>
                <w:rFonts w:asciiTheme="minorHAnsi" w:hAnsiTheme="minorHAnsi" w:cs="Arial"/>
                <w:bCs w:val="0"/>
                <w:color w:val="FFFFFF" w:themeColor="background1"/>
                <w:szCs w:val="20"/>
              </w:rPr>
              <w:t xml:space="preserve">6 </w:t>
            </w:r>
          </w:p>
        </w:tc>
        <w:tc>
          <w:tcPr>
            <w:tcW w:w="1023" w:type="dxa"/>
          </w:tcPr>
          <w:p w:rsidR="00493A69" w:rsidRPr="00117572" w:rsidRDefault="00493A69" w:rsidP="00493A69">
            <w:pPr>
              <w:pStyle w:val="Default"/>
              <w:jc w:val="both"/>
              <w:cnfStyle w:val="100000000000" w:firstRow="1" w:lastRow="0" w:firstColumn="0" w:lastColumn="0" w:oddVBand="0" w:evenVBand="0" w:oddHBand="0" w:evenHBand="0" w:firstRowFirstColumn="0" w:firstRowLastColumn="0" w:lastRowFirstColumn="0" w:lastRowLastColumn="0"/>
              <w:rPr>
                <w:rFonts w:asciiTheme="minorHAnsi" w:hAnsiTheme="minorHAnsi" w:cs="Arial"/>
                <w:color w:val="FFFFFF" w:themeColor="background1"/>
                <w:szCs w:val="20"/>
              </w:rPr>
            </w:pPr>
            <w:r w:rsidRPr="00117572">
              <w:rPr>
                <w:rFonts w:asciiTheme="minorHAnsi" w:hAnsiTheme="minorHAnsi" w:cs="Arial"/>
                <w:bCs w:val="0"/>
                <w:color w:val="FFFFFF" w:themeColor="background1"/>
                <w:szCs w:val="20"/>
              </w:rPr>
              <w:t xml:space="preserve">7 </w:t>
            </w:r>
          </w:p>
        </w:tc>
        <w:tc>
          <w:tcPr>
            <w:tcW w:w="1023" w:type="dxa"/>
          </w:tcPr>
          <w:p w:rsidR="00493A69" w:rsidRPr="00117572" w:rsidRDefault="00493A69" w:rsidP="00493A69">
            <w:pPr>
              <w:pStyle w:val="Default"/>
              <w:jc w:val="both"/>
              <w:cnfStyle w:val="100000000000" w:firstRow="1" w:lastRow="0" w:firstColumn="0" w:lastColumn="0" w:oddVBand="0" w:evenVBand="0" w:oddHBand="0" w:evenHBand="0" w:firstRowFirstColumn="0" w:firstRowLastColumn="0" w:lastRowFirstColumn="0" w:lastRowLastColumn="0"/>
              <w:rPr>
                <w:rFonts w:asciiTheme="minorHAnsi" w:hAnsiTheme="minorHAnsi" w:cs="Arial"/>
                <w:color w:val="FFFFFF" w:themeColor="background1"/>
                <w:szCs w:val="20"/>
              </w:rPr>
            </w:pPr>
            <w:r w:rsidRPr="00117572">
              <w:rPr>
                <w:rFonts w:asciiTheme="minorHAnsi" w:hAnsiTheme="minorHAnsi" w:cs="Arial"/>
                <w:bCs w:val="0"/>
                <w:color w:val="FFFFFF" w:themeColor="background1"/>
                <w:szCs w:val="20"/>
              </w:rPr>
              <w:t xml:space="preserve">8 </w:t>
            </w:r>
          </w:p>
        </w:tc>
      </w:tr>
      <w:tr w:rsidR="00493A69" w:rsidRPr="001175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2" w:type="dxa"/>
          </w:tcPr>
          <w:p w:rsidR="00493A69" w:rsidRPr="00117572" w:rsidRDefault="00493A69" w:rsidP="00493A69">
            <w:pPr>
              <w:spacing w:after="100" w:afterAutospacing="1"/>
              <w:rPr>
                <w:rFonts w:asciiTheme="minorHAnsi" w:hAnsiTheme="minorHAnsi"/>
                <w:szCs w:val="20"/>
                <w:lang w:val="en-GB"/>
              </w:rPr>
            </w:pPr>
            <w:r w:rsidRPr="00117572">
              <w:rPr>
                <w:rFonts w:asciiTheme="minorHAnsi" w:hAnsiTheme="minorHAnsi"/>
                <w:szCs w:val="20"/>
                <w:lang w:val="en-GB"/>
              </w:rPr>
              <w:t>1</w:t>
            </w:r>
          </w:p>
        </w:tc>
        <w:tc>
          <w:tcPr>
            <w:tcW w:w="1022" w:type="dxa"/>
          </w:tcPr>
          <w:p w:rsidR="00493A69" w:rsidRPr="00117572" w:rsidRDefault="00493A69" w:rsidP="00493A69">
            <w:pPr>
              <w:pStyle w:val="Default"/>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20"/>
              </w:rPr>
            </w:pPr>
            <w:r w:rsidRPr="00117572">
              <w:rPr>
                <w:rFonts w:asciiTheme="minorHAnsi" w:hAnsiTheme="minorHAnsi" w:cs="Arial"/>
                <w:szCs w:val="20"/>
              </w:rPr>
              <w:t xml:space="preserve">0% </w:t>
            </w:r>
          </w:p>
        </w:tc>
        <w:tc>
          <w:tcPr>
            <w:tcW w:w="1022" w:type="dxa"/>
          </w:tcPr>
          <w:p w:rsidR="00493A69" w:rsidRPr="00117572" w:rsidRDefault="00493A69" w:rsidP="00493A69">
            <w:pPr>
              <w:pStyle w:val="Default"/>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20"/>
              </w:rPr>
            </w:pPr>
            <w:r w:rsidRPr="00117572">
              <w:rPr>
                <w:rFonts w:asciiTheme="minorHAnsi" w:hAnsiTheme="minorHAnsi" w:cs="Arial"/>
                <w:szCs w:val="20"/>
              </w:rPr>
              <w:t xml:space="preserve">0% </w:t>
            </w:r>
          </w:p>
        </w:tc>
        <w:tc>
          <w:tcPr>
            <w:tcW w:w="1023" w:type="dxa"/>
          </w:tcPr>
          <w:p w:rsidR="00493A69" w:rsidRPr="00117572" w:rsidRDefault="00493A69" w:rsidP="00493A69">
            <w:pPr>
              <w:pStyle w:val="Default"/>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20"/>
              </w:rPr>
            </w:pPr>
            <w:r w:rsidRPr="00117572">
              <w:rPr>
                <w:rFonts w:asciiTheme="minorHAnsi" w:hAnsiTheme="minorHAnsi" w:cs="Arial"/>
                <w:szCs w:val="20"/>
              </w:rPr>
              <w:t xml:space="preserve">0% </w:t>
            </w:r>
          </w:p>
        </w:tc>
        <w:tc>
          <w:tcPr>
            <w:tcW w:w="1023" w:type="dxa"/>
          </w:tcPr>
          <w:p w:rsidR="00493A69" w:rsidRPr="00117572" w:rsidRDefault="00493A69" w:rsidP="00493A69">
            <w:pPr>
              <w:pStyle w:val="Default"/>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20"/>
              </w:rPr>
            </w:pPr>
            <w:r w:rsidRPr="00117572">
              <w:rPr>
                <w:rFonts w:asciiTheme="minorHAnsi" w:hAnsiTheme="minorHAnsi" w:cs="Arial"/>
                <w:szCs w:val="20"/>
              </w:rPr>
              <w:t xml:space="preserve">0% </w:t>
            </w:r>
          </w:p>
        </w:tc>
        <w:tc>
          <w:tcPr>
            <w:tcW w:w="1023" w:type="dxa"/>
          </w:tcPr>
          <w:p w:rsidR="00493A69" w:rsidRPr="00117572" w:rsidRDefault="00493A69" w:rsidP="00493A69">
            <w:pPr>
              <w:pStyle w:val="Default"/>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20"/>
              </w:rPr>
            </w:pPr>
            <w:r w:rsidRPr="00117572">
              <w:rPr>
                <w:rFonts w:asciiTheme="minorHAnsi" w:hAnsiTheme="minorHAnsi" w:cs="Arial"/>
                <w:szCs w:val="20"/>
              </w:rPr>
              <w:t xml:space="preserve">0% </w:t>
            </w:r>
          </w:p>
        </w:tc>
        <w:tc>
          <w:tcPr>
            <w:tcW w:w="1023" w:type="dxa"/>
          </w:tcPr>
          <w:p w:rsidR="00493A69" w:rsidRPr="00117572" w:rsidRDefault="00493A69" w:rsidP="00493A69">
            <w:pPr>
              <w:pStyle w:val="Default"/>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20"/>
              </w:rPr>
            </w:pPr>
            <w:r w:rsidRPr="00117572">
              <w:rPr>
                <w:rFonts w:asciiTheme="minorHAnsi" w:hAnsiTheme="minorHAnsi" w:cs="Arial"/>
                <w:szCs w:val="20"/>
              </w:rPr>
              <w:t xml:space="preserve">50% </w:t>
            </w:r>
          </w:p>
        </w:tc>
        <w:tc>
          <w:tcPr>
            <w:tcW w:w="1023" w:type="dxa"/>
          </w:tcPr>
          <w:p w:rsidR="00493A69" w:rsidRPr="00117572" w:rsidRDefault="00493A69" w:rsidP="00493A69">
            <w:pPr>
              <w:pStyle w:val="Default"/>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20"/>
              </w:rPr>
            </w:pPr>
            <w:r w:rsidRPr="00117572">
              <w:rPr>
                <w:rFonts w:asciiTheme="minorHAnsi" w:hAnsiTheme="minorHAnsi" w:cs="Arial"/>
                <w:szCs w:val="20"/>
              </w:rPr>
              <w:t xml:space="preserve">50% </w:t>
            </w:r>
          </w:p>
        </w:tc>
        <w:tc>
          <w:tcPr>
            <w:tcW w:w="1023" w:type="dxa"/>
          </w:tcPr>
          <w:p w:rsidR="00493A69" w:rsidRPr="00117572" w:rsidRDefault="00493A69" w:rsidP="00493A69">
            <w:pPr>
              <w:pStyle w:val="Default"/>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20"/>
              </w:rPr>
            </w:pPr>
            <w:r w:rsidRPr="00117572">
              <w:rPr>
                <w:rFonts w:asciiTheme="minorHAnsi" w:hAnsiTheme="minorHAnsi" w:cs="Arial"/>
                <w:szCs w:val="20"/>
              </w:rPr>
              <w:t xml:space="preserve">100% </w:t>
            </w:r>
          </w:p>
        </w:tc>
      </w:tr>
      <w:tr w:rsidR="00493A69" w:rsidRPr="0011757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2" w:type="dxa"/>
          </w:tcPr>
          <w:p w:rsidR="00493A69" w:rsidRPr="00117572" w:rsidRDefault="00493A69" w:rsidP="00493A69">
            <w:pPr>
              <w:spacing w:after="100" w:afterAutospacing="1"/>
              <w:rPr>
                <w:rFonts w:asciiTheme="minorHAnsi" w:hAnsiTheme="minorHAnsi"/>
                <w:szCs w:val="20"/>
                <w:lang w:val="en-GB"/>
              </w:rPr>
            </w:pPr>
            <w:r w:rsidRPr="00117572">
              <w:rPr>
                <w:rFonts w:asciiTheme="minorHAnsi" w:hAnsiTheme="minorHAnsi"/>
                <w:szCs w:val="20"/>
                <w:lang w:val="en-GB"/>
              </w:rPr>
              <w:t>2</w:t>
            </w:r>
          </w:p>
        </w:tc>
        <w:tc>
          <w:tcPr>
            <w:tcW w:w="1022" w:type="dxa"/>
          </w:tcPr>
          <w:p w:rsidR="00493A69" w:rsidRPr="00117572" w:rsidRDefault="00493A69" w:rsidP="00493A69">
            <w:pPr>
              <w:pStyle w:val="Default"/>
              <w:jc w:val="both"/>
              <w:cnfStyle w:val="000000010000" w:firstRow="0" w:lastRow="0" w:firstColumn="0" w:lastColumn="0" w:oddVBand="0" w:evenVBand="0" w:oddHBand="0" w:evenHBand="1" w:firstRowFirstColumn="0" w:firstRowLastColumn="0" w:lastRowFirstColumn="0" w:lastRowLastColumn="0"/>
              <w:rPr>
                <w:rFonts w:asciiTheme="minorHAnsi" w:hAnsiTheme="minorHAnsi" w:cs="Arial"/>
                <w:szCs w:val="20"/>
              </w:rPr>
            </w:pPr>
            <w:r w:rsidRPr="00117572">
              <w:rPr>
                <w:rFonts w:asciiTheme="minorHAnsi" w:hAnsiTheme="minorHAnsi" w:cs="Arial"/>
                <w:szCs w:val="20"/>
              </w:rPr>
              <w:t xml:space="preserve">0% </w:t>
            </w:r>
          </w:p>
        </w:tc>
        <w:tc>
          <w:tcPr>
            <w:tcW w:w="1022" w:type="dxa"/>
          </w:tcPr>
          <w:p w:rsidR="00493A69" w:rsidRPr="00117572" w:rsidRDefault="00493A69" w:rsidP="00493A69">
            <w:pPr>
              <w:pStyle w:val="Default"/>
              <w:jc w:val="both"/>
              <w:cnfStyle w:val="000000010000" w:firstRow="0" w:lastRow="0" w:firstColumn="0" w:lastColumn="0" w:oddVBand="0" w:evenVBand="0" w:oddHBand="0" w:evenHBand="1" w:firstRowFirstColumn="0" w:firstRowLastColumn="0" w:lastRowFirstColumn="0" w:lastRowLastColumn="0"/>
              <w:rPr>
                <w:rFonts w:asciiTheme="minorHAnsi" w:hAnsiTheme="minorHAnsi" w:cs="Arial"/>
                <w:szCs w:val="20"/>
              </w:rPr>
            </w:pPr>
            <w:r w:rsidRPr="00117572">
              <w:rPr>
                <w:rFonts w:asciiTheme="minorHAnsi" w:hAnsiTheme="minorHAnsi" w:cs="Arial"/>
                <w:szCs w:val="20"/>
              </w:rPr>
              <w:t xml:space="preserve">0% </w:t>
            </w:r>
          </w:p>
        </w:tc>
        <w:tc>
          <w:tcPr>
            <w:tcW w:w="1023" w:type="dxa"/>
          </w:tcPr>
          <w:p w:rsidR="00493A69" w:rsidRPr="00117572" w:rsidRDefault="00493A69" w:rsidP="00493A69">
            <w:pPr>
              <w:pStyle w:val="Default"/>
              <w:jc w:val="both"/>
              <w:cnfStyle w:val="000000010000" w:firstRow="0" w:lastRow="0" w:firstColumn="0" w:lastColumn="0" w:oddVBand="0" w:evenVBand="0" w:oddHBand="0" w:evenHBand="1" w:firstRowFirstColumn="0" w:firstRowLastColumn="0" w:lastRowFirstColumn="0" w:lastRowLastColumn="0"/>
              <w:rPr>
                <w:rFonts w:asciiTheme="minorHAnsi" w:hAnsiTheme="minorHAnsi" w:cs="Arial"/>
                <w:szCs w:val="20"/>
              </w:rPr>
            </w:pPr>
            <w:r w:rsidRPr="00117572">
              <w:rPr>
                <w:rFonts w:asciiTheme="minorHAnsi" w:hAnsiTheme="minorHAnsi" w:cs="Arial"/>
                <w:szCs w:val="20"/>
              </w:rPr>
              <w:t xml:space="preserve">0% </w:t>
            </w:r>
          </w:p>
        </w:tc>
        <w:tc>
          <w:tcPr>
            <w:tcW w:w="1023" w:type="dxa"/>
          </w:tcPr>
          <w:p w:rsidR="00493A69" w:rsidRPr="00117572" w:rsidRDefault="00493A69" w:rsidP="00493A69">
            <w:pPr>
              <w:pStyle w:val="Default"/>
              <w:jc w:val="both"/>
              <w:cnfStyle w:val="000000010000" w:firstRow="0" w:lastRow="0" w:firstColumn="0" w:lastColumn="0" w:oddVBand="0" w:evenVBand="0" w:oddHBand="0" w:evenHBand="1" w:firstRowFirstColumn="0" w:firstRowLastColumn="0" w:lastRowFirstColumn="0" w:lastRowLastColumn="0"/>
              <w:rPr>
                <w:rFonts w:asciiTheme="minorHAnsi" w:hAnsiTheme="minorHAnsi" w:cs="Arial"/>
                <w:szCs w:val="20"/>
              </w:rPr>
            </w:pPr>
            <w:r w:rsidRPr="00117572">
              <w:rPr>
                <w:rFonts w:asciiTheme="minorHAnsi" w:hAnsiTheme="minorHAnsi" w:cs="Arial"/>
                <w:szCs w:val="20"/>
              </w:rPr>
              <w:t xml:space="preserve">50% </w:t>
            </w:r>
          </w:p>
        </w:tc>
        <w:tc>
          <w:tcPr>
            <w:tcW w:w="1023" w:type="dxa"/>
          </w:tcPr>
          <w:p w:rsidR="00493A69" w:rsidRPr="00117572" w:rsidRDefault="00493A69" w:rsidP="00493A69">
            <w:pPr>
              <w:pStyle w:val="Default"/>
              <w:jc w:val="both"/>
              <w:cnfStyle w:val="000000010000" w:firstRow="0" w:lastRow="0" w:firstColumn="0" w:lastColumn="0" w:oddVBand="0" w:evenVBand="0" w:oddHBand="0" w:evenHBand="1" w:firstRowFirstColumn="0" w:firstRowLastColumn="0" w:lastRowFirstColumn="0" w:lastRowLastColumn="0"/>
              <w:rPr>
                <w:rFonts w:asciiTheme="minorHAnsi" w:hAnsiTheme="minorHAnsi" w:cs="Arial"/>
                <w:szCs w:val="20"/>
              </w:rPr>
            </w:pPr>
            <w:r w:rsidRPr="00117572">
              <w:rPr>
                <w:rFonts w:asciiTheme="minorHAnsi" w:hAnsiTheme="minorHAnsi" w:cs="Arial"/>
                <w:szCs w:val="20"/>
              </w:rPr>
              <w:t xml:space="preserve">50% </w:t>
            </w:r>
          </w:p>
        </w:tc>
        <w:tc>
          <w:tcPr>
            <w:tcW w:w="1023" w:type="dxa"/>
          </w:tcPr>
          <w:p w:rsidR="00493A69" w:rsidRPr="00117572" w:rsidRDefault="00493A69" w:rsidP="00493A69">
            <w:pPr>
              <w:pStyle w:val="Default"/>
              <w:jc w:val="both"/>
              <w:cnfStyle w:val="000000010000" w:firstRow="0" w:lastRow="0" w:firstColumn="0" w:lastColumn="0" w:oddVBand="0" w:evenVBand="0" w:oddHBand="0" w:evenHBand="1" w:firstRowFirstColumn="0" w:firstRowLastColumn="0" w:lastRowFirstColumn="0" w:lastRowLastColumn="0"/>
              <w:rPr>
                <w:rFonts w:asciiTheme="minorHAnsi" w:hAnsiTheme="minorHAnsi" w:cs="Arial"/>
                <w:szCs w:val="20"/>
              </w:rPr>
            </w:pPr>
            <w:r w:rsidRPr="00117572">
              <w:rPr>
                <w:rFonts w:asciiTheme="minorHAnsi" w:hAnsiTheme="minorHAnsi" w:cs="Arial"/>
                <w:szCs w:val="20"/>
              </w:rPr>
              <w:t xml:space="preserve">100% </w:t>
            </w:r>
          </w:p>
        </w:tc>
        <w:tc>
          <w:tcPr>
            <w:tcW w:w="1023" w:type="dxa"/>
          </w:tcPr>
          <w:p w:rsidR="00493A69" w:rsidRPr="00117572" w:rsidRDefault="00493A69" w:rsidP="00493A69">
            <w:pPr>
              <w:spacing w:after="100" w:afterAutospacing="1"/>
              <w:cnfStyle w:val="000000010000" w:firstRow="0" w:lastRow="0" w:firstColumn="0" w:lastColumn="0" w:oddVBand="0" w:evenVBand="0" w:oddHBand="0" w:evenHBand="1" w:firstRowFirstColumn="0" w:firstRowLastColumn="0" w:lastRowFirstColumn="0" w:lastRowLastColumn="0"/>
              <w:rPr>
                <w:rFonts w:asciiTheme="minorHAnsi" w:hAnsiTheme="minorHAnsi"/>
                <w:szCs w:val="20"/>
                <w:lang w:val="en-GB"/>
              </w:rPr>
            </w:pPr>
          </w:p>
        </w:tc>
        <w:tc>
          <w:tcPr>
            <w:tcW w:w="1023" w:type="dxa"/>
          </w:tcPr>
          <w:p w:rsidR="00493A69" w:rsidRPr="00117572" w:rsidRDefault="00493A69" w:rsidP="00493A69">
            <w:pPr>
              <w:spacing w:after="100" w:afterAutospacing="1"/>
              <w:cnfStyle w:val="000000010000" w:firstRow="0" w:lastRow="0" w:firstColumn="0" w:lastColumn="0" w:oddVBand="0" w:evenVBand="0" w:oddHBand="0" w:evenHBand="1" w:firstRowFirstColumn="0" w:firstRowLastColumn="0" w:lastRowFirstColumn="0" w:lastRowLastColumn="0"/>
              <w:rPr>
                <w:rFonts w:asciiTheme="minorHAnsi" w:hAnsiTheme="minorHAnsi"/>
                <w:szCs w:val="20"/>
                <w:lang w:val="en-GB"/>
              </w:rPr>
            </w:pPr>
          </w:p>
        </w:tc>
      </w:tr>
      <w:tr w:rsidR="00493A69" w:rsidRPr="001175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2" w:type="dxa"/>
          </w:tcPr>
          <w:p w:rsidR="00493A69" w:rsidRPr="00117572" w:rsidRDefault="00493A69" w:rsidP="00493A69">
            <w:pPr>
              <w:spacing w:after="100" w:afterAutospacing="1"/>
              <w:rPr>
                <w:rFonts w:asciiTheme="minorHAnsi" w:hAnsiTheme="minorHAnsi"/>
                <w:szCs w:val="20"/>
                <w:lang w:val="en-GB"/>
              </w:rPr>
            </w:pPr>
            <w:r w:rsidRPr="00117572">
              <w:rPr>
                <w:rFonts w:asciiTheme="minorHAnsi" w:hAnsiTheme="minorHAnsi"/>
                <w:szCs w:val="20"/>
                <w:lang w:val="en-GB"/>
              </w:rPr>
              <w:t>3A</w:t>
            </w:r>
          </w:p>
        </w:tc>
        <w:tc>
          <w:tcPr>
            <w:tcW w:w="1022" w:type="dxa"/>
          </w:tcPr>
          <w:p w:rsidR="00493A69" w:rsidRPr="00117572" w:rsidRDefault="00493A69" w:rsidP="00493A69">
            <w:pPr>
              <w:pStyle w:val="Default"/>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20"/>
              </w:rPr>
            </w:pPr>
            <w:r w:rsidRPr="00117572">
              <w:rPr>
                <w:rFonts w:asciiTheme="minorHAnsi" w:hAnsiTheme="minorHAnsi" w:cs="Arial"/>
                <w:szCs w:val="20"/>
              </w:rPr>
              <w:t xml:space="preserve">0% </w:t>
            </w:r>
          </w:p>
        </w:tc>
        <w:tc>
          <w:tcPr>
            <w:tcW w:w="1022" w:type="dxa"/>
          </w:tcPr>
          <w:p w:rsidR="00493A69" w:rsidRPr="00117572" w:rsidRDefault="00493A69" w:rsidP="00493A69">
            <w:pPr>
              <w:pStyle w:val="Default"/>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20"/>
              </w:rPr>
            </w:pPr>
            <w:r w:rsidRPr="00117572">
              <w:rPr>
                <w:rFonts w:asciiTheme="minorHAnsi" w:hAnsiTheme="minorHAnsi" w:cs="Arial"/>
                <w:szCs w:val="20"/>
              </w:rPr>
              <w:t xml:space="preserve">50% </w:t>
            </w:r>
          </w:p>
        </w:tc>
        <w:tc>
          <w:tcPr>
            <w:tcW w:w="1023" w:type="dxa"/>
          </w:tcPr>
          <w:p w:rsidR="00493A69" w:rsidRPr="00117572" w:rsidRDefault="00493A69" w:rsidP="00493A69">
            <w:pPr>
              <w:pStyle w:val="Default"/>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20"/>
              </w:rPr>
            </w:pPr>
            <w:r w:rsidRPr="00117572">
              <w:rPr>
                <w:rFonts w:asciiTheme="minorHAnsi" w:hAnsiTheme="minorHAnsi" w:cs="Arial"/>
                <w:szCs w:val="20"/>
              </w:rPr>
              <w:t xml:space="preserve">50% </w:t>
            </w:r>
          </w:p>
        </w:tc>
        <w:tc>
          <w:tcPr>
            <w:tcW w:w="1023" w:type="dxa"/>
          </w:tcPr>
          <w:p w:rsidR="00493A69" w:rsidRPr="00117572" w:rsidRDefault="00493A69" w:rsidP="00493A69">
            <w:pPr>
              <w:pStyle w:val="Default"/>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20"/>
              </w:rPr>
            </w:pPr>
            <w:r w:rsidRPr="00117572">
              <w:rPr>
                <w:rFonts w:asciiTheme="minorHAnsi" w:hAnsiTheme="minorHAnsi" w:cs="Arial"/>
                <w:szCs w:val="20"/>
              </w:rPr>
              <w:t xml:space="preserve">50% </w:t>
            </w:r>
          </w:p>
        </w:tc>
        <w:tc>
          <w:tcPr>
            <w:tcW w:w="1023" w:type="dxa"/>
          </w:tcPr>
          <w:p w:rsidR="00493A69" w:rsidRPr="00117572" w:rsidRDefault="00493A69" w:rsidP="00493A69">
            <w:pPr>
              <w:pStyle w:val="Default"/>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20"/>
              </w:rPr>
            </w:pPr>
            <w:r w:rsidRPr="00117572">
              <w:rPr>
                <w:rFonts w:asciiTheme="minorHAnsi" w:hAnsiTheme="minorHAnsi" w:cs="Arial"/>
                <w:szCs w:val="20"/>
              </w:rPr>
              <w:t xml:space="preserve">100% </w:t>
            </w:r>
          </w:p>
        </w:tc>
        <w:tc>
          <w:tcPr>
            <w:tcW w:w="1023" w:type="dxa"/>
          </w:tcPr>
          <w:p w:rsidR="00493A69" w:rsidRPr="00117572" w:rsidRDefault="00493A69" w:rsidP="00493A69">
            <w:pPr>
              <w:spacing w:after="100" w:afterAutospacing="1"/>
              <w:cnfStyle w:val="000000100000" w:firstRow="0" w:lastRow="0" w:firstColumn="0" w:lastColumn="0" w:oddVBand="0" w:evenVBand="0" w:oddHBand="1" w:evenHBand="0" w:firstRowFirstColumn="0" w:firstRowLastColumn="0" w:lastRowFirstColumn="0" w:lastRowLastColumn="0"/>
              <w:rPr>
                <w:rFonts w:asciiTheme="minorHAnsi" w:hAnsiTheme="minorHAnsi"/>
                <w:szCs w:val="20"/>
                <w:lang w:val="en-GB"/>
              </w:rPr>
            </w:pPr>
          </w:p>
        </w:tc>
        <w:tc>
          <w:tcPr>
            <w:tcW w:w="1023" w:type="dxa"/>
          </w:tcPr>
          <w:p w:rsidR="00493A69" w:rsidRPr="00117572" w:rsidRDefault="00493A69" w:rsidP="00493A69">
            <w:pPr>
              <w:spacing w:after="100" w:afterAutospacing="1"/>
              <w:cnfStyle w:val="000000100000" w:firstRow="0" w:lastRow="0" w:firstColumn="0" w:lastColumn="0" w:oddVBand="0" w:evenVBand="0" w:oddHBand="1" w:evenHBand="0" w:firstRowFirstColumn="0" w:firstRowLastColumn="0" w:lastRowFirstColumn="0" w:lastRowLastColumn="0"/>
              <w:rPr>
                <w:rFonts w:asciiTheme="minorHAnsi" w:hAnsiTheme="minorHAnsi"/>
                <w:szCs w:val="20"/>
                <w:lang w:val="en-GB"/>
              </w:rPr>
            </w:pPr>
          </w:p>
        </w:tc>
        <w:tc>
          <w:tcPr>
            <w:tcW w:w="1023" w:type="dxa"/>
          </w:tcPr>
          <w:p w:rsidR="00493A69" w:rsidRPr="00117572" w:rsidRDefault="00493A69" w:rsidP="00493A69">
            <w:pPr>
              <w:spacing w:after="100" w:afterAutospacing="1"/>
              <w:cnfStyle w:val="000000100000" w:firstRow="0" w:lastRow="0" w:firstColumn="0" w:lastColumn="0" w:oddVBand="0" w:evenVBand="0" w:oddHBand="1" w:evenHBand="0" w:firstRowFirstColumn="0" w:firstRowLastColumn="0" w:lastRowFirstColumn="0" w:lastRowLastColumn="0"/>
              <w:rPr>
                <w:rFonts w:asciiTheme="minorHAnsi" w:hAnsiTheme="minorHAnsi"/>
                <w:szCs w:val="20"/>
                <w:lang w:val="en-GB"/>
              </w:rPr>
            </w:pPr>
          </w:p>
        </w:tc>
      </w:tr>
      <w:tr w:rsidR="00493A69" w:rsidRPr="0011757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2" w:type="dxa"/>
          </w:tcPr>
          <w:p w:rsidR="00493A69" w:rsidRPr="00117572" w:rsidRDefault="00493A69" w:rsidP="00493A69">
            <w:pPr>
              <w:spacing w:after="100" w:afterAutospacing="1"/>
              <w:rPr>
                <w:rFonts w:asciiTheme="minorHAnsi" w:hAnsiTheme="minorHAnsi"/>
                <w:szCs w:val="20"/>
                <w:lang w:val="en-GB"/>
              </w:rPr>
            </w:pPr>
            <w:r w:rsidRPr="00117572">
              <w:rPr>
                <w:rFonts w:asciiTheme="minorHAnsi" w:hAnsiTheme="minorHAnsi"/>
                <w:szCs w:val="20"/>
                <w:lang w:val="en-GB"/>
              </w:rPr>
              <w:t>3B</w:t>
            </w:r>
          </w:p>
        </w:tc>
        <w:tc>
          <w:tcPr>
            <w:tcW w:w="1022" w:type="dxa"/>
          </w:tcPr>
          <w:p w:rsidR="00493A69" w:rsidRPr="00117572" w:rsidRDefault="00493A69" w:rsidP="00493A69">
            <w:pPr>
              <w:pStyle w:val="Default"/>
              <w:jc w:val="both"/>
              <w:cnfStyle w:val="000000010000" w:firstRow="0" w:lastRow="0" w:firstColumn="0" w:lastColumn="0" w:oddVBand="0" w:evenVBand="0" w:oddHBand="0" w:evenHBand="1" w:firstRowFirstColumn="0" w:firstRowLastColumn="0" w:lastRowFirstColumn="0" w:lastRowLastColumn="0"/>
              <w:rPr>
                <w:rFonts w:asciiTheme="minorHAnsi" w:hAnsiTheme="minorHAnsi" w:cs="Arial"/>
                <w:szCs w:val="20"/>
              </w:rPr>
            </w:pPr>
            <w:r w:rsidRPr="00117572">
              <w:rPr>
                <w:rFonts w:asciiTheme="minorHAnsi" w:hAnsiTheme="minorHAnsi" w:cs="Arial"/>
                <w:szCs w:val="20"/>
              </w:rPr>
              <w:t xml:space="preserve">0% </w:t>
            </w:r>
          </w:p>
        </w:tc>
        <w:tc>
          <w:tcPr>
            <w:tcW w:w="1022" w:type="dxa"/>
          </w:tcPr>
          <w:p w:rsidR="00493A69" w:rsidRPr="00117572" w:rsidRDefault="00493A69" w:rsidP="00493A69">
            <w:pPr>
              <w:pStyle w:val="Default"/>
              <w:jc w:val="both"/>
              <w:cnfStyle w:val="000000010000" w:firstRow="0" w:lastRow="0" w:firstColumn="0" w:lastColumn="0" w:oddVBand="0" w:evenVBand="0" w:oddHBand="0" w:evenHBand="1" w:firstRowFirstColumn="0" w:firstRowLastColumn="0" w:lastRowFirstColumn="0" w:lastRowLastColumn="0"/>
              <w:rPr>
                <w:rFonts w:asciiTheme="minorHAnsi" w:hAnsiTheme="minorHAnsi" w:cs="Arial"/>
                <w:szCs w:val="20"/>
              </w:rPr>
            </w:pPr>
            <w:r w:rsidRPr="00117572">
              <w:rPr>
                <w:rFonts w:asciiTheme="minorHAnsi" w:hAnsiTheme="minorHAnsi" w:cs="Arial"/>
                <w:szCs w:val="20"/>
              </w:rPr>
              <w:t xml:space="preserve">50% </w:t>
            </w:r>
          </w:p>
        </w:tc>
        <w:tc>
          <w:tcPr>
            <w:tcW w:w="1023" w:type="dxa"/>
          </w:tcPr>
          <w:p w:rsidR="00493A69" w:rsidRPr="00117572" w:rsidRDefault="00493A69" w:rsidP="00493A69">
            <w:pPr>
              <w:pStyle w:val="Default"/>
              <w:jc w:val="both"/>
              <w:cnfStyle w:val="000000010000" w:firstRow="0" w:lastRow="0" w:firstColumn="0" w:lastColumn="0" w:oddVBand="0" w:evenVBand="0" w:oddHBand="0" w:evenHBand="1" w:firstRowFirstColumn="0" w:firstRowLastColumn="0" w:lastRowFirstColumn="0" w:lastRowLastColumn="0"/>
              <w:rPr>
                <w:rFonts w:asciiTheme="minorHAnsi" w:hAnsiTheme="minorHAnsi" w:cs="Arial"/>
                <w:szCs w:val="20"/>
              </w:rPr>
            </w:pPr>
            <w:r w:rsidRPr="00117572">
              <w:rPr>
                <w:rFonts w:asciiTheme="minorHAnsi" w:hAnsiTheme="minorHAnsi" w:cs="Arial"/>
                <w:szCs w:val="20"/>
              </w:rPr>
              <w:t xml:space="preserve">50% </w:t>
            </w:r>
          </w:p>
        </w:tc>
        <w:tc>
          <w:tcPr>
            <w:tcW w:w="1023" w:type="dxa"/>
          </w:tcPr>
          <w:p w:rsidR="00493A69" w:rsidRPr="00117572" w:rsidRDefault="00493A69" w:rsidP="00493A69">
            <w:pPr>
              <w:pStyle w:val="Default"/>
              <w:jc w:val="both"/>
              <w:cnfStyle w:val="000000010000" w:firstRow="0" w:lastRow="0" w:firstColumn="0" w:lastColumn="0" w:oddVBand="0" w:evenVBand="0" w:oddHBand="0" w:evenHBand="1" w:firstRowFirstColumn="0" w:firstRowLastColumn="0" w:lastRowFirstColumn="0" w:lastRowLastColumn="0"/>
              <w:rPr>
                <w:rFonts w:asciiTheme="minorHAnsi" w:hAnsiTheme="minorHAnsi" w:cs="Arial"/>
                <w:szCs w:val="20"/>
              </w:rPr>
            </w:pPr>
            <w:r w:rsidRPr="00117572">
              <w:rPr>
                <w:rFonts w:asciiTheme="minorHAnsi" w:hAnsiTheme="minorHAnsi" w:cs="Arial"/>
                <w:szCs w:val="20"/>
              </w:rPr>
              <w:t xml:space="preserve">100% </w:t>
            </w:r>
          </w:p>
        </w:tc>
        <w:tc>
          <w:tcPr>
            <w:tcW w:w="1023" w:type="dxa"/>
          </w:tcPr>
          <w:p w:rsidR="00493A69" w:rsidRPr="00117572" w:rsidRDefault="00493A69" w:rsidP="00493A69">
            <w:pPr>
              <w:spacing w:after="100" w:afterAutospacing="1"/>
              <w:cnfStyle w:val="000000010000" w:firstRow="0" w:lastRow="0" w:firstColumn="0" w:lastColumn="0" w:oddVBand="0" w:evenVBand="0" w:oddHBand="0" w:evenHBand="1" w:firstRowFirstColumn="0" w:firstRowLastColumn="0" w:lastRowFirstColumn="0" w:lastRowLastColumn="0"/>
              <w:rPr>
                <w:rFonts w:asciiTheme="minorHAnsi" w:hAnsiTheme="minorHAnsi"/>
                <w:szCs w:val="20"/>
                <w:lang w:val="en-GB"/>
              </w:rPr>
            </w:pPr>
          </w:p>
        </w:tc>
        <w:tc>
          <w:tcPr>
            <w:tcW w:w="1023" w:type="dxa"/>
          </w:tcPr>
          <w:p w:rsidR="00493A69" w:rsidRPr="00117572" w:rsidRDefault="00493A69" w:rsidP="00493A69">
            <w:pPr>
              <w:spacing w:after="100" w:afterAutospacing="1"/>
              <w:cnfStyle w:val="000000010000" w:firstRow="0" w:lastRow="0" w:firstColumn="0" w:lastColumn="0" w:oddVBand="0" w:evenVBand="0" w:oddHBand="0" w:evenHBand="1" w:firstRowFirstColumn="0" w:firstRowLastColumn="0" w:lastRowFirstColumn="0" w:lastRowLastColumn="0"/>
              <w:rPr>
                <w:rFonts w:asciiTheme="minorHAnsi" w:hAnsiTheme="minorHAnsi"/>
                <w:szCs w:val="20"/>
                <w:lang w:val="en-GB"/>
              </w:rPr>
            </w:pPr>
          </w:p>
        </w:tc>
        <w:tc>
          <w:tcPr>
            <w:tcW w:w="1023" w:type="dxa"/>
          </w:tcPr>
          <w:p w:rsidR="00493A69" w:rsidRPr="00117572" w:rsidRDefault="00493A69" w:rsidP="00493A69">
            <w:pPr>
              <w:spacing w:after="100" w:afterAutospacing="1"/>
              <w:cnfStyle w:val="000000010000" w:firstRow="0" w:lastRow="0" w:firstColumn="0" w:lastColumn="0" w:oddVBand="0" w:evenVBand="0" w:oddHBand="0" w:evenHBand="1" w:firstRowFirstColumn="0" w:firstRowLastColumn="0" w:lastRowFirstColumn="0" w:lastRowLastColumn="0"/>
              <w:rPr>
                <w:rFonts w:asciiTheme="minorHAnsi" w:hAnsiTheme="minorHAnsi"/>
                <w:szCs w:val="20"/>
                <w:lang w:val="en-GB"/>
              </w:rPr>
            </w:pPr>
          </w:p>
        </w:tc>
        <w:tc>
          <w:tcPr>
            <w:tcW w:w="1023" w:type="dxa"/>
          </w:tcPr>
          <w:p w:rsidR="00493A69" w:rsidRPr="00117572" w:rsidRDefault="00493A69" w:rsidP="00493A69">
            <w:pPr>
              <w:spacing w:after="100" w:afterAutospacing="1"/>
              <w:cnfStyle w:val="000000010000" w:firstRow="0" w:lastRow="0" w:firstColumn="0" w:lastColumn="0" w:oddVBand="0" w:evenVBand="0" w:oddHBand="0" w:evenHBand="1" w:firstRowFirstColumn="0" w:firstRowLastColumn="0" w:lastRowFirstColumn="0" w:lastRowLastColumn="0"/>
              <w:rPr>
                <w:rFonts w:asciiTheme="minorHAnsi" w:hAnsiTheme="minorHAnsi"/>
                <w:szCs w:val="20"/>
                <w:lang w:val="en-GB"/>
              </w:rPr>
            </w:pPr>
          </w:p>
        </w:tc>
      </w:tr>
    </w:tbl>
    <w:p w:rsidR="00493A69" w:rsidRDefault="00493A69" w:rsidP="00493A69">
      <w:pPr>
        <w:spacing w:after="100" w:afterAutospacing="1"/>
        <w:rPr>
          <w:sz w:val="22"/>
          <w:lang w:val="en-GB"/>
        </w:rPr>
      </w:pPr>
    </w:p>
    <w:p w:rsidR="00D85203" w:rsidRDefault="00332D84">
      <w:pPr>
        <w:pStyle w:val="Caption"/>
        <w:keepNext/>
        <w:rPr>
          <w:lang w:val="en-US"/>
        </w:rPr>
      </w:pPr>
      <w:bookmarkStart w:id="86" w:name="_Ref256612008"/>
      <w:bookmarkStart w:id="87" w:name="_Toc260036744"/>
      <w:r w:rsidRPr="00332D84">
        <w:rPr>
          <w:lang w:val="en-US"/>
        </w:rPr>
        <w:t xml:space="preserve">Table </w:t>
      </w:r>
      <w:r w:rsidR="00AE227F">
        <w:fldChar w:fldCharType="begin"/>
      </w:r>
      <w:r w:rsidRPr="00332D84">
        <w:rPr>
          <w:lang w:val="en-US"/>
        </w:rPr>
        <w:instrText xml:space="preserve"> SEQ Table \* ARABIC </w:instrText>
      </w:r>
      <w:r w:rsidR="00AE227F">
        <w:fldChar w:fldCharType="separate"/>
      </w:r>
      <w:r w:rsidR="004F08A8">
        <w:rPr>
          <w:noProof/>
          <w:lang w:val="en-US"/>
        </w:rPr>
        <w:t>9</w:t>
      </w:r>
      <w:r w:rsidR="00AE227F">
        <w:fldChar w:fldCharType="end"/>
      </w:r>
      <w:bookmarkEnd w:id="86"/>
      <w:r w:rsidRPr="00332D84">
        <w:rPr>
          <w:lang w:val="en-US"/>
        </w:rPr>
        <w:t xml:space="preserve"> Number of supported </w:t>
      </w:r>
      <w:r w:rsidR="0001533C" w:rsidRPr="00332D84">
        <w:rPr>
          <w:lang w:val="en-US"/>
        </w:rPr>
        <w:t>participants</w:t>
      </w:r>
      <w:r w:rsidR="0001533C">
        <w:rPr>
          <w:lang w:val="en-US"/>
        </w:rPr>
        <w:t xml:space="preserve"> per country</w:t>
      </w:r>
      <w:r w:rsidRPr="00332D84">
        <w:rPr>
          <w:lang w:val="en-US"/>
        </w:rPr>
        <w:t xml:space="preserve"> by country group and year.</w:t>
      </w:r>
      <w:bookmarkEnd w:id="87"/>
    </w:p>
    <w:tbl>
      <w:tblPr>
        <w:tblStyle w:val="MediumGrid3-Accent1"/>
        <w:tblW w:w="0" w:type="auto"/>
        <w:tblLook w:val="04A0" w:firstRow="1" w:lastRow="0" w:firstColumn="1" w:lastColumn="0" w:noHBand="0" w:noVBand="1"/>
      </w:tblPr>
      <w:tblGrid>
        <w:gridCol w:w="1302"/>
        <w:gridCol w:w="1306"/>
        <w:gridCol w:w="1306"/>
        <w:gridCol w:w="1306"/>
        <w:gridCol w:w="1306"/>
        <w:gridCol w:w="1306"/>
        <w:gridCol w:w="1448"/>
      </w:tblGrid>
      <w:tr w:rsidR="00493A69" w:rsidRPr="001178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4" w:type="dxa"/>
          </w:tcPr>
          <w:p w:rsidR="00493A69" w:rsidRPr="001178F3" w:rsidRDefault="00493A69" w:rsidP="00493A69">
            <w:pPr>
              <w:autoSpaceDE w:val="0"/>
              <w:autoSpaceDN w:val="0"/>
              <w:adjustRightInd w:val="0"/>
              <w:spacing w:after="0"/>
              <w:jc w:val="right"/>
              <w:rPr>
                <w:rFonts w:asciiTheme="minorHAnsi" w:eastAsiaTheme="minorHAnsi" w:hAnsiTheme="minorHAnsi" w:cs="Arial"/>
                <w:szCs w:val="20"/>
                <w:lang w:eastAsia="en-US"/>
              </w:rPr>
            </w:pPr>
            <w:r w:rsidRPr="001178F3">
              <w:rPr>
                <w:rFonts w:asciiTheme="minorHAnsi" w:eastAsiaTheme="minorHAnsi" w:hAnsiTheme="minorHAnsi" w:cs="Arial"/>
                <w:szCs w:val="20"/>
                <w:lang w:eastAsia="en-US"/>
              </w:rPr>
              <w:t xml:space="preserve">Year </w:t>
            </w:r>
          </w:p>
        </w:tc>
        <w:tc>
          <w:tcPr>
            <w:tcW w:w="1315" w:type="dxa"/>
          </w:tcPr>
          <w:p w:rsidR="00493A69" w:rsidRPr="001178F3" w:rsidRDefault="00493A69" w:rsidP="00493A69">
            <w:pPr>
              <w:autoSpaceDE w:val="0"/>
              <w:autoSpaceDN w:val="0"/>
              <w:adjustRightInd w:val="0"/>
              <w:spacing w:after="0"/>
              <w:jc w:val="right"/>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Arial"/>
                <w:szCs w:val="20"/>
                <w:lang w:eastAsia="en-US"/>
              </w:rPr>
            </w:pPr>
            <w:r w:rsidRPr="001178F3">
              <w:rPr>
                <w:rFonts w:asciiTheme="minorHAnsi" w:eastAsiaTheme="minorHAnsi" w:hAnsiTheme="minorHAnsi" w:cs="Arial"/>
                <w:szCs w:val="20"/>
                <w:lang w:eastAsia="en-US"/>
              </w:rPr>
              <w:t xml:space="preserve">Group 1a </w:t>
            </w:r>
          </w:p>
        </w:tc>
        <w:tc>
          <w:tcPr>
            <w:tcW w:w="1315" w:type="dxa"/>
          </w:tcPr>
          <w:p w:rsidR="00493A69" w:rsidRPr="001178F3" w:rsidRDefault="00493A69" w:rsidP="00493A69">
            <w:pPr>
              <w:autoSpaceDE w:val="0"/>
              <w:autoSpaceDN w:val="0"/>
              <w:adjustRightInd w:val="0"/>
              <w:spacing w:after="0"/>
              <w:jc w:val="right"/>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Arial"/>
                <w:szCs w:val="20"/>
                <w:lang w:eastAsia="en-US"/>
              </w:rPr>
            </w:pPr>
            <w:r w:rsidRPr="001178F3">
              <w:rPr>
                <w:rFonts w:asciiTheme="minorHAnsi" w:eastAsiaTheme="minorHAnsi" w:hAnsiTheme="minorHAnsi" w:cs="Arial"/>
                <w:szCs w:val="20"/>
                <w:lang w:eastAsia="en-US"/>
              </w:rPr>
              <w:t xml:space="preserve">Group 1b </w:t>
            </w:r>
          </w:p>
        </w:tc>
        <w:tc>
          <w:tcPr>
            <w:tcW w:w="1315" w:type="dxa"/>
          </w:tcPr>
          <w:p w:rsidR="00493A69" w:rsidRPr="001178F3" w:rsidRDefault="00493A69" w:rsidP="00493A69">
            <w:pPr>
              <w:autoSpaceDE w:val="0"/>
              <w:autoSpaceDN w:val="0"/>
              <w:adjustRightInd w:val="0"/>
              <w:spacing w:after="0"/>
              <w:jc w:val="right"/>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Arial"/>
                <w:szCs w:val="20"/>
                <w:lang w:eastAsia="en-US"/>
              </w:rPr>
            </w:pPr>
            <w:r w:rsidRPr="001178F3">
              <w:rPr>
                <w:rFonts w:asciiTheme="minorHAnsi" w:eastAsiaTheme="minorHAnsi" w:hAnsiTheme="minorHAnsi" w:cs="Arial"/>
                <w:szCs w:val="20"/>
                <w:lang w:eastAsia="en-US"/>
              </w:rPr>
              <w:t xml:space="preserve">Group 2 </w:t>
            </w:r>
          </w:p>
        </w:tc>
        <w:tc>
          <w:tcPr>
            <w:tcW w:w="1315" w:type="dxa"/>
          </w:tcPr>
          <w:p w:rsidR="00493A69" w:rsidRPr="001178F3" w:rsidRDefault="00493A69" w:rsidP="00493A69">
            <w:pPr>
              <w:autoSpaceDE w:val="0"/>
              <w:autoSpaceDN w:val="0"/>
              <w:adjustRightInd w:val="0"/>
              <w:spacing w:after="0"/>
              <w:jc w:val="right"/>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Arial"/>
                <w:szCs w:val="20"/>
                <w:lang w:eastAsia="en-US"/>
              </w:rPr>
            </w:pPr>
            <w:r w:rsidRPr="001178F3">
              <w:rPr>
                <w:rFonts w:asciiTheme="minorHAnsi" w:eastAsiaTheme="minorHAnsi" w:hAnsiTheme="minorHAnsi" w:cs="Arial"/>
                <w:szCs w:val="20"/>
                <w:lang w:eastAsia="en-US"/>
              </w:rPr>
              <w:t xml:space="preserve">Group 3a </w:t>
            </w:r>
          </w:p>
        </w:tc>
        <w:tc>
          <w:tcPr>
            <w:tcW w:w="1315" w:type="dxa"/>
          </w:tcPr>
          <w:p w:rsidR="00493A69" w:rsidRPr="001178F3" w:rsidRDefault="00493A69" w:rsidP="00493A69">
            <w:pPr>
              <w:autoSpaceDE w:val="0"/>
              <w:autoSpaceDN w:val="0"/>
              <w:adjustRightInd w:val="0"/>
              <w:spacing w:after="0"/>
              <w:jc w:val="right"/>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Arial"/>
                <w:szCs w:val="20"/>
                <w:lang w:eastAsia="en-US"/>
              </w:rPr>
            </w:pPr>
            <w:r w:rsidRPr="001178F3">
              <w:rPr>
                <w:rFonts w:asciiTheme="minorHAnsi" w:eastAsiaTheme="minorHAnsi" w:hAnsiTheme="minorHAnsi" w:cs="Arial"/>
                <w:szCs w:val="20"/>
                <w:lang w:eastAsia="en-US"/>
              </w:rPr>
              <w:t xml:space="preserve">Group 3b </w:t>
            </w:r>
          </w:p>
        </w:tc>
        <w:tc>
          <w:tcPr>
            <w:tcW w:w="1315" w:type="dxa"/>
          </w:tcPr>
          <w:p w:rsidR="00493A69" w:rsidRPr="001178F3" w:rsidRDefault="00493A69" w:rsidP="00493A69">
            <w:pPr>
              <w:autoSpaceDE w:val="0"/>
              <w:autoSpaceDN w:val="0"/>
              <w:adjustRightInd w:val="0"/>
              <w:spacing w:after="0"/>
              <w:jc w:val="right"/>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Arial"/>
                <w:szCs w:val="20"/>
                <w:lang w:eastAsia="en-US"/>
              </w:rPr>
            </w:pPr>
            <w:r w:rsidRPr="001178F3">
              <w:rPr>
                <w:rFonts w:asciiTheme="minorHAnsi" w:eastAsiaTheme="minorHAnsi" w:hAnsiTheme="minorHAnsi" w:cs="Arial"/>
                <w:szCs w:val="20"/>
                <w:lang w:eastAsia="en-US"/>
              </w:rPr>
              <w:t xml:space="preserve">Expenditures US$ </w:t>
            </w:r>
          </w:p>
        </w:tc>
      </w:tr>
      <w:tr w:rsidR="00493A69" w:rsidRPr="001175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4" w:type="dxa"/>
          </w:tcPr>
          <w:p w:rsidR="00493A69" w:rsidRPr="001178F3" w:rsidRDefault="00493A69" w:rsidP="00493A69">
            <w:pPr>
              <w:autoSpaceDE w:val="0"/>
              <w:autoSpaceDN w:val="0"/>
              <w:adjustRightInd w:val="0"/>
              <w:spacing w:after="0"/>
              <w:jc w:val="right"/>
              <w:rPr>
                <w:rFonts w:asciiTheme="minorHAnsi" w:eastAsiaTheme="minorHAnsi" w:hAnsiTheme="minorHAnsi" w:cs="Arial"/>
                <w:color w:val="000000"/>
                <w:szCs w:val="20"/>
                <w:lang w:eastAsia="en-US"/>
              </w:rPr>
            </w:pPr>
            <w:r w:rsidRPr="001178F3">
              <w:rPr>
                <w:rFonts w:asciiTheme="minorHAnsi" w:eastAsiaTheme="minorHAnsi" w:hAnsiTheme="minorHAnsi" w:cs="Arial"/>
                <w:color w:val="000000"/>
                <w:szCs w:val="20"/>
                <w:lang w:eastAsia="en-US"/>
              </w:rPr>
              <w:t xml:space="preserve">2004 </w:t>
            </w:r>
          </w:p>
        </w:tc>
        <w:tc>
          <w:tcPr>
            <w:tcW w:w="1315" w:type="dxa"/>
          </w:tcPr>
          <w:p w:rsidR="00493A69" w:rsidRPr="00117572" w:rsidRDefault="00493A69" w:rsidP="00493A69">
            <w:pPr>
              <w:autoSpaceDE w:val="0"/>
              <w:autoSpaceDN w:val="0"/>
              <w:adjustRightInd w:val="0"/>
              <w:spacing w:after="0"/>
              <w:jc w:val="cente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Arial"/>
                <w:color w:val="000000"/>
                <w:szCs w:val="20"/>
                <w:lang w:eastAsia="en-US"/>
              </w:rPr>
            </w:pPr>
            <w:r w:rsidRPr="00117572">
              <w:rPr>
                <w:rFonts w:asciiTheme="minorHAnsi" w:eastAsiaTheme="minorHAnsi" w:hAnsiTheme="minorHAnsi" w:cs="Arial"/>
                <w:bCs/>
                <w:color w:val="000000"/>
                <w:szCs w:val="20"/>
                <w:lang w:eastAsia="en-US"/>
              </w:rPr>
              <w:t xml:space="preserve">NA </w:t>
            </w:r>
          </w:p>
        </w:tc>
        <w:tc>
          <w:tcPr>
            <w:tcW w:w="1315" w:type="dxa"/>
          </w:tcPr>
          <w:p w:rsidR="00493A69" w:rsidRPr="00117572" w:rsidRDefault="00493A69" w:rsidP="00493A69">
            <w:pPr>
              <w:autoSpaceDE w:val="0"/>
              <w:autoSpaceDN w:val="0"/>
              <w:adjustRightInd w:val="0"/>
              <w:spacing w:after="0"/>
              <w:jc w:val="cente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Arial"/>
                <w:color w:val="000000"/>
                <w:szCs w:val="20"/>
                <w:lang w:eastAsia="en-US"/>
              </w:rPr>
            </w:pPr>
            <w:r w:rsidRPr="00117572">
              <w:rPr>
                <w:rFonts w:asciiTheme="minorHAnsi" w:eastAsiaTheme="minorHAnsi" w:hAnsiTheme="minorHAnsi" w:cs="Arial"/>
                <w:bCs/>
                <w:color w:val="000000"/>
                <w:szCs w:val="20"/>
                <w:lang w:eastAsia="en-US"/>
              </w:rPr>
              <w:t xml:space="preserve">NA </w:t>
            </w:r>
          </w:p>
        </w:tc>
        <w:tc>
          <w:tcPr>
            <w:tcW w:w="1315" w:type="dxa"/>
          </w:tcPr>
          <w:p w:rsidR="00493A69" w:rsidRPr="00117572" w:rsidRDefault="00493A69" w:rsidP="00493A69">
            <w:pPr>
              <w:autoSpaceDE w:val="0"/>
              <w:autoSpaceDN w:val="0"/>
              <w:adjustRightInd w:val="0"/>
              <w:spacing w:after="0"/>
              <w:jc w:val="cente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Arial"/>
                <w:color w:val="000000"/>
                <w:szCs w:val="20"/>
                <w:lang w:eastAsia="en-US"/>
              </w:rPr>
            </w:pPr>
            <w:r w:rsidRPr="00117572">
              <w:rPr>
                <w:rFonts w:asciiTheme="minorHAnsi" w:eastAsiaTheme="minorHAnsi" w:hAnsiTheme="minorHAnsi" w:cs="Arial"/>
                <w:bCs/>
                <w:color w:val="000000"/>
                <w:szCs w:val="20"/>
                <w:lang w:eastAsia="en-US"/>
              </w:rPr>
              <w:t xml:space="preserve">NA </w:t>
            </w:r>
          </w:p>
        </w:tc>
        <w:tc>
          <w:tcPr>
            <w:tcW w:w="1315" w:type="dxa"/>
          </w:tcPr>
          <w:p w:rsidR="00493A69" w:rsidRPr="00117572" w:rsidRDefault="00493A69" w:rsidP="00493A69">
            <w:pPr>
              <w:autoSpaceDE w:val="0"/>
              <w:autoSpaceDN w:val="0"/>
              <w:adjustRightInd w:val="0"/>
              <w:spacing w:after="0"/>
              <w:jc w:val="cente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Arial"/>
                <w:color w:val="000000"/>
                <w:szCs w:val="20"/>
                <w:lang w:eastAsia="en-US"/>
              </w:rPr>
            </w:pPr>
            <w:r w:rsidRPr="00117572">
              <w:rPr>
                <w:rFonts w:asciiTheme="minorHAnsi" w:eastAsiaTheme="minorHAnsi" w:hAnsiTheme="minorHAnsi" w:cs="Arial"/>
                <w:bCs/>
                <w:color w:val="000000"/>
                <w:szCs w:val="20"/>
                <w:lang w:eastAsia="en-US"/>
              </w:rPr>
              <w:t xml:space="preserve">NA </w:t>
            </w:r>
          </w:p>
        </w:tc>
        <w:tc>
          <w:tcPr>
            <w:tcW w:w="1315" w:type="dxa"/>
          </w:tcPr>
          <w:p w:rsidR="00493A69" w:rsidRPr="00117572" w:rsidRDefault="00493A69" w:rsidP="00493A69">
            <w:pPr>
              <w:autoSpaceDE w:val="0"/>
              <w:autoSpaceDN w:val="0"/>
              <w:adjustRightInd w:val="0"/>
              <w:spacing w:after="0"/>
              <w:jc w:val="cente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Arial"/>
                <w:color w:val="000000"/>
                <w:szCs w:val="20"/>
                <w:lang w:eastAsia="en-US"/>
              </w:rPr>
            </w:pPr>
            <w:r w:rsidRPr="00117572">
              <w:rPr>
                <w:rFonts w:asciiTheme="minorHAnsi" w:eastAsiaTheme="minorHAnsi" w:hAnsiTheme="minorHAnsi" w:cs="Arial"/>
                <w:bCs/>
                <w:color w:val="000000"/>
                <w:szCs w:val="20"/>
                <w:lang w:eastAsia="en-US"/>
              </w:rPr>
              <w:t xml:space="preserve">NA </w:t>
            </w:r>
          </w:p>
        </w:tc>
        <w:tc>
          <w:tcPr>
            <w:tcW w:w="1315" w:type="dxa"/>
          </w:tcPr>
          <w:p w:rsidR="00D85203" w:rsidRPr="00117572" w:rsidRDefault="00493A69">
            <w:pPr>
              <w:autoSpaceDE w:val="0"/>
              <w:autoSpaceDN w:val="0"/>
              <w:adjustRightInd w:val="0"/>
              <w:spacing w:after="0"/>
              <w:jc w:val="righ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Arial"/>
                <w:b/>
                <w:bCs/>
                <w:color w:val="000000"/>
                <w:szCs w:val="20"/>
                <w:lang w:eastAsia="en-US"/>
              </w:rPr>
            </w:pPr>
            <w:r w:rsidRPr="00117572">
              <w:rPr>
                <w:rFonts w:asciiTheme="minorHAnsi" w:eastAsiaTheme="minorHAnsi" w:hAnsiTheme="minorHAnsi" w:cs="Arial"/>
                <w:bCs/>
                <w:color w:val="000000"/>
                <w:szCs w:val="20"/>
                <w:lang w:eastAsia="en-US"/>
              </w:rPr>
              <w:t>561,297</w:t>
            </w:r>
          </w:p>
        </w:tc>
      </w:tr>
      <w:tr w:rsidR="00493A69" w:rsidRPr="0011757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4" w:type="dxa"/>
          </w:tcPr>
          <w:p w:rsidR="00493A69" w:rsidRPr="001178F3" w:rsidRDefault="00493A69" w:rsidP="00493A69">
            <w:pPr>
              <w:autoSpaceDE w:val="0"/>
              <w:autoSpaceDN w:val="0"/>
              <w:adjustRightInd w:val="0"/>
              <w:spacing w:after="0"/>
              <w:jc w:val="right"/>
              <w:rPr>
                <w:rFonts w:asciiTheme="minorHAnsi" w:eastAsiaTheme="minorHAnsi" w:hAnsiTheme="minorHAnsi" w:cs="Arial"/>
                <w:color w:val="000000"/>
                <w:szCs w:val="20"/>
                <w:lang w:eastAsia="en-US"/>
              </w:rPr>
            </w:pPr>
            <w:r w:rsidRPr="001178F3">
              <w:rPr>
                <w:rFonts w:asciiTheme="minorHAnsi" w:eastAsiaTheme="minorHAnsi" w:hAnsiTheme="minorHAnsi" w:cs="Arial"/>
                <w:color w:val="000000"/>
                <w:szCs w:val="20"/>
                <w:lang w:eastAsia="en-US"/>
              </w:rPr>
              <w:t xml:space="preserve">2005 </w:t>
            </w:r>
          </w:p>
        </w:tc>
        <w:tc>
          <w:tcPr>
            <w:tcW w:w="1315" w:type="dxa"/>
          </w:tcPr>
          <w:p w:rsidR="00493A69" w:rsidRPr="00117572" w:rsidRDefault="00493A69" w:rsidP="00493A69">
            <w:pPr>
              <w:autoSpaceDE w:val="0"/>
              <w:autoSpaceDN w:val="0"/>
              <w:adjustRightInd w:val="0"/>
              <w:spacing w:after="0"/>
              <w:jc w:val="center"/>
              <w:cnfStyle w:val="000000010000" w:firstRow="0" w:lastRow="0" w:firstColumn="0" w:lastColumn="0" w:oddVBand="0" w:evenVBand="0" w:oddHBand="0" w:evenHBand="1" w:firstRowFirstColumn="0" w:firstRowLastColumn="0" w:lastRowFirstColumn="0" w:lastRowLastColumn="0"/>
              <w:rPr>
                <w:rFonts w:asciiTheme="minorHAnsi" w:eastAsiaTheme="minorHAnsi" w:hAnsiTheme="minorHAnsi" w:cs="Arial"/>
                <w:color w:val="000000"/>
                <w:szCs w:val="20"/>
                <w:lang w:eastAsia="en-US"/>
              </w:rPr>
            </w:pPr>
            <w:r w:rsidRPr="00117572">
              <w:rPr>
                <w:rFonts w:asciiTheme="minorHAnsi" w:eastAsiaTheme="minorHAnsi" w:hAnsiTheme="minorHAnsi" w:cs="Arial"/>
                <w:bCs/>
                <w:color w:val="000000"/>
                <w:szCs w:val="20"/>
                <w:lang w:eastAsia="en-US"/>
              </w:rPr>
              <w:t xml:space="preserve">5 </w:t>
            </w:r>
          </w:p>
        </w:tc>
        <w:tc>
          <w:tcPr>
            <w:tcW w:w="1315" w:type="dxa"/>
          </w:tcPr>
          <w:p w:rsidR="00493A69" w:rsidRPr="00117572" w:rsidRDefault="00493A69" w:rsidP="00493A69">
            <w:pPr>
              <w:autoSpaceDE w:val="0"/>
              <w:autoSpaceDN w:val="0"/>
              <w:adjustRightInd w:val="0"/>
              <w:spacing w:after="0"/>
              <w:jc w:val="center"/>
              <w:cnfStyle w:val="000000010000" w:firstRow="0" w:lastRow="0" w:firstColumn="0" w:lastColumn="0" w:oddVBand="0" w:evenVBand="0" w:oddHBand="0" w:evenHBand="1" w:firstRowFirstColumn="0" w:firstRowLastColumn="0" w:lastRowFirstColumn="0" w:lastRowLastColumn="0"/>
              <w:rPr>
                <w:rFonts w:asciiTheme="minorHAnsi" w:eastAsiaTheme="minorHAnsi" w:hAnsiTheme="minorHAnsi" w:cs="Arial"/>
                <w:color w:val="000000"/>
                <w:szCs w:val="20"/>
                <w:lang w:eastAsia="en-US"/>
              </w:rPr>
            </w:pPr>
            <w:r w:rsidRPr="00117572">
              <w:rPr>
                <w:rFonts w:asciiTheme="minorHAnsi" w:eastAsiaTheme="minorHAnsi" w:hAnsiTheme="minorHAnsi" w:cs="Arial"/>
                <w:bCs/>
                <w:color w:val="000000"/>
                <w:szCs w:val="20"/>
                <w:lang w:eastAsia="en-US"/>
              </w:rPr>
              <w:t xml:space="preserve">4 </w:t>
            </w:r>
          </w:p>
        </w:tc>
        <w:tc>
          <w:tcPr>
            <w:tcW w:w="1315" w:type="dxa"/>
          </w:tcPr>
          <w:p w:rsidR="00493A69" w:rsidRPr="00117572" w:rsidRDefault="00493A69" w:rsidP="00493A69">
            <w:pPr>
              <w:autoSpaceDE w:val="0"/>
              <w:autoSpaceDN w:val="0"/>
              <w:adjustRightInd w:val="0"/>
              <w:spacing w:after="0"/>
              <w:jc w:val="center"/>
              <w:cnfStyle w:val="000000010000" w:firstRow="0" w:lastRow="0" w:firstColumn="0" w:lastColumn="0" w:oddVBand="0" w:evenVBand="0" w:oddHBand="0" w:evenHBand="1" w:firstRowFirstColumn="0" w:firstRowLastColumn="0" w:lastRowFirstColumn="0" w:lastRowLastColumn="0"/>
              <w:rPr>
                <w:rFonts w:asciiTheme="minorHAnsi" w:eastAsiaTheme="minorHAnsi" w:hAnsiTheme="minorHAnsi" w:cs="Arial"/>
                <w:color w:val="000000"/>
                <w:szCs w:val="20"/>
                <w:lang w:eastAsia="en-US"/>
              </w:rPr>
            </w:pPr>
            <w:r w:rsidRPr="00117572">
              <w:rPr>
                <w:rFonts w:asciiTheme="minorHAnsi" w:eastAsiaTheme="minorHAnsi" w:hAnsiTheme="minorHAnsi" w:cs="Arial"/>
                <w:bCs/>
                <w:color w:val="000000"/>
                <w:szCs w:val="20"/>
                <w:lang w:eastAsia="en-US"/>
              </w:rPr>
              <w:t xml:space="preserve">2 </w:t>
            </w:r>
          </w:p>
        </w:tc>
        <w:tc>
          <w:tcPr>
            <w:tcW w:w="1315" w:type="dxa"/>
          </w:tcPr>
          <w:p w:rsidR="00493A69" w:rsidRPr="00117572" w:rsidRDefault="00493A69" w:rsidP="00493A69">
            <w:pPr>
              <w:autoSpaceDE w:val="0"/>
              <w:autoSpaceDN w:val="0"/>
              <w:adjustRightInd w:val="0"/>
              <w:spacing w:after="0"/>
              <w:jc w:val="center"/>
              <w:cnfStyle w:val="000000010000" w:firstRow="0" w:lastRow="0" w:firstColumn="0" w:lastColumn="0" w:oddVBand="0" w:evenVBand="0" w:oddHBand="0" w:evenHBand="1" w:firstRowFirstColumn="0" w:firstRowLastColumn="0" w:lastRowFirstColumn="0" w:lastRowLastColumn="0"/>
              <w:rPr>
                <w:rFonts w:asciiTheme="minorHAnsi" w:eastAsiaTheme="minorHAnsi" w:hAnsiTheme="minorHAnsi" w:cs="Arial"/>
                <w:color w:val="000000"/>
                <w:szCs w:val="20"/>
                <w:lang w:eastAsia="en-US"/>
              </w:rPr>
            </w:pPr>
            <w:r w:rsidRPr="00117572">
              <w:rPr>
                <w:rFonts w:asciiTheme="minorHAnsi" w:eastAsiaTheme="minorHAnsi" w:hAnsiTheme="minorHAnsi" w:cs="Arial"/>
                <w:bCs/>
                <w:color w:val="000000"/>
                <w:szCs w:val="20"/>
                <w:lang w:eastAsia="en-US"/>
              </w:rPr>
              <w:t xml:space="preserve">1 </w:t>
            </w:r>
          </w:p>
        </w:tc>
        <w:tc>
          <w:tcPr>
            <w:tcW w:w="1315" w:type="dxa"/>
          </w:tcPr>
          <w:p w:rsidR="00493A69" w:rsidRPr="00117572" w:rsidRDefault="00493A69" w:rsidP="00493A69">
            <w:pPr>
              <w:autoSpaceDE w:val="0"/>
              <w:autoSpaceDN w:val="0"/>
              <w:adjustRightInd w:val="0"/>
              <w:spacing w:after="0"/>
              <w:jc w:val="center"/>
              <w:cnfStyle w:val="000000010000" w:firstRow="0" w:lastRow="0" w:firstColumn="0" w:lastColumn="0" w:oddVBand="0" w:evenVBand="0" w:oddHBand="0" w:evenHBand="1" w:firstRowFirstColumn="0" w:firstRowLastColumn="0" w:lastRowFirstColumn="0" w:lastRowLastColumn="0"/>
              <w:rPr>
                <w:rFonts w:asciiTheme="minorHAnsi" w:eastAsiaTheme="minorHAnsi" w:hAnsiTheme="minorHAnsi" w:cs="Arial"/>
                <w:color w:val="000000"/>
                <w:szCs w:val="20"/>
                <w:lang w:eastAsia="en-US"/>
              </w:rPr>
            </w:pPr>
            <w:r w:rsidRPr="00117572">
              <w:rPr>
                <w:rFonts w:asciiTheme="minorHAnsi" w:eastAsiaTheme="minorHAnsi" w:hAnsiTheme="minorHAnsi" w:cs="Arial"/>
                <w:bCs/>
                <w:color w:val="000000"/>
                <w:szCs w:val="20"/>
                <w:lang w:eastAsia="en-US"/>
              </w:rPr>
              <w:t xml:space="preserve">1 </w:t>
            </w:r>
          </w:p>
        </w:tc>
        <w:tc>
          <w:tcPr>
            <w:tcW w:w="1315" w:type="dxa"/>
          </w:tcPr>
          <w:p w:rsidR="00D85203" w:rsidRPr="00117572" w:rsidRDefault="00493A69">
            <w:pPr>
              <w:autoSpaceDE w:val="0"/>
              <w:autoSpaceDN w:val="0"/>
              <w:adjustRightInd w:val="0"/>
              <w:spacing w:after="0"/>
              <w:jc w:val="right"/>
              <w:cnfStyle w:val="000000010000" w:firstRow="0" w:lastRow="0" w:firstColumn="0" w:lastColumn="0" w:oddVBand="0" w:evenVBand="0" w:oddHBand="0" w:evenHBand="1" w:firstRowFirstColumn="0" w:firstRowLastColumn="0" w:lastRowFirstColumn="0" w:lastRowLastColumn="0"/>
              <w:rPr>
                <w:rFonts w:asciiTheme="minorHAnsi" w:eastAsiaTheme="minorHAnsi" w:hAnsiTheme="minorHAnsi" w:cs="Arial"/>
                <w:b/>
                <w:bCs/>
                <w:color w:val="000000"/>
                <w:szCs w:val="20"/>
                <w:lang w:eastAsia="en-US"/>
              </w:rPr>
            </w:pPr>
            <w:r w:rsidRPr="00117572">
              <w:rPr>
                <w:rFonts w:asciiTheme="minorHAnsi" w:eastAsiaTheme="minorHAnsi" w:hAnsiTheme="minorHAnsi" w:cs="Arial"/>
                <w:bCs/>
                <w:color w:val="000000"/>
                <w:szCs w:val="20"/>
                <w:lang w:eastAsia="en-US"/>
              </w:rPr>
              <w:t>1,759,272</w:t>
            </w:r>
          </w:p>
        </w:tc>
      </w:tr>
      <w:tr w:rsidR="00493A69" w:rsidRPr="001175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4" w:type="dxa"/>
          </w:tcPr>
          <w:p w:rsidR="00493A69" w:rsidRPr="001178F3" w:rsidRDefault="00493A69" w:rsidP="00493A69">
            <w:pPr>
              <w:autoSpaceDE w:val="0"/>
              <w:autoSpaceDN w:val="0"/>
              <w:adjustRightInd w:val="0"/>
              <w:spacing w:after="0"/>
              <w:jc w:val="right"/>
              <w:rPr>
                <w:rFonts w:asciiTheme="minorHAnsi" w:eastAsiaTheme="minorHAnsi" w:hAnsiTheme="minorHAnsi" w:cs="Arial"/>
                <w:color w:val="000000"/>
                <w:szCs w:val="20"/>
                <w:lang w:eastAsia="en-US"/>
              </w:rPr>
            </w:pPr>
            <w:r w:rsidRPr="001178F3">
              <w:rPr>
                <w:rFonts w:asciiTheme="minorHAnsi" w:eastAsiaTheme="minorHAnsi" w:hAnsiTheme="minorHAnsi" w:cs="Arial"/>
                <w:color w:val="000000"/>
                <w:szCs w:val="20"/>
                <w:lang w:eastAsia="en-US"/>
              </w:rPr>
              <w:t xml:space="preserve">2006 </w:t>
            </w:r>
          </w:p>
        </w:tc>
        <w:tc>
          <w:tcPr>
            <w:tcW w:w="1315" w:type="dxa"/>
          </w:tcPr>
          <w:p w:rsidR="00493A69" w:rsidRPr="00117572" w:rsidRDefault="00493A69" w:rsidP="00493A69">
            <w:pPr>
              <w:autoSpaceDE w:val="0"/>
              <w:autoSpaceDN w:val="0"/>
              <w:adjustRightInd w:val="0"/>
              <w:spacing w:after="0"/>
              <w:jc w:val="cente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Arial"/>
                <w:color w:val="000000"/>
                <w:szCs w:val="20"/>
                <w:lang w:eastAsia="en-US"/>
              </w:rPr>
            </w:pPr>
            <w:r w:rsidRPr="00117572">
              <w:rPr>
                <w:rFonts w:asciiTheme="minorHAnsi" w:eastAsiaTheme="minorHAnsi" w:hAnsiTheme="minorHAnsi" w:cs="Arial"/>
                <w:bCs/>
                <w:color w:val="000000"/>
                <w:szCs w:val="20"/>
                <w:lang w:eastAsia="en-US"/>
              </w:rPr>
              <w:t xml:space="preserve">2 </w:t>
            </w:r>
          </w:p>
        </w:tc>
        <w:tc>
          <w:tcPr>
            <w:tcW w:w="1315" w:type="dxa"/>
          </w:tcPr>
          <w:p w:rsidR="00493A69" w:rsidRPr="00117572" w:rsidRDefault="00493A69" w:rsidP="00493A69">
            <w:pPr>
              <w:autoSpaceDE w:val="0"/>
              <w:autoSpaceDN w:val="0"/>
              <w:adjustRightInd w:val="0"/>
              <w:spacing w:after="0"/>
              <w:jc w:val="cente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Arial"/>
                <w:color w:val="000000"/>
                <w:szCs w:val="20"/>
                <w:lang w:eastAsia="en-US"/>
              </w:rPr>
            </w:pPr>
            <w:r w:rsidRPr="00117572">
              <w:rPr>
                <w:rFonts w:asciiTheme="minorHAnsi" w:eastAsiaTheme="minorHAnsi" w:hAnsiTheme="minorHAnsi" w:cs="Arial"/>
                <w:bCs/>
                <w:color w:val="000000"/>
                <w:szCs w:val="20"/>
                <w:lang w:eastAsia="en-US"/>
              </w:rPr>
              <w:t xml:space="preserve">2 </w:t>
            </w:r>
          </w:p>
        </w:tc>
        <w:tc>
          <w:tcPr>
            <w:tcW w:w="1315" w:type="dxa"/>
          </w:tcPr>
          <w:p w:rsidR="00493A69" w:rsidRPr="00117572" w:rsidRDefault="00493A69" w:rsidP="00493A69">
            <w:pPr>
              <w:autoSpaceDE w:val="0"/>
              <w:autoSpaceDN w:val="0"/>
              <w:adjustRightInd w:val="0"/>
              <w:spacing w:after="0"/>
              <w:jc w:val="cente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Arial"/>
                <w:color w:val="000000"/>
                <w:szCs w:val="20"/>
                <w:lang w:eastAsia="en-US"/>
              </w:rPr>
            </w:pPr>
            <w:r w:rsidRPr="00117572">
              <w:rPr>
                <w:rFonts w:asciiTheme="minorHAnsi" w:eastAsiaTheme="minorHAnsi" w:hAnsiTheme="minorHAnsi" w:cs="Arial"/>
                <w:bCs/>
                <w:color w:val="000000"/>
                <w:szCs w:val="20"/>
                <w:lang w:eastAsia="en-US"/>
              </w:rPr>
              <w:t xml:space="preserve">1 </w:t>
            </w:r>
          </w:p>
        </w:tc>
        <w:tc>
          <w:tcPr>
            <w:tcW w:w="1315" w:type="dxa"/>
          </w:tcPr>
          <w:p w:rsidR="00493A69" w:rsidRPr="00117572" w:rsidRDefault="00493A69" w:rsidP="00493A69">
            <w:pPr>
              <w:autoSpaceDE w:val="0"/>
              <w:autoSpaceDN w:val="0"/>
              <w:adjustRightInd w:val="0"/>
              <w:spacing w:after="0"/>
              <w:jc w:val="cente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Arial"/>
                <w:color w:val="000000"/>
                <w:szCs w:val="20"/>
                <w:lang w:eastAsia="en-US"/>
              </w:rPr>
            </w:pPr>
            <w:r w:rsidRPr="00117572">
              <w:rPr>
                <w:rFonts w:asciiTheme="minorHAnsi" w:eastAsiaTheme="minorHAnsi" w:hAnsiTheme="minorHAnsi" w:cs="Arial"/>
                <w:bCs/>
                <w:color w:val="000000"/>
                <w:szCs w:val="20"/>
                <w:lang w:eastAsia="en-US"/>
              </w:rPr>
              <w:t xml:space="preserve">1 </w:t>
            </w:r>
          </w:p>
        </w:tc>
        <w:tc>
          <w:tcPr>
            <w:tcW w:w="1315" w:type="dxa"/>
          </w:tcPr>
          <w:p w:rsidR="00493A69" w:rsidRPr="00117572" w:rsidRDefault="00493A69" w:rsidP="00493A69">
            <w:pPr>
              <w:autoSpaceDE w:val="0"/>
              <w:autoSpaceDN w:val="0"/>
              <w:adjustRightInd w:val="0"/>
              <w:spacing w:after="0"/>
              <w:jc w:val="cente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Arial"/>
                <w:color w:val="000000"/>
                <w:szCs w:val="20"/>
                <w:lang w:eastAsia="en-US"/>
              </w:rPr>
            </w:pPr>
            <w:r w:rsidRPr="00117572">
              <w:rPr>
                <w:rFonts w:asciiTheme="minorHAnsi" w:eastAsiaTheme="minorHAnsi" w:hAnsiTheme="minorHAnsi" w:cs="Arial"/>
                <w:bCs/>
                <w:color w:val="000000"/>
                <w:szCs w:val="20"/>
                <w:lang w:eastAsia="en-US"/>
              </w:rPr>
              <w:t xml:space="preserve">1 </w:t>
            </w:r>
          </w:p>
        </w:tc>
        <w:tc>
          <w:tcPr>
            <w:tcW w:w="1315" w:type="dxa"/>
          </w:tcPr>
          <w:p w:rsidR="00D85203" w:rsidRPr="00117572" w:rsidRDefault="00493A69">
            <w:pPr>
              <w:autoSpaceDE w:val="0"/>
              <w:autoSpaceDN w:val="0"/>
              <w:adjustRightInd w:val="0"/>
              <w:spacing w:after="0"/>
              <w:jc w:val="righ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Arial"/>
                <w:b/>
                <w:bCs/>
                <w:color w:val="000000"/>
                <w:szCs w:val="20"/>
                <w:lang w:eastAsia="en-US"/>
              </w:rPr>
            </w:pPr>
            <w:r w:rsidRPr="00117572">
              <w:rPr>
                <w:rFonts w:asciiTheme="minorHAnsi" w:eastAsiaTheme="minorHAnsi" w:hAnsiTheme="minorHAnsi" w:cs="Arial"/>
                <w:bCs/>
                <w:color w:val="000000"/>
                <w:szCs w:val="20"/>
                <w:lang w:eastAsia="en-US"/>
              </w:rPr>
              <w:t>882,641</w:t>
            </w:r>
          </w:p>
        </w:tc>
      </w:tr>
      <w:tr w:rsidR="00493A69" w:rsidRPr="0011757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4" w:type="dxa"/>
          </w:tcPr>
          <w:p w:rsidR="00493A69" w:rsidRPr="001178F3" w:rsidRDefault="00493A69" w:rsidP="00493A69">
            <w:pPr>
              <w:autoSpaceDE w:val="0"/>
              <w:autoSpaceDN w:val="0"/>
              <w:adjustRightInd w:val="0"/>
              <w:spacing w:after="0"/>
              <w:jc w:val="right"/>
              <w:rPr>
                <w:rFonts w:asciiTheme="minorHAnsi" w:eastAsiaTheme="minorHAnsi" w:hAnsiTheme="minorHAnsi" w:cs="Arial"/>
                <w:color w:val="000000"/>
                <w:szCs w:val="20"/>
                <w:lang w:eastAsia="en-US"/>
              </w:rPr>
            </w:pPr>
            <w:r w:rsidRPr="001178F3">
              <w:rPr>
                <w:rFonts w:asciiTheme="minorHAnsi" w:eastAsiaTheme="minorHAnsi" w:hAnsiTheme="minorHAnsi" w:cs="Arial"/>
                <w:color w:val="000000"/>
                <w:szCs w:val="20"/>
                <w:lang w:eastAsia="en-US"/>
              </w:rPr>
              <w:t xml:space="preserve">2007 </w:t>
            </w:r>
          </w:p>
        </w:tc>
        <w:tc>
          <w:tcPr>
            <w:tcW w:w="1315" w:type="dxa"/>
          </w:tcPr>
          <w:p w:rsidR="00493A69" w:rsidRPr="00117572" w:rsidRDefault="00493A69" w:rsidP="00493A69">
            <w:pPr>
              <w:autoSpaceDE w:val="0"/>
              <w:autoSpaceDN w:val="0"/>
              <w:adjustRightInd w:val="0"/>
              <w:spacing w:after="0"/>
              <w:jc w:val="center"/>
              <w:cnfStyle w:val="000000010000" w:firstRow="0" w:lastRow="0" w:firstColumn="0" w:lastColumn="0" w:oddVBand="0" w:evenVBand="0" w:oddHBand="0" w:evenHBand="1" w:firstRowFirstColumn="0" w:firstRowLastColumn="0" w:lastRowFirstColumn="0" w:lastRowLastColumn="0"/>
              <w:rPr>
                <w:rFonts w:asciiTheme="minorHAnsi" w:eastAsiaTheme="minorHAnsi" w:hAnsiTheme="minorHAnsi" w:cs="Arial"/>
                <w:color w:val="000000"/>
                <w:szCs w:val="20"/>
                <w:lang w:eastAsia="en-US"/>
              </w:rPr>
            </w:pPr>
            <w:r w:rsidRPr="00117572">
              <w:rPr>
                <w:rFonts w:asciiTheme="minorHAnsi" w:eastAsiaTheme="minorHAnsi" w:hAnsiTheme="minorHAnsi" w:cs="Arial"/>
                <w:bCs/>
                <w:color w:val="000000"/>
                <w:szCs w:val="20"/>
                <w:lang w:eastAsia="en-US"/>
              </w:rPr>
              <w:t xml:space="preserve">3 </w:t>
            </w:r>
          </w:p>
        </w:tc>
        <w:tc>
          <w:tcPr>
            <w:tcW w:w="1315" w:type="dxa"/>
          </w:tcPr>
          <w:p w:rsidR="00493A69" w:rsidRPr="00117572" w:rsidRDefault="00493A69" w:rsidP="00493A69">
            <w:pPr>
              <w:autoSpaceDE w:val="0"/>
              <w:autoSpaceDN w:val="0"/>
              <w:adjustRightInd w:val="0"/>
              <w:spacing w:after="0"/>
              <w:jc w:val="center"/>
              <w:cnfStyle w:val="000000010000" w:firstRow="0" w:lastRow="0" w:firstColumn="0" w:lastColumn="0" w:oddVBand="0" w:evenVBand="0" w:oddHBand="0" w:evenHBand="1" w:firstRowFirstColumn="0" w:firstRowLastColumn="0" w:lastRowFirstColumn="0" w:lastRowLastColumn="0"/>
              <w:rPr>
                <w:rFonts w:asciiTheme="minorHAnsi" w:eastAsiaTheme="minorHAnsi" w:hAnsiTheme="minorHAnsi" w:cs="Arial"/>
                <w:color w:val="000000"/>
                <w:szCs w:val="20"/>
                <w:lang w:eastAsia="en-US"/>
              </w:rPr>
            </w:pPr>
            <w:r w:rsidRPr="00117572">
              <w:rPr>
                <w:rFonts w:asciiTheme="minorHAnsi" w:eastAsiaTheme="minorHAnsi" w:hAnsiTheme="minorHAnsi" w:cs="Arial"/>
                <w:bCs/>
                <w:color w:val="000000"/>
                <w:szCs w:val="20"/>
                <w:lang w:eastAsia="en-US"/>
              </w:rPr>
              <w:t xml:space="preserve">3 </w:t>
            </w:r>
          </w:p>
        </w:tc>
        <w:tc>
          <w:tcPr>
            <w:tcW w:w="1315" w:type="dxa"/>
          </w:tcPr>
          <w:p w:rsidR="00493A69" w:rsidRPr="00117572" w:rsidRDefault="00493A69" w:rsidP="00493A69">
            <w:pPr>
              <w:autoSpaceDE w:val="0"/>
              <w:autoSpaceDN w:val="0"/>
              <w:adjustRightInd w:val="0"/>
              <w:spacing w:after="0"/>
              <w:jc w:val="center"/>
              <w:cnfStyle w:val="000000010000" w:firstRow="0" w:lastRow="0" w:firstColumn="0" w:lastColumn="0" w:oddVBand="0" w:evenVBand="0" w:oddHBand="0" w:evenHBand="1" w:firstRowFirstColumn="0" w:firstRowLastColumn="0" w:lastRowFirstColumn="0" w:lastRowLastColumn="0"/>
              <w:rPr>
                <w:rFonts w:asciiTheme="minorHAnsi" w:eastAsiaTheme="minorHAnsi" w:hAnsiTheme="minorHAnsi" w:cs="Arial"/>
                <w:color w:val="000000"/>
                <w:szCs w:val="20"/>
                <w:lang w:eastAsia="en-US"/>
              </w:rPr>
            </w:pPr>
            <w:r w:rsidRPr="00117572">
              <w:rPr>
                <w:rFonts w:asciiTheme="minorHAnsi" w:eastAsiaTheme="minorHAnsi" w:hAnsiTheme="minorHAnsi" w:cs="Arial"/>
                <w:bCs/>
                <w:color w:val="000000"/>
                <w:szCs w:val="20"/>
                <w:lang w:eastAsia="en-US"/>
              </w:rPr>
              <w:t xml:space="preserve">2 </w:t>
            </w:r>
          </w:p>
        </w:tc>
        <w:tc>
          <w:tcPr>
            <w:tcW w:w="1315" w:type="dxa"/>
          </w:tcPr>
          <w:p w:rsidR="00493A69" w:rsidRPr="00117572" w:rsidRDefault="00493A69" w:rsidP="00493A69">
            <w:pPr>
              <w:autoSpaceDE w:val="0"/>
              <w:autoSpaceDN w:val="0"/>
              <w:adjustRightInd w:val="0"/>
              <w:spacing w:after="0"/>
              <w:jc w:val="center"/>
              <w:cnfStyle w:val="000000010000" w:firstRow="0" w:lastRow="0" w:firstColumn="0" w:lastColumn="0" w:oddVBand="0" w:evenVBand="0" w:oddHBand="0" w:evenHBand="1" w:firstRowFirstColumn="0" w:firstRowLastColumn="0" w:lastRowFirstColumn="0" w:lastRowLastColumn="0"/>
              <w:rPr>
                <w:rFonts w:asciiTheme="minorHAnsi" w:eastAsiaTheme="minorHAnsi" w:hAnsiTheme="minorHAnsi" w:cs="Arial"/>
                <w:color w:val="000000"/>
                <w:szCs w:val="20"/>
                <w:lang w:eastAsia="en-US"/>
              </w:rPr>
            </w:pPr>
            <w:r w:rsidRPr="00117572">
              <w:rPr>
                <w:rFonts w:asciiTheme="minorHAnsi" w:eastAsiaTheme="minorHAnsi" w:hAnsiTheme="minorHAnsi" w:cs="Arial"/>
                <w:bCs/>
                <w:color w:val="000000"/>
                <w:szCs w:val="20"/>
                <w:lang w:eastAsia="en-US"/>
              </w:rPr>
              <w:t xml:space="preserve">1 </w:t>
            </w:r>
          </w:p>
        </w:tc>
        <w:tc>
          <w:tcPr>
            <w:tcW w:w="1315" w:type="dxa"/>
          </w:tcPr>
          <w:p w:rsidR="00493A69" w:rsidRPr="00117572" w:rsidRDefault="00493A69" w:rsidP="00493A69">
            <w:pPr>
              <w:autoSpaceDE w:val="0"/>
              <w:autoSpaceDN w:val="0"/>
              <w:adjustRightInd w:val="0"/>
              <w:spacing w:after="0"/>
              <w:jc w:val="center"/>
              <w:cnfStyle w:val="000000010000" w:firstRow="0" w:lastRow="0" w:firstColumn="0" w:lastColumn="0" w:oddVBand="0" w:evenVBand="0" w:oddHBand="0" w:evenHBand="1" w:firstRowFirstColumn="0" w:firstRowLastColumn="0" w:lastRowFirstColumn="0" w:lastRowLastColumn="0"/>
              <w:rPr>
                <w:rFonts w:asciiTheme="minorHAnsi" w:eastAsiaTheme="minorHAnsi" w:hAnsiTheme="minorHAnsi" w:cs="Arial"/>
                <w:color w:val="000000"/>
                <w:szCs w:val="20"/>
                <w:lang w:eastAsia="en-US"/>
              </w:rPr>
            </w:pPr>
            <w:r w:rsidRPr="00117572">
              <w:rPr>
                <w:rFonts w:asciiTheme="minorHAnsi" w:eastAsiaTheme="minorHAnsi" w:hAnsiTheme="minorHAnsi" w:cs="Arial"/>
                <w:bCs/>
                <w:color w:val="000000"/>
                <w:szCs w:val="20"/>
                <w:lang w:eastAsia="en-US"/>
              </w:rPr>
              <w:t xml:space="preserve">1 </w:t>
            </w:r>
          </w:p>
        </w:tc>
        <w:tc>
          <w:tcPr>
            <w:tcW w:w="1315" w:type="dxa"/>
          </w:tcPr>
          <w:p w:rsidR="00D85203" w:rsidRPr="00117572" w:rsidRDefault="00493A69">
            <w:pPr>
              <w:autoSpaceDE w:val="0"/>
              <w:autoSpaceDN w:val="0"/>
              <w:adjustRightInd w:val="0"/>
              <w:spacing w:after="0"/>
              <w:jc w:val="right"/>
              <w:cnfStyle w:val="000000010000" w:firstRow="0" w:lastRow="0" w:firstColumn="0" w:lastColumn="0" w:oddVBand="0" w:evenVBand="0" w:oddHBand="0" w:evenHBand="1" w:firstRowFirstColumn="0" w:firstRowLastColumn="0" w:lastRowFirstColumn="0" w:lastRowLastColumn="0"/>
              <w:rPr>
                <w:rFonts w:asciiTheme="minorHAnsi" w:eastAsiaTheme="minorHAnsi" w:hAnsiTheme="minorHAnsi" w:cs="Arial"/>
                <w:b/>
                <w:bCs/>
                <w:color w:val="000000"/>
                <w:szCs w:val="20"/>
                <w:lang w:eastAsia="en-US"/>
              </w:rPr>
            </w:pPr>
            <w:r w:rsidRPr="00117572">
              <w:rPr>
                <w:rFonts w:asciiTheme="minorHAnsi" w:eastAsiaTheme="minorHAnsi" w:hAnsiTheme="minorHAnsi" w:cs="Arial"/>
                <w:bCs/>
                <w:color w:val="000000"/>
                <w:szCs w:val="20"/>
                <w:lang w:eastAsia="en-US"/>
              </w:rPr>
              <w:t>1,300,427</w:t>
            </w:r>
          </w:p>
        </w:tc>
      </w:tr>
      <w:tr w:rsidR="00493A69" w:rsidRPr="001175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4" w:type="dxa"/>
          </w:tcPr>
          <w:p w:rsidR="00493A69" w:rsidRPr="001178F3" w:rsidRDefault="00493A69" w:rsidP="00493A69">
            <w:pPr>
              <w:autoSpaceDE w:val="0"/>
              <w:autoSpaceDN w:val="0"/>
              <w:adjustRightInd w:val="0"/>
              <w:spacing w:after="0"/>
              <w:jc w:val="right"/>
              <w:rPr>
                <w:rFonts w:asciiTheme="minorHAnsi" w:eastAsiaTheme="minorHAnsi" w:hAnsiTheme="minorHAnsi" w:cs="Arial"/>
                <w:color w:val="000000"/>
                <w:szCs w:val="20"/>
                <w:lang w:eastAsia="en-US"/>
              </w:rPr>
            </w:pPr>
            <w:r w:rsidRPr="001178F3">
              <w:rPr>
                <w:rFonts w:asciiTheme="minorHAnsi" w:eastAsiaTheme="minorHAnsi" w:hAnsiTheme="minorHAnsi" w:cs="Arial"/>
                <w:color w:val="000000"/>
                <w:szCs w:val="20"/>
                <w:lang w:eastAsia="en-US"/>
              </w:rPr>
              <w:t xml:space="preserve">2008 </w:t>
            </w:r>
          </w:p>
        </w:tc>
        <w:tc>
          <w:tcPr>
            <w:tcW w:w="1315" w:type="dxa"/>
          </w:tcPr>
          <w:p w:rsidR="00493A69" w:rsidRPr="00117572" w:rsidRDefault="00493A69" w:rsidP="00493A69">
            <w:pPr>
              <w:autoSpaceDE w:val="0"/>
              <w:autoSpaceDN w:val="0"/>
              <w:adjustRightInd w:val="0"/>
              <w:spacing w:after="0"/>
              <w:jc w:val="cente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Arial"/>
                <w:color w:val="000000"/>
                <w:szCs w:val="20"/>
                <w:lang w:eastAsia="en-US"/>
              </w:rPr>
            </w:pPr>
            <w:r w:rsidRPr="00117572">
              <w:rPr>
                <w:rFonts w:asciiTheme="minorHAnsi" w:eastAsiaTheme="minorHAnsi" w:hAnsiTheme="minorHAnsi" w:cs="Arial"/>
                <w:bCs/>
                <w:color w:val="000000"/>
                <w:szCs w:val="20"/>
                <w:lang w:eastAsia="en-US"/>
              </w:rPr>
              <w:t xml:space="preserve">4 </w:t>
            </w:r>
          </w:p>
        </w:tc>
        <w:tc>
          <w:tcPr>
            <w:tcW w:w="1315" w:type="dxa"/>
          </w:tcPr>
          <w:p w:rsidR="00493A69" w:rsidRPr="00117572" w:rsidRDefault="00493A69" w:rsidP="00493A69">
            <w:pPr>
              <w:autoSpaceDE w:val="0"/>
              <w:autoSpaceDN w:val="0"/>
              <w:adjustRightInd w:val="0"/>
              <w:spacing w:after="0"/>
              <w:jc w:val="cente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Arial"/>
                <w:color w:val="000000"/>
                <w:szCs w:val="20"/>
                <w:lang w:eastAsia="en-US"/>
              </w:rPr>
            </w:pPr>
            <w:r w:rsidRPr="00117572">
              <w:rPr>
                <w:rFonts w:asciiTheme="minorHAnsi" w:eastAsiaTheme="minorHAnsi" w:hAnsiTheme="minorHAnsi" w:cs="Arial"/>
                <w:bCs/>
                <w:color w:val="000000"/>
                <w:szCs w:val="20"/>
                <w:lang w:eastAsia="en-US"/>
              </w:rPr>
              <w:t xml:space="preserve">4 </w:t>
            </w:r>
          </w:p>
        </w:tc>
        <w:tc>
          <w:tcPr>
            <w:tcW w:w="1315" w:type="dxa"/>
          </w:tcPr>
          <w:p w:rsidR="00493A69" w:rsidRPr="00117572" w:rsidRDefault="00493A69" w:rsidP="00493A69">
            <w:pPr>
              <w:autoSpaceDE w:val="0"/>
              <w:autoSpaceDN w:val="0"/>
              <w:adjustRightInd w:val="0"/>
              <w:spacing w:after="0"/>
              <w:jc w:val="cente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Arial"/>
                <w:color w:val="000000"/>
                <w:szCs w:val="20"/>
                <w:lang w:eastAsia="en-US"/>
              </w:rPr>
            </w:pPr>
            <w:r w:rsidRPr="00117572">
              <w:rPr>
                <w:rFonts w:asciiTheme="minorHAnsi" w:eastAsiaTheme="minorHAnsi" w:hAnsiTheme="minorHAnsi" w:cs="Arial"/>
                <w:bCs/>
                <w:color w:val="000000"/>
                <w:szCs w:val="20"/>
                <w:lang w:eastAsia="en-US"/>
              </w:rPr>
              <w:t xml:space="preserve">3 </w:t>
            </w:r>
          </w:p>
        </w:tc>
        <w:tc>
          <w:tcPr>
            <w:tcW w:w="1315" w:type="dxa"/>
          </w:tcPr>
          <w:p w:rsidR="00493A69" w:rsidRPr="00117572" w:rsidRDefault="00493A69" w:rsidP="00493A69">
            <w:pPr>
              <w:autoSpaceDE w:val="0"/>
              <w:autoSpaceDN w:val="0"/>
              <w:adjustRightInd w:val="0"/>
              <w:spacing w:after="0"/>
              <w:jc w:val="cente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Arial"/>
                <w:color w:val="000000"/>
                <w:szCs w:val="20"/>
                <w:lang w:eastAsia="en-US"/>
              </w:rPr>
            </w:pPr>
            <w:r w:rsidRPr="00117572">
              <w:rPr>
                <w:rFonts w:asciiTheme="minorHAnsi" w:eastAsiaTheme="minorHAnsi" w:hAnsiTheme="minorHAnsi" w:cs="Arial"/>
                <w:bCs/>
                <w:color w:val="000000"/>
                <w:szCs w:val="20"/>
                <w:lang w:eastAsia="en-US"/>
              </w:rPr>
              <w:t xml:space="preserve">1 </w:t>
            </w:r>
          </w:p>
        </w:tc>
        <w:tc>
          <w:tcPr>
            <w:tcW w:w="1315" w:type="dxa"/>
          </w:tcPr>
          <w:p w:rsidR="00493A69" w:rsidRPr="00117572" w:rsidRDefault="00493A69" w:rsidP="00493A69">
            <w:pPr>
              <w:autoSpaceDE w:val="0"/>
              <w:autoSpaceDN w:val="0"/>
              <w:adjustRightInd w:val="0"/>
              <w:spacing w:after="0"/>
              <w:jc w:val="cente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Arial"/>
                <w:color w:val="000000"/>
                <w:szCs w:val="20"/>
                <w:lang w:eastAsia="en-US"/>
              </w:rPr>
            </w:pPr>
            <w:r w:rsidRPr="00117572">
              <w:rPr>
                <w:rFonts w:asciiTheme="minorHAnsi" w:eastAsiaTheme="minorHAnsi" w:hAnsiTheme="minorHAnsi" w:cs="Arial"/>
                <w:bCs/>
                <w:color w:val="000000"/>
                <w:szCs w:val="20"/>
                <w:lang w:eastAsia="en-US"/>
              </w:rPr>
              <w:t xml:space="preserve">1 </w:t>
            </w:r>
          </w:p>
        </w:tc>
        <w:tc>
          <w:tcPr>
            <w:tcW w:w="1315" w:type="dxa"/>
          </w:tcPr>
          <w:p w:rsidR="00D85203" w:rsidRPr="00117572" w:rsidRDefault="00493A69" w:rsidP="0001533C">
            <w:pPr>
              <w:autoSpaceDE w:val="0"/>
              <w:autoSpaceDN w:val="0"/>
              <w:adjustRightInd w:val="0"/>
              <w:spacing w:after="0"/>
              <w:jc w:val="righ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Arial"/>
                <w:b/>
                <w:bCs/>
                <w:color w:val="000000"/>
                <w:szCs w:val="20"/>
                <w:lang w:eastAsia="en-US"/>
              </w:rPr>
            </w:pPr>
            <w:r w:rsidRPr="00117572">
              <w:rPr>
                <w:rFonts w:asciiTheme="minorHAnsi" w:eastAsiaTheme="minorHAnsi" w:hAnsiTheme="minorHAnsi" w:cs="Arial"/>
                <w:bCs/>
                <w:color w:val="000000"/>
                <w:szCs w:val="20"/>
                <w:lang w:eastAsia="en-US"/>
              </w:rPr>
              <w:t>1,</w:t>
            </w:r>
            <w:r w:rsidR="0001533C">
              <w:rPr>
                <w:rFonts w:asciiTheme="minorHAnsi" w:eastAsiaTheme="minorHAnsi" w:hAnsiTheme="minorHAnsi" w:cs="Arial"/>
                <w:bCs/>
                <w:color w:val="000000"/>
                <w:szCs w:val="20"/>
                <w:lang w:eastAsia="en-US"/>
              </w:rPr>
              <w:t>635,993</w:t>
            </w:r>
          </w:p>
        </w:tc>
      </w:tr>
      <w:tr w:rsidR="00493A69" w:rsidRPr="0011757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4" w:type="dxa"/>
          </w:tcPr>
          <w:p w:rsidR="00493A69" w:rsidRPr="001178F3" w:rsidRDefault="00493A69" w:rsidP="00493A69">
            <w:pPr>
              <w:autoSpaceDE w:val="0"/>
              <w:autoSpaceDN w:val="0"/>
              <w:adjustRightInd w:val="0"/>
              <w:spacing w:after="0"/>
              <w:jc w:val="right"/>
              <w:rPr>
                <w:rFonts w:asciiTheme="minorHAnsi" w:eastAsiaTheme="minorHAnsi" w:hAnsiTheme="minorHAnsi" w:cs="Arial"/>
                <w:color w:val="000000"/>
                <w:szCs w:val="20"/>
                <w:lang w:eastAsia="en-US"/>
              </w:rPr>
            </w:pPr>
            <w:r w:rsidRPr="001178F3">
              <w:rPr>
                <w:rFonts w:asciiTheme="minorHAnsi" w:eastAsiaTheme="minorHAnsi" w:hAnsiTheme="minorHAnsi" w:cs="Arial"/>
                <w:color w:val="000000"/>
                <w:szCs w:val="20"/>
                <w:lang w:eastAsia="en-US"/>
              </w:rPr>
              <w:t xml:space="preserve">2009 </w:t>
            </w:r>
          </w:p>
        </w:tc>
        <w:tc>
          <w:tcPr>
            <w:tcW w:w="1315" w:type="dxa"/>
          </w:tcPr>
          <w:p w:rsidR="00493A69" w:rsidRPr="00117572" w:rsidRDefault="00493A69" w:rsidP="00493A69">
            <w:pPr>
              <w:autoSpaceDE w:val="0"/>
              <w:autoSpaceDN w:val="0"/>
              <w:adjustRightInd w:val="0"/>
              <w:spacing w:after="0"/>
              <w:jc w:val="center"/>
              <w:cnfStyle w:val="000000010000" w:firstRow="0" w:lastRow="0" w:firstColumn="0" w:lastColumn="0" w:oddVBand="0" w:evenVBand="0" w:oddHBand="0" w:evenHBand="1" w:firstRowFirstColumn="0" w:firstRowLastColumn="0" w:lastRowFirstColumn="0" w:lastRowLastColumn="0"/>
              <w:rPr>
                <w:rFonts w:asciiTheme="minorHAnsi" w:eastAsiaTheme="minorHAnsi" w:hAnsiTheme="minorHAnsi" w:cs="Arial"/>
                <w:color w:val="000000"/>
                <w:szCs w:val="20"/>
                <w:lang w:eastAsia="en-US"/>
              </w:rPr>
            </w:pPr>
            <w:r w:rsidRPr="00117572">
              <w:rPr>
                <w:rFonts w:asciiTheme="minorHAnsi" w:eastAsiaTheme="minorHAnsi" w:hAnsiTheme="minorHAnsi" w:cs="Arial"/>
                <w:bCs/>
                <w:color w:val="000000"/>
                <w:szCs w:val="20"/>
                <w:lang w:eastAsia="en-US"/>
              </w:rPr>
              <w:t xml:space="preserve">5 </w:t>
            </w:r>
          </w:p>
        </w:tc>
        <w:tc>
          <w:tcPr>
            <w:tcW w:w="1315" w:type="dxa"/>
          </w:tcPr>
          <w:p w:rsidR="00493A69" w:rsidRPr="00117572" w:rsidRDefault="00493A69" w:rsidP="00493A69">
            <w:pPr>
              <w:autoSpaceDE w:val="0"/>
              <w:autoSpaceDN w:val="0"/>
              <w:adjustRightInd w:val="0"/>
              <w:spacing w:after="0"/>
              <w:jc w:val="center"/>
              <w:cnfStyle w:val="000000010000" w:firstRow="0" w:lastRow="0" w:firstColumn="0" w:lastColumn="0" w:oddVBand="0" w:evenVBand="0" w:oddHBand="0" w:evenHBand="1" w:firstRowFirstColumn="0" w:firstRowLastColumn="0" w:lastRowFirstColumn="0" w:lastRowLastColumn="0"/>
              <w:rPr>
                <w:rFonts w:asciiTheme="minorHAnsi" w:eastAsiaTheme="minorHAnsi" w:hAnsiTheme="minorHAnsi" w:cs="Arial"/>
                <w:color w:val="000000"/>
                <w:szCs w:val="20"/>
                <w:lang w:eastAsia="en-US"/>
              </w:rPr>
            </w:pPr>
            <w:r w:rsidRPr="00117572">
              <w:rPr>
                <w:rFonts w:asciiTheme="minorHAnsi" w:eastAsiaTheme="minorHAnsi" w:hAnsiTheme="minorHAnsi" w:cs="Arial"/>
                <w:bCs/>
                <w:color w:val="000000"/>
                <w:szCs w:val="20"/>
                <w:lang w:eastAsia="en-US"/>
              </w:rPr>
              <w:t xml:space="preserve">4 </w:t>
            </w:r>
          </w:p>
        </w:tc>
        <w:tc>
          <w:tcPr>
            <w:tcW w:w="1315" w:type="dxa"/>
          </w:tcPr>
          <w:p w:rsidR="00493A69" w:rsidRPr="00117572" w:rsidRDefault="00493A69" w:rsidP="00493A69">
            <w:pPr>
              <w:autoSpaceDE w:val="0"/>
              <w:autoSpaceDN w:val="0"/>
              <w:adjustRightInd w:val="0"/>
              <w:spacing w:after="0"/>
              <w:jc w:val="center"/>
              <w:cnfStyle w:val="000000010000" w:firstRow="0" w:lastRow="0" w:firstColumn="0" w:lastColumn="0" w:oddVBand="0" w:evenVBand="0" w:oddHBand="0" w:evenHBand="1" w:firstRowFirstColumn="0" w:firstRowLastColumn="0" w:lastRowFirstColumn="0" w:lastRowLastColumn="0"/>
              <w:rPr>
                <w:rFonts w:asciiTheme="minorHAnsi" w:eastAsiaTheme="minorHAnsi" w:hAnsiTheme="minorHAnsi" w:cs="Arial"/>
                <w:color w:val="000000"/>
                <w:szCs w:val="20"/>
                <w:lang w:eastAsia="en-US"/>
              </w:rPr>
            </w:pPr>
            <w:r w:rsidRPr="00117572">
              <w:rPr>
                <w:rFonts w:asciiTheme="minorHAnsi" w:eastAsiaTheme="minorHAnsi" w:hAnsiTheme="minorHAnsi" w:cs="Arial"/>
                <w:bCs/>
                <w:color w:val="000000"/>
                <w:szCs w:val="20"/>
                <w:lang w:eastAsia="en-US"/>
              </w:rPr>
              <w:t xml:space="preserve">3 </w:t>
            </w:r>
          </w:p>
        </w:tc>
        <w:tc>
          <w:tcPr>
            <w:tcW w:w="1315" w:type="dxa"/>
          </w:tcPr>
          <w:p w:rsidR="00493A69" w:rsidRPr="00117572" w:rsidRDefault="00493A69" w:rsidP="00493A69">
            <w:pPr>
              <w:autoSpaceDE w:val="0"/>
              <w:autoSpaceDN w:val="0"/>
              <w:adjustRightInd w:val="0"/>
              <w:spacing w:after="0"/>
              <w:jc w:val="center"/>
              <w:cnfStyle w:val="000000010000" w:firstRow="0" w:lastRow="0" w:firstColumn="0" w:lastColumn="0" w:oddVBand="0" w:evenVBand="0" w:oddHBand="0" w:evenHBand="1" w:firstRowFirstColumn="0" w:firstRowLastColumn="0" w:lastRowFirstColumn="0" w:lastRowLastColumn="0"/>
              <w:rPr>
                <w:rFonts w:asciiTheme="minorHAnsi" w:eastAsiaTheme="minorHAnsi" w:hAnsiTheme="minorHAnsi" w:cs="Arial"/>
                <w:color w:val="000000"/>
                <w:szCs w:val="20"/>
                <w:lang w:eastAsia="en-US"/>
              </w:rPr>
            </w:pPr>
            <w:r w:rsidRPr="00117572">
              <w:rPr>
                <w:rFonts w:asciiTheme="minorHAnsi" w:eastAsiaTheme="minorHAnsi" w:hAnsiTheme="minorHAnsi" w:cs="Arial"/>
                <w:bCs/>
                <w:color w:val="000000"/>
                <w:szCs w:val="20"/>
                <w:lang w:eastAsia="en-US"/>
              </w:rPr>
              <w:t xml:space="preserve">2 </w:t>
            </w:r>
          </w:p>
        </w:tc>
        <w:tc>
          <w:tcPr>
            <w:tcW w:w="1315" w:type="dxa"/>
          </w:tcPr>
          <w:p w:rsidR="00493A69" w:rsidRPr="00117572" w:rsidRDefault="00493A69" w:rsidP="00493A69">
            <w:pPr>
              <w:autoSpaceDE w:val="0"/>
              <w:autoSpaceDN w:val="0"/>
              <w:adjustRightInd w:val="0"/>
              <w:spacing w:after="0"/>
              <w:jc w:val="center"/>
              <w:cnfStyle w:val="000000010000" w:firstRow="0" w:lastRow="0" w:firstColumn="0" w:lastColumn="0" w:oddVBand="0" w:evenVBand="0" w:oddHBand="0" w:evenHBand="1" w:firstRowFirstColumn="0" w:firstRowLastColumn="0" w:lastRowFirstColumn="0" w:lastRowLastColumn="0"/>
              <w:rPr>
                <w:rFonts w:asciiTheme="minorHAnsi" w:eastAsiaTheme="minorHAnsi" w:hAnsiTheme="minorHAnsi" w:cs="Arial"/>
                <w:color w:val="000000"/>
                <w:szCs w:val="20"/>
                <w:lang w:eastAsia="en-US"/>
              </w:rPr>
            </w:pPr>
            <w:r w:rsidRPr="00117572">
              <w:rPr>
                <w:rFonts w:asciiTheme="minorHAnsi" w:eastAsiaTheme="minorHAnsi" w:hAnsiTheme="minorHAnsi" w:cs="Arial"/>
                <w:bCs/>
                <w:color w:val="000000"/>
                <w:szCs w:val="20"/>
                <w:lang w:eastAsia="en-US"/>
              </w:rPr>
              <w:t xml:space="preserve">1 </w:t>
            </w:r>
          </w:p>
        </w:tc>
        <w:tc>
          <w:tcPr>
            <w:tcW w:w="1315" w:type="dxa"/>
          </w:tcPr>
          <w:p w:rsidR="00D85203" w:rsidRPr="00117572" w:rsidRDefault="0001533C">
            <w:pPr>
              <w:autoSpaceDE w:val="0"/>
              <w:autoSpaceDN w:val="0"/>
              <w:adjustRightInd w:val="0"/>
              <w:spacing w:after="0"/>
              <w:jc w:val="right"/>
              <w:cnfStyle w:val="000000010000" w:firstRow="0" w:lastRow="0" w:firstColumn="0" w:lastColumn="0" w:oddVBand="0" w:evenVBand="0" w:oddHBand="0" w:evenHBand="1" w:firstRowFirstColumn="0" w:firstRowLastColumn="0" w:lastRowFirstColumn="0" w:lastRowLastColumn="0"/>
              <w:rPr>
                <w:rFonts w:asciiTheme="minorHAnsi" w:eastAsiaTheme="minorHAnsi" w:hAnsiTheme="minorHAnsi" w:cs="Arial"/>
                <w:b/>
                <w:bCs/>
                <w:color w:val="000000"/>
                <w:szCs w:val="20"/>
                <w:lang w:eastAsia="en-US"/>
              </w:rPr>
            </w:pPr>
            <w:r>
              <w:rPr>
                <w:rFonts w:asciiTheme="minorHAnsi" w:eastAsiaTheme="minorHAnsi" w:hAnsiTheme="minorHAnsi" w:cs="Arial"/>
                <w:bCs/>
                <w:color w:val="000000"/>
                <w:szCs w:val="20"/>
                <w:lang w:eastAsia="en-US"/>
              </w:rPr>
              <w:t>1,807,296</w:t>
            </w:r>
          </w:p>
        </w:tc>
      </w:tr>
      <w:tr w:rsidR="00493A69" w:rsidRPr="001175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4" w:type="dxa"/>
          </w:tcPr>
          <w:p w:rsidR="00493A69" w:rsidRPr="001178F3" w:rsidRDefault="00493A69" w:rsidP="00493A69">
            <w:pPr>
              <w:autoSpaceDE w:val="0"/>
              <w:autoSpaceDN w:val="0"/>
              <w:adjustRightInd w:val="0"/>
              <w:spacing w:after="0"/>
              <w:jc w:val="right"/>
              <w:rPr>
                <w:rFonts w:asciiTheme="minorHAnsi" w:eastAsiaTheme="minorHAnsi" w:hAnsiTheme="minorHAnsi" w:cs="Arial"/>
                <w:bCs w:val="0"/>
                <w:color w:val="000000"/>
                <w:szCs w:val="20"/>
                <w:lang w:eastAsia="en-US"/>
              </w:rPr>
            </w:pPr>
            <w:r w:rsidRPr="001178F3">
              <w:rPr>
                <w:rFonts w:asciiTheme="minorHAnsi" w:eastAsiaTheme="minorHAnsi" w:hAnsiTheme="minorHAnsi" w:cs="Arial"/>
                <w:bCs w:val="0"/>
                <w:color w:val="000000"/>
                <w:szCs w:val="20"/>
                <w:lang w:eastAsia="en-US"/>
              </w:rPr>
              <w:t>2010</w:t>
            </w:r>
          </w:p>
        </w:tc>
        <w:tc>
          <w:tcPr>
            <w:tcW w:w="1315" w:type="dxa"/>
          </w:tcPr>
          <w:p w:rsidR="00493A69" w:rsidRPr="00117572" w:rsidRDefault="00493A69" w:rsidP="00493A69">
            <w:pPr>
              <w:autoSpaceDE w:val="0"/>
              <w:autoSpaceDN w:val="0"/>
              <w:adjustRightInd w:val="0"/>
              <w:spacing w:after="0"/>
              <w:jc w:val="cente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Arial"/>
                <w:bCs/>
                <w:color w:val="000000"/>
                <w:szCs w:val="20"/>
                <w:lang w:eastAsia="en-US"/>
              </w:rPr>
            </w:pPr>
            <w:r w:rsidRPr="00117572">
              <w:rPr>
                <w:rFonts w:asciiTheme="minorHAnsi" w:eastAsiaTheme="minorHAnsi" w:hAnsiTheme="minorHAnsi" w:cs="Arial"/>
                <w:bCs/>
                <w:color w:val="000000"/>
                <w:szCs w:val="20"/>
                <w:lang w:eastAsia="en-US"/>
              </w:rPr>
              <w:t>5</w:t>
            </w:r>
          </w:p>
        </w:tc>
        <w:tc>
          <w:tcPr>
            <w:tcW w:w="1315" w:type="dxa"/>
          </w:tcPr>
          <w:p w:rsidR="00493A69" w:rsidRPr="00117572" w:rsidRDefault="00493A69" w:rsidP="00493A69">
            <w:pPr>
              <w:autoSpaceDE w:val="0"/>
              <w:autoSpaceDN w:val="0"/>
              <w:adjustRightInd w:val="0"/>
              <w:spacing w:after="0"/>
              <w:jc w:val="cente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Arial"/>
                <w:bCs/>
                <w:color w:val="000000"/>
                <w:szCs w:val="20"/>
                <w:lang w:eastAsia="en-US"/>
              </w:rPr>
            </w:pPr>
            <w:r w:rsidRPr="00117572">
              <w:rPr>
                <w:rFonts w:asciiTheme="minorHAnsi" w:eastAsiaTheme="minorHAnsi" w:hAnsiTheme="minorHAnsi" w:cs="Arial"/>
                <w:bCs/>
                <w:color w:val="000000"/>
                <w:szCs w:val="20"/>
                <w:lang w:eastAsia="en-US"/>
              </w:rPr>
              <w:t>5</w:t>
            </w:r>
          </w:p>
        </w:tc>
        <w:tc>
          <w:tcPr>
            <w:tcW w:w="1315" w:type="dxa"/>
          </w:tcPr>
          <w:p w:rsidR="00493A69" w:rsidRPr="00117572" w:rsidRDefault="00493A69" w:rsidP="00493A69">
            <w:pPr>
              <w:autoSpaceDE w:val="0"/>
              <w:autoSpaceDN w:val="0"/>
              <w:adjustRightInd w:val="0"/>
              <w:spacing w:after="0"/>
              <w:jc w:val="cente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Arial"/>
                <w:bCs/>
                <w:color w:val="000000"/>
                <w:szCs w:val="20"/>
                <w:lang w:eastAsia="en-US"/>
              </w:rPr>
            </w:pPr>
            <w:r w:rsidRPr="00117572">
              <w:rPr>
                <w:rFonts w:asciiTheme="minorHAnsi" w:eastAsiaTheme="minorHAnsi" w:hAnsiTheme="minorHAnsi" w:cs="Arial"/>
                <w:bCs/>
                <w:color w:val="000000"/>
                <w:szCs w:val="20"/>
                <w:lang w:eastAsia="en-US"/>
              </w:rPr>
              <w:t>4</w:t>
            </w:r>
          </w:p>
        </w:tc>
        <w:tc>
          <w:tcPr>
            <w:tcW w:w="1315" w:type="dxa"/>
          </w:tcPr>
          <w:p w:rsidR="00493A69" w:rsidRPr="00117572" w:rsidRDefault="00493A69" w:rsidP="00493A69">
            <w:pPr>
              <w:autoSpaceDE w:val="0"/>
              <w:autoSpaceDN w:val="0"/>
              <w:adjustRightInd w:val="0"/>
              <w:spacing w:after="0"/>
              <w:jc w:val="cente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Arial"/>
                <w:bCs/>
                <w:color w:val="000000"/>
                <w:szCs w:val="20"/>
                <w:lang w:eastAsia="en-US"/>
              </w:rPr>
            </w:pPr>
            <w:r w:rsidRPr="00117572">
              <w:rPr>
                <w:rFonts w:asciiTheme="minorHAnsi" w:eastAsiaTheme="minorHAnsi" w:hAnsiTheme="minorHAnsi" w:cs="Arial"/>
                <w:bCs/>
                <w:color w:val="000000"/>
                <w:szCs w:val="20"/>
                <w:lang w:eastAsia="en-US"/>
              </w:rPr>
              <w:t>3</w:t>
            </w:r>
          </w:p>
        </w:tc>
        <w:tc>
          <w:tcPr>
            <w:tcW w:w="1315" w:type="dxa"/>
          </w:tcPr>
          <w:p w:rsidR="00493A69" w:rsidRPr="00117572" w:rsidRDefault="00493A69" w:rsidP="00493A69">
            <w:pPr>
              <w:autoSpaceDE w:val="0"/>
              <w:autoSpaceDN w:val="0"/>
              <w:adjustRightInd w:val="0"/>
              <w:spacing w:after="0"/>
              <w:jc w:val="cente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Arial"/>
                <w:bCs/>
                <w:color w:val="000000"/>
                <w:szCs w:val="20"/>
                <w:lang w:eastAsia="en-US"/>
              </w:rPr>
            </w:pPr>
            <w:r w:rsidRPr="00117572">
              <w:rPr>
                <w:rFonts w:asciiTheme="minorHAnsi" w:eastAsiaTheme="minorHAnsi" w:hAnsiTheme="minorHAnsi" w:cs="Arial"/>
                <w:bCs/>
                <w:color w:val="000000"/>
                <w:szCs w:val="20"/>
                <w:lang w:eastAsia="en-US"/>
              </w:rPr>
              <w:t>1</w:t>
            </w:r>
          </w:p>
        </w:tc>
        <w:tc>
          <w:tcPr>
            <w:tcW w:w="1315" w:type="dxa"/>
          </w:tcPr>
          <w:p w:rsidR="00D85203" w:rsidRPr="00117572" w:rsidRDefault="0001533C">
            <w:pPr>
              <w:autoSpaceDE w:val="0"/>
              <w:autoSpaceDN w:val="0"/>
              <w:adjustRightInd w:val="0"/>
              <w:spacing w:after="0"/>
              <w:jc w:val="righ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Arial"/>
                <w:b/>
                <w:bCs/>
                <w:color w:val="000000"/>
                <w:szCs w:val="20"/>
                <w:lang w:eastAsia="en-US"/>
              </w:rPr>
            </w:pPr>
            <w:r>
              <w:rPr>
                <w:rFonts w:asciiTheme="minorHAnsi" w:eastAsiaTheme="minorHAnsi" w:hAnsiTheme="minorHAnsi" w:cs="Arial"/>
                <w:bCs/>
                <w:color w:val="000000"/>
                <w:szCs w:val="20"/>
                <w:lang w:eastAsia="en-US"/>
              </w:rPr>
              <w:t>2,500,000 (planning figure)</w:t>
            </w:r>
          </w:p>
        </w:tc>
      </w:tr>
    </w:tbl>
    <w:p w:rsidR="00493A69" w:rsidRDefault="00493A69" w:rsidP="00493A69">
      <w:pPr>
        <w:spacing w:after="100" w:afterAutospacing="1"/>
        <w:rPr>
          <w:sz w:val="22"/>
          <w:lang w:val="en-GB"/>
        </w:rPr>
      </w:pPr>
    </w:p>
    <w:p w:rsidR="00D85203" w:rsidRDefault="00493A69">
      <w:pPr>
        <w:rPr>
          <w:rFonts w:eastAsiaTheme="minorHAnsi"/>
          <w:lang w:val="en-US" w:eastAsia="en-US"/>
        </w:rPr>
      </w:pPr>
      <w:r w:rsidRPr="003D788E">
        <w:rPr>
          <w:rFonts w:eastAsiaTheme="minorHAnsi"/>
          <w:lang w:val="en-US" w:eastAsia="en-US"/>
        </w:rPr>
        <w:t>So how is this allocation system a</w:t>
      </w:r>
      <w:r>
        <w:rPr>
          <w:rFonts w:eastAsiaTheme="minorHAnsi"/>
          <w:lang w:val="en-US" w:eastAsia="en-US"/>
        </w:rPr>
        <w:t xml:space="preserve">ctually perceived by stakeholders? </w:t>
      </w:r>
      <w:r w:rsidRPr="006B72B0">
        <w:rPr>
          <w:rFonts w:eastAsiaTheme="minorHAnsi"/>
          <w:lang w:val="en-US" w:eastAsia="en-US"/>
        </w:rPr>
        <w:t xml:space="preserve">Half of the </w:t>
      </w:r>
      <w:r>
        <w:rPr>
          <w:rFonts w:eastAsiaTheme="minorHAnsi"/>
          <w:lang w:val="en-US" w:eastAsia="en-US"/>
        </w:rPr>
        <w:t>surveyed CCPs</w:t>
      </w:r>
      <w:r w:rsidRPr="006B72B0">
        <w:rPr>
          <w:rFonts w:eastAsiaTheme="minorHAnsi"/>
          <w:lang w:val="en-US" w:eastAsia="en-US"/>
        </w:rPr>
        <w:t xml:space="preserve"> believe</w:t>
      </w:r>
      <w:r>
        <w:rPr>
          <w:rFonts w:eastAsiaTheme="minorHAnsi"/>
          <w:lang w:val="en-US" w:eastAsia="en-US"/>
        </w:rPr>
        <w:t xml:space="preserve"> that</w:t>
      </w:r>
      <w:r w:rsidRPr="006B72B0">
        <w:rPr>
          <w:rFonts w:eastAsiaTheme="minorHAnsi"/>
          <w:lang w:val="en-US" w:eastAsia="en-US"/>
        </w:rPr>
        <w:t xml:space="preserve"> the Codex Trust Fund rules on country groupings, selection criteria, matched funding arrangements and country graduation </w:t>
      </w:r>
      <w:r>
        <w:rPr>
          <w:rFonts w:eastAsiaTheme="minorHAnsi"/>
          <w:lang w:val="en-US" w:eastAsia="en-US"/>
        </w:rPr>
        <w:t xml:space="preserve">are </w:t>
      </w:r>
      <w:r w:rsidRPr="006B72B0">
        <w:rPr>
          <w:rFonts w:eastAsiaTheme="minorHAnsi"/>
          <w:lang w:val="en-US" w:eastAsia="en-US"/>
        </w:rPr>
        <w:t>transparent and fair, while a quarter believe they are very fair</w:t>
      </w:r>
      <w:r w:rsidR="00B43267">
        <w:rPr>
          <w:rFonts w:eastAsiaTheme="minorHAnsi"/>
          <w:lang w:val="en-US" w:eastAsia="en-US"/>
        </w:rPr>
        <w:t xml:space="preserve"> (</w:t>
      </w:r>
      <w:r w:rsidR="00AE227F">
        <w:rPr>
          <w:rFonts w:eastAsiaTheme="minorHAnsi"/>
          <w:lang w:val="en-US" w:eastAsia="en-US"/>
        </w:rPr>
        <w:fldChar w:fldCharType="begin"/>
      </w:r>
      <w:r w:rsidR="00B43267">
        <w:rPr>
          <w:rFonts w:eastAsiaTheme="minorHAnsi"/>
          <w:lang w:val="en-US" w:eastAsia="en-US"/>
        </w:rPr>
        <w:instrText xml:space="preserve"> REF _Ref256614042 \h </w:instrText>
      </w:r>
      <w:r w:rsidR="00AE227F">
        <w:rPr>
          <w:rFonts w:eastAsiaTheme="minorHAnsi"/>
          <w:lang w:val="en-US" w:eastAsia="en-US"/>
        </w:rPr>
      </w:r>
      <w:r w:rsidR="00AE227F">
        <w:rPr>
          <w:rFonts w:eastAsiaTheme="minorHAnsi"/>
          <w:lang w:val="en-US" w:eastAsia="en-US"/>
        </w:rPr>
        <w:fldChar w:fldCharType="separate"/>
      </w:r>
      <w:r w:rsidR="004F08A8" w:rsidRPr="00332D84">
        <w:rPr>
          <w:lang w:val="en-US"/>
        </w:rPr>
        <w:t xml:space="preserve">Table </w:t>
      </w:r>
      <w:r w:rsidR="004F08A8">
        <w:rPr>
          <w:noProof/>
          <w:lang w:val="en-US"/>
        </w:rPr>
        <w:t>10</w:t>
      </w:r>
      <w:r w:rsidR="00AE227F">
        <w:rPr>
          <w:rFonts w:eastAsiaTheme="minorHAnsi"/>
          <w:lang w:val="en-US" w:eastAsia="en-US"/>
        </w:rPr>
        <w:fldChar w:fldCharType="end"/>
      </w:r>
      <w:r w:rsidR="00B43267">
        <w:rPr>
          <w:rFonts w:eastAsiaTheme="minorHAnsi"/>
          <w:lang w:val="en-US" w:eastAsia="en-US"/>
        </w:rPr>
        <w:t>)</w:t>
      </w:r>
      <w:r w:rsidRPr="006B72B0">
        <w:rPr>
          <w:rFonts w:eastAsiaTheme="minorHAnsi"/>
          <w:lang w:val="en-US" w:eastAsia="en-US"/>
        </w:rPr>
        <w:t xml:space="preserve">. </w:t>
      </w:r>
      <w:r>
        <w:rPr>
          <w:rFonts w:eastAsiaTheme="minorHAnsi"/>
          <w:lang w:val="en-US" w:eastAsia="en-US"/>
        </w:rPr>
        <w:t>The CCPs that do not believe that the criteria are fair are in majority from Latin American non-LDC countries. Among the non-LDCs outside LAC, only two CCPs out of 23 (9%) believe the criteria are not so fair. In their written comments, countries highlight their various needs</w:t>
      </w:r>
      <w:r w:rsidR="00B43267">
        <w:rPr>
          <w:rFonts w:eastAsiaTheme="minorHAnsi"/>
          <w:lang w:val="en-US" w:eastAsia="en-US"/>
        </w:rPr>
        <w:t>:</w:t>
      </w:r>
      <w:r>
        <w:rPr>
          <w:rFonts w:eastAsiaTheme="minorHAnsi"/>
          <w:lang w:val="en-US" w:eastAsia="en-US"/>
        </w:rPr>
        <w:t xml:space="preserve"> LDCs </w:t>
      </w:r>
      <w:r w:rsidR="0001533C">
        <w:rPr>
          <w:rFonts w:eastAsiaTheme="minorHAnsi"/>
          <w:lang w:val="en-US" w:eastAsia="en-US"/>
        </w:rPr>
        <w:t xml:space="preserve">(group 1A) </w:t>
      </w:r>
      <w:r>
        <w:rPr>
          <w:rFonts w:eastAsiaTheme="minorHAnsi"/>
          <w:lang w:val="en-US" w:eastAsia="en-US"/>
        </w:rPr>
        <w:t xml:space="preserve">argue that they are </w:t>
      </w:r>
      <w:r w:rsidR="00B43267">
        <w:rPr>
          <w:rFonts w:eastAsiaTheme="minorHAnsi"/>
          <w:lang w:val="en-US" w:eastAsia="en-US"/>
        </w:rPr>
        <w:t>disadvantaged;</w:t>
      </w:r>
      <w:r>
        <w:rPr>
          <w:rFonts w:eastAsiaTheme="minorHAnsi"/>
          <w:lang w:val="en-US" w:eastAsia="en-US"/>
        </w:rPr>
        <w:t xml:space="preserve"> small-island states that they have special needs</w:t>
      </w:r>
      <w:r w:rsidR="00B43267">
        <w:rPr>
          <w:rFonts w:eastAsiaTheme="minorHAnsi"/>
          <w:lang w:val="en-US" w:eastAsia="en-US"/>
        </w:rPr>
        <w:t>;</w:t>
      </w:r>
      <w:r>
        <w:rPr>
          <w:rFonts w:eastAsiaTheme="minorHAnsi"/>
          <w:lang w:val="en-US" w:eastAsia="en-US"/>
        </w:rPr>
        <w:t xml:space="preserve"> and non-LDCs that they also are developing countries</w:t>
      </w:r>
      <w:r w:rsidR="00B43267">
        <w:rPr>
          <w:rFonts w:eastAsiaTheme="minorHAnsi"/>
          <w:lang w:val="en-US" w:eastAsia="en-US"/>
        </w:rPr>
        <w:t xml:space="preserve"> with limited financial resources</w:t>
      </w:r>
      <w:r>
        <w:rPr>
          <w:rFonts w:eastAsiaTheme="minorHAnsi"/>
          <w:lang w:val="en-US" w:eastAsia="en-US"/>
        </w:rPr>
        <w:t xml:space="preserve"> and that account should be taken of the capacity to participate effectively. The Latin American countries also argue that the criteria unfairly giv</w:t>
      </w:r>
      <w:r w:rsidR="0001533C">
        <w:rPr>
          <w:rFonts w:eastAsiaTheme="minorHAnsi"/>
          <w:lang w:val="en-US" w:eastAsia="en-US"/>
        </w:rPr>
        <w:t>e</w:t>
      </w:r>
      <w:r>
        <w:rPr>
          <w:rFonts w:eastAsiaTheme="minorHAnsi"/>
          <w:lang w:val="en-US" w:eastAsia="en-US"/>
        </w:rPr>
        <w:t xml:space="preserve"> advantage to other regions and </w:t>
      </w:r>
      <w:r w:rsidR="00B43267">
        <w:rPr>
          <w:rFonts w:eastAsiaTheme="minorHAnsi"/>
          <w:lang w:val="en-US" w:eastAsia="en-US"/>
        </w:rPr>
        <w:t xml:space="preserve">claim </w:t>
      </w:r>
      <w:r>
        <w:rPr>
          <w:rFonts w:eastAsiaTheme="minorHAnsi"/>
          <w:lang w:val="en-US" w:eastAsia="en-US"/>
        </w:rPr>
        <w:t xml:space="preserve">that donor countries may use the support of the CTF to pursue their own aims by seeking support from certain developing countries. </w:t>
      </w:r>
      <w:r w:rsidR="009C52D8">
        <w:rPr>
          <w:rFonts w:eastAsiaTheme="minorHAnsi"/>
          <w:lang w:val="en-US" w:eastAsia="en-US"/>
        </w:rPr>
        <w:t>An interviewee from</w:t>
      </w:r>
      <w:r>
        <w:rPr>
          <w:rFonts w:eastAsiaTheme="minorHAnsi"/>
          <w:lang w:val="en-US" w:eastAsia="en-US"/>
        </w:rPr>
        <w:t xml:space="preserve"> Latin America suggests:</w:t>
      </w:r>
    </w:p>
    <w:p w:rsidR="00D85203" w:rsidRDefault="00493A69">
      <w:pPr>
        <w:rPr>
          <w:rFonts w:eastAsiaTheme="minorHAnsi"/>
          <w:lang w:val="en-US" w:eastAsia="en-US"/>
        </w:rPr>
      </w:pPr>
      <w:r>
        <w:rPr>
          <w:rFonts w:eastAsiaTheme="minorHAnsi"/>
          <w:lang w:val="en-US" w:eastAsia="en-US"/>
        </w:rPr>
        <w:t>“</w:t>
      </w:r>
      <w:r w:rsidRPr="00D54439">
        <w:rPr>
          <w:rFonts w:eastAsiaTheme="minorHAnsi"/>
          <w:i/>
          <w:lang w:val="en-US" w:eastAsia="en-US"/>
        </w:rPr>
        <w:t>The funding should be focused on those countries with economic disadvantage, but that have already proven to have their institutions in place. The aid for the most needed countries should be based on capacity building first, in order to get them to a level of understanding</w:t>
      </w:r>
      <w:r>
        <w:rPr>
          <w:rFonts w:eastAsiaTheme="minorHAnsi"/>
          <w:i/>
          <w:lang w:val="en-US" w:eastAsia="en-US"/>
        </w:rPr>
        <w:t xml:space="preserve"> of the international debates. The CTF</w:t>
      </w:r>
      <w:r w:rsidRPr="00D54439">
        <w:rPr>
          <w:rFonts w:eastAsiaTheme="minorHAnsi"/>
          <w:i/>
          <w:lang w:val="en-US" w:eastAsia="en-US"/>
        </w:rPr>
        <w:t xml:space="preserve"> should find ways to assure that the participation in the meetings is effective (take into account the national committees, the preparation of the national positions, the status of the institutions that deal with food safety and food trade issues, etc.), otherwise the money is not well spent</w:t>
      </w:r>
      <w:r w:rsidRPr="00D54439">
        <w:rPr>
          <w:rFonts w:eastAsiaTheme="minorHAnsi"/>
          <w:lang w:val="en-US" w:eastAsia="en-US"/>
        </w:rPr>
        <w:t>.</w:t>
      </w:r>
      <w:r>
        <w:rPr>
          <w:rFonts w:eastAsiaTheme="minorHAnsi"/>
          <w:lang w:val="en-US" w:eastAsia="en-US"/>
        </w:rPr>
        <w:t xml:space="preserve">” </w:t>
      </w:r>
    </w:p>
    <w:p w:rsidR="00D85203" w:rsidRDefault="00493A69">
      <w:pPr>
        <w:rPr>
          <w:rFonts w:eastAsiaTheme="minorHAnsi"/>
          <w:lang w:val="en-US" w:eastAsia="en-US"/>
        </w:rPr>
      </w:pPr>
      <w:r>
        <w:rPr>
          <w:rFonts w:eastAsiaTheme="minorHAnsi"/>
          <w:lang w:val="en-US" w:eastAsia="en-US"/>
        </w:rPr>
        <w:t xml:space="preserve">Ideally, as a Caribbean </w:t>
      </w:r>
      <w:r w:rsidR="00B43267">
        <w:rPr>
          <w:rFonts w:eastAsiaTheme="minorHAnsi"/>
          <w:lang w:val="en-US" w:eastAsia="en-US"/>
        </w:rPr>
        <w:t xml:space="preserve">CCP </w:t>
      </w:r>
      <w:r>
        <w:rPr>
          <w:rFonts w:eastAsiaTheme="minorHAnsi"/>
          <w:lang w:val="en-US" w:eastAsia="en-US"/>
        </w:rPr>
        <w:t>suggests, when “…</w:t>
      </w:r>
      <w:r w:rsidRPr="00144D24">
        <w:rPr>
          <w:rFonts w:eastAsiaTheme="minorHAnsi"/>
          <w:i/>
          <w:lang w:val="en-US" w:eastAsia="en-US"/>
        </w:rPr>
        <w:t>recipient countries become Graduates from the Trust Fund, a final assessment of the country’s financial capability to attend Codex meetings should be conducted to determine the extent to which it will be possible for that country to finance future participation in Codex meetings.</w:t>
      </w:r>
      <w:r>
        <w:rPr>
          <w:rFonts w:eastAsiaTheme="minorHAnsi"/>
          <w:lang w:val="en-US" w:eastAsia="en-US"/>
        </w:rPr>
        <w:t>”</w:t>
      </w:r>
    </w:p>
    <w:p w:rsidR="00D85203" w:rsidRDefault="00332D84">
      <w:pPr>
        <w:pStyle w:val="Caption"/>
        <w:keepNext/>
        <w:rPr>
          <w:lang w:val="en-US"/>
        </w:rPr>
      </w:pPr>
      <w:bookmarkStart w:id="88" w:name="_Ref256614042"/>
      <w:bookmarkStart w:id="89" w:name="_Toc260036745"/>
      <w:r w:rsidRPr="00332D84">
        <w:rPr>
          <w:lang w:val="en-US"/>
        </w:rPr>
        <w:lastRenderedPageBreak/>
        <w:t xml:space="preserve">Table </w:t>
      </w:r>
      <w:r w:rsidR="00AE227F">
        <w:fldChar w:fldCharType="begin"/>
      </w:r>
      <w:r w:rsidRPr="00332D84">
        <w:rPr>
          <w:lang w:val="en-US"/>
        </w:rPr>
        <w:instrText xml:space="preserve"> SEQ Table \* ARABIC </w:instrText>
      </w:r>
      <w:r w:rsidR="00AE227F">
        <w:fldChar w:fldCharType="separate"/>
      </w:r>
      <w:r w:rsidR="004F08A8">
        <w:rPr>
          <w:noProof/>
          <w:lang w:val="en-US"/>
        </w:rPr>
        <w:t>10</w:t>
      </w:r>
      <w:r w:rsidR="00AE227F">
        <w:fldChar w:fldCharType="end"/>
      </w:r>
      <w:bookmarkEnd w:id="88"/>
      <w:r w:rsidRPr="00332D84">
        <w:rPr>
          <w:lang w:val="en-US"/>
        </w:rPr>
        <w:t xml:space="preserve"> Do CCPs believe CTF’s rules on country groupings, selection criteria, matching funding arrangements and country graduation are transparent and fair?</w:t>
      </w:r>
      <w:bookmarkEnd w:id="89"/>
    </w:p>
    <w:tbl>
      <w:tblPr>
        <w:tblStyle w:val="MediumGrid3-Accent1"/>
        <w:tblW w:w="9180" w:type="dxa"/>
        <w:tblLayout w:type="fixed"/>
        <w:tblLook w:val="04A0" w:firstRow="1" w:lastRow="0" w:firstColumn="1" w:lastColumn="0" w:noHBand="0" w:noVBand="1"/>
      </w:tblPr>
      <w:tblGrid>
        <w:gridCol w:w="1668"/>
        <w:gridCol w:w="1878"/>
        <w:gridCol w:w="1878"/>
        <w:gridCol w:w="1878"/>
        <w:gridCol w:w="1878"/>
      </w:tblGrid>
      <w:tr w:rsidR="00493A69" w:rsidRPr="001178F3">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668" w:type="dxa"/>
            <w:noWrap/>
          </w:tcPr>
          <w:p w:rsidR="00493A69" w:rsidRPr="001178F3" w:rsidRDefault="00493A69" w:rsidP="00493A69">
            <w:pPr>
              <w:spacing w:after="0"/>
              <w:rPr>
                <w:rFonts w:asciiTheme="minorHAnsi" w:hAnsiTheme="minorHAnsi" w:cs="Tahoma"/>
                <w:szCs w:val="20"/>
                <w:lang w:val="en-US"/>
              </w:rPr>
            </w:pPr>
          </w:p>
        </w:tc>
        <w:tc>
          <w:tcPr>
            <w:tcW w:w="1878" w:type="dxa"/>
            <w:noWrap/>
          </w:tcPr>
          <w:p w:rsidR="00493A69" w:rsidRPr="001178F3" w:rsidRDefault="00493A69" w:rsidP="001178F3">
            <w:pPr>
              <w:spacing w:after="0"/>
              <w:jc w:val="right"/>
              <w:cnfStyle w:val="100000000000" w:firstRow="1" w:lastRow="0" w:firstColumn="0" w:lastColumn="0" w:oddVBand="0" w:evenVBand="0" w:oddHBand="0" w:evenHBand="0" w:firstRowFirstColumn="0" w:firstRowLastColumn="0" w:lastRowFirstColumn="0" w:lastRowLastColumn="0"/>
              <w:rPr>
                <w:rFonts w:asciiTheme="minorHAnsi" w:hAnsiTheme="minorHAnsi" w:cs="Tahoma"/>
                <w:szCs w:val="20"/>
              </w:rPr>
            </w:pPr>
            <w:r w:rsidRPr="001178F3">
              <w:rPr>
                <w:rFonts w:asciiTheme="minorHAnsi" w:hAnsiTheme="minorHAnsi" w:cs="Tahoma"/>
                <w:szCs w:val="20"/>
              </w:rPr>
              <w:t>Not so fair</w:t>
            </w:r>
          </w:p>
        </w:tc>
        <w:tc>
          <w:tcPr>
            <w:tcW w:w="1878" w:type="dxa"/>
            <w:noWrap/>
          </w:tcPr>
          <w:p w:rsidR="00493A69" w:rsidRPr="001178F3" w:rsidRDefault="00493A69" w:rsidP="001178F3">
            <w:pPr>
              <w:spacing w:after="0"/>
              <w:jc w:val="right"/>
              <w:cnfStyle w:val="100000000000" w:firstRow="1" w:lastRow="0" w:firstColumn="0" w:lastColumn="0" w:oddVBand="0" w:evenVBand="0" w:oddHBand="0" w:evenHBand="0" w:firstRowFirstColumn="0" w:firstRowLastColumn="0" w:lastRowFirstColumn="0" w:lastRowLastColumn="0"/>
              <w:rPr>
                <w:rFonts w:asciiTheme="minorHAnsi" w:hAnsiTheme="minorHAnsi" w:cs="Tahoma"/>
                <w:szCs w:val="20"/>
              </w:rPr>
            </w:pPr>
            <w:r w:rsidRPr="001178F3">
              <w:rPr>
                <w:rFonts w:asciiTheme="minorHAnsi" w:hAnsiTheme="minorHAnsi" w:cs="Tahoma"/>
                <w:szCs w:val="20"/>
              </w:rPr>
              <w:t>Yes</w:t>
            </w:r>
          </w:p>
        </w:tc>
        <w:tc>
          <w:tcPr>
            <w:tcW w:w="1878" w:type="dxa"/>
            <w:noWrap/>
          </w:tcPr>
          <w:p w:rsidR="00493A69" w:rsidRPr="001178F3" w:rsidRDefault="00493A69" w:rsidP="001178F3">
            <w:pPr>
              <w:spacing w:after="0"/>
              <w:jc w:val="right"/>
              <w:cnfStyle w:val="100000000000" w:firstRow="1" w:lastRow="0" w:firstColumn="0" w:lastColumn="0" w:oddVBand="0" w:evenVBand="0" w:oddHBand="0" w:evenHBand="0" w:firstRowFirstColumn="0" w:firstRowLastColumn="0" w:lastRowFirstColumn="0" w:lastRowLastColumn="0"/>
              <w:rPr>
                <w:rFonts w:asciiTheme="minorHAnsi" w:hAnsiTheme="minorHAnsi" w:cs="Tahoma"/>
                <w:szCs w:val="20"/>
              </w:rPr>
            </w:pPr>
            <w:r w:rsidRPr="001178F3">
              <w:rPr>
                <w:rFonts w:asciiTheme="minorHAnsi" w:hAnsiTheme="minorHAnsi" w:cs="Tahoma"/>
                <w:szCs w:val="20"/>
              </w:rPr>
              <w:t>Yes, very fair</w:t>
            </w:r>
          </w:p>
        </w:tc>
        <w:tc>
          <w:tcPr>
            <w:tcW w:w="1878" w:type="dxa"/>
            <w:noWrap/>
          </w:tcPr>
          <w:p w:rsidR="00493A69" w:rsidRPr="001178F3" w:rsidRDefault="00493A69" w:rsidP="001178F3">
            <w:pPr>
              <w:spacing w:after="0"/>
              <w:jc w:val="right"/>
              <w:cnfStyle w:val="100000000000" w:firstRow="1" w:lastRow="0" w:firstColumn="0" w:lastColumn="0" w:oddVBand="0" w:evenVBand="0" w:oddHBand="0" w:evenHBand="0" w:firstRowFirstColumn="0" w:firstRowLastColumn="0" w:lastRowFirstColumn="0" w:lastRowLastColumn="0"/>
              <w:rPr>
                <w:rFonts w:asciiTheme="minorHAnsi" w:hAnsiTheme="minorHAnsi" w:cs="Tahoma"/>
                <w:szCs w:val="20"/>
              </w:rPr>
            </w:pPr>
            <w:r w:rsidRPr="001178F3">
              <w:rPr>
                <w:rFonts w:asciiTheme="minorHAnsi" w:hAnsiTheme="minorHAnsi" w:cs="Tahoma"/>
                <w:szCs w:val="20"/>
              </w:rPr>
              <w:t>Total</w:t>
            </w:r>
          </w:p>
        </w:tc>
      </w:tr>
      <w:tr w:rsidR="00493A69" w:rsidRPr="001178F3">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668" w:type="dxa"/>
            <w:noWrap/>
          </w:tcPr>
          <w:p w:rsidR="00493A69" w:rsidRPr="001178F3" w:rsidRDefault="00493A69" w:rsidP="00493A69">
            <w:pPr>
              <w:spacing w:after="0"/>
              <w:rPr>
                <w:rFonts w:asciiTheme="minorHAnsi" w:hAnsiTheme="minorHAnsi" w:cs="Tahoma"/>
                <w:szCs w:val="20"/>
              </w:rPr>
            </w:pPr>
            <w:r w:rsidRPr="001178F3">
              <w:rPr>
                <w:rFonts w:asciiTheme="minorHAnsi" w:hAnsiTheme="minorHAnsi" w:cs="Tahoma"/>
                <w:szCs w:val="20"/>
              </w:rPr>
              <w:t>Africa</w:t>
            </w:r>
          </w:p>
        </w:tc>
        <w:tc>
          <w:tcPr>
            <w:tcW w:w="1878" w:type="dxa"/>
            <w:noWrap/>
          </w:tcPr>
          <w:p w:rsidR="00493A69" w:rsidRPr="001178F3" w:rsidRDefault="00493A69" w:rsidP="001178F3">
            <w:pPr>
              <w:spacing w:after="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ahoma"/>
                <w:szCs w:val="20"/>
              </w:rPr>
            </w:pPr>
            <w:r w:rsidRPr="001178F3">
              <w:rPr>
                <w:rFonts w:asciiTheme="minorHAnsi" w:hAnsiTheme="minorHAnsi" w:cs="Tahoma"/>
                <w:szCs w:val="20"/>
              </w:rPr>
              <w:t>3</w:t>
            </w:r>
          </w:p>
        </w:tc>
        <w:tc>
          <w:tcPr>
            <w:tcW w:w="1878" w:type="dxa"/>
            <w:noWrap/>
          </w:tcPr>
          <w:p w:rsidR="00493A69" w:rsidRPr="001178F3" w:rsidRDefault="00493A69" w:rsidP="001178F3">
            <w:pPr>
              <w:spacing w:after="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ahoma"/>
                <w:szCs w:val="20"/>
              </w:rPr>
            </w:pPr>
            <w:r w:rsidRPr="001178F3">
              <w:rPr>
                <w:rFonts w:asciiTheme="minorHAnsi" w:hAnsiTheme="minorHAnsi" w:cs="Tahoma"/>
                <w:szCs w:val="20"/>
              </w:rPr>
              <w:t>11</w:t>
            </w:r>
          </w:p>
        </w:tc>
        <w:tc>
          <w:tcPr>
            <w:tcW w:w="1878" w:type="dxa"/>
            <w:noWrap/>
          </w:tcPr>
          <w:p w:rsidR="00493A69" w:rsidRPr="001178F3" w:rsidRDefault="00493A69" w:rsidP="001178F3">
            <w:pPr>
              <w:spacing w:after="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ahoma"/>
                <w:szCs w:val="20"/>
              </w:rPr>
            </w:pPr>
            <w:r w:rsidRPr="001178F3">
              <w:rPr>
                <w:rFonts w:asciiTheme="minorHAnsi" w:hAnsiTheme="minorHAnsi" w:cs="Tahoma"/>
                <w:szCs w:val="20"/>
              </w:rPr>
              <w:t>6</w:t>
            </w:r>
          </w:p>
        </w:tc>
        <w:tc>
          <w:tcPr>
            <w:tcW w:w="1878" w:type="dxa"/>
            <w:noWrap/>
          </w:tcPr>
          <w:p w:rsidR="00493A69" w:rsidRPr="001178F3" w:rsidRDefault="00493A69" w:rsidP="001178F3">
            <w:pPr>
              <w:spacing w:after="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ahoma"/>
                <w:szCs w:val="20"/>
              </w:rPr>
            </w:pPr>
            <w:r w:rsidRPr="001178F3">
              <w:rPr>
                <w:rFonts w:asciiTheme="minorHAnsi" w:hAnsiTheme="minorHAnsi" w:cs="Tahoma"/>
                <w:szCs w:val="20"/>
              </w:rPr>
              <w:t>20</w:t>
            </w:r>
          </w:p>
        </w:tc>
      </w:tr>
      <w:tr w:rsidR="00493A69" w:rsidRPr="001178F3">
        <w:trPr>
          <w:cnfStyle w:val="000000010000" w:firstRow="0" w:lastRow="0" w:firstColumn="0" w:lastColumn="0" w:oddVBand="0" w:evenVBand="0" w:oddHBand="0" w:evenHBand="1"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668" w:type="dxa"/>
            <w:noWrap/>
          </w:tcPr>
          <w:p w:rsidR="00493A69" w:rsidRPr="001178F3" w:rsidRDefault="00493A69" w:rsidP="00493A69">
            <w:pPr>
              <w:spacing w:after="0"/>
              <w:rPr>
                <w:rFonts w:asciiTheme="minorHAnsi" w:hAnsiTheme="minorHAnsi" w:cs="Tahoma"/>
                <w:szCs w:val="20"/>
              </w:rPr>
            </w:pPr>
            <w:r w:rsidRPr="001178F3">
              <w:rPr>
                <w:rFonts w:asciiTheme="minorHAnsi" w:hAnsiTheme="minorHAnsi" w:cs="Tahoma"/>
                <w:szCs w:val="20"/>
              </w:rPr>
              <w:t>LAC</w:t>
            </w:r>
          </w:p>
        </w:tc>
        <w:tc>
          <w:tcPr>
            <w:tcW w:w="1878" w:type="dxa"/>
            <w:noWrap/>
          </w:tcPr>
          <w:p w:rsidR="00493A69" w:rsidRPr="001178F3" w:rsidRDefault="00493A69" w:rsidP="001178F3">
            <w:pPr>
              <w:spacing w:after="0"/>
              <w:jc w:val="right"/>
              <w:cnfStyle w:val="000000010000" w:firstRow="0" w:lastRow="0" w:firstColumn="0" w:lastColumn="0" w:oddVBand="0" w:evenVBand="0" w:oddHBand="0" w:evenHBand="1" w:firstRowFirstColumn="0" w:firstRowLastColumn="0" w:lastRowFirstColumn="0" w:lastRowLastColumn="0"/>
              <w:rPr>
                <w:rFonts w:asciiTheme="minorHAnsi" w:hAnsiTheme="minorHAnsi" w:cs="Tahoma"/>
                <w:szCs w:val="20"/>
              </w:rPr>
            </w:pPr>
            <w:r w:rsidRPr="001178F3">
              <w:rPr>
                <w:rFonts w:asciiTheme="minorHAnsi" w:hAnsiTheme="minorHAnsi" w:cs="Tahoma"/>
                <w:szCs w:val="20"/>
              </w:rPr>
              <w:t>8</w:t>
            </w:r>
          </w:p>
        </w:tc>
        <w:tc>
          <w:tcPr>
            <w:tcW w:w="1878" w:type="dxa"/>
            <w:noWrap/>
          </w:tcPr>
          <w:p w:rsidR="00493A69" w:rsidRPr="001178F3" w:rsidRDefault="00493A69" w:rsidP="001178F3">
            <w:pPr>
              <w:spacing w:after="0"/>
              <w:jc w:val="right"/>
              <w:cnfStyle w:val="000000010000" w:firstRow="0" w:lastRow="0" w:firstColumn="0" w:lastColumn="0" w:oddVBand="0" w:evenVBand="0" w:oddHBand="0" w:evenHBand="1" w:firstRowFirstColumn="0" w:firstRowLastColumn="0" w:lastRowFirstColumn="0" w:lastRowLastColumn="0"/>
              <w:rPr>
                <w:rFonts w:asciiTheme="minorHAnsi" w:hAnsiTheme="minorHAnsi" w:cs="Tahoma"/>
                <w:szCs w:val="20"/>
              </w:rPr>
            </w:pPr>
            <w:r w:rsidRPr="001178F3">
              <w:rPr>
                <w:rFonts w:asciiTheme="minorHAnsi" w:hAnsiTheme="minorHAnsi" w:cs="Tahoma"/>
                <w:szCs w:val="20"/>
              </w:rPr>
              <w:t>3</w:t>
            </w:r>
          </w:p>
        </w:tc>
        <w:tc>
          <w:tcPr>
            <w:tcW w:w="1878" w:type="dxa"/>
            <w:noWrap/>
          </w:tcPr>
          <w:p w:rsidR="00493A69" w:rsidRPr="001178F3" w:rsidRDefault="00493A69" w:rsidP="001178F3">
            <w:pPr>
              <w:spacing w:after="0"/>
              <w:jc w:val="right"/>
              <w:cnfStyle w:val="000000010000" w:firstRow="0" w:lastRow="0" w:firstColumn="0" w:lastColumn="0" w:oddVBand="0" w:evenVBand="0" w:oddHBand="0" w:evenHBand="1" w:firstRowFirstColumn="0" w:firstRowLastColumn="0" w:lastRowFirstColumn="0" w:lastRowLastColumn="0"/>
              <w:rPr>
                <w:rFonts w:asciiTheme="minorHAnsi" w:hAnsiTheme="minorHAnsi" w:cs="Tahoma"/>
                <w:szCs w:val="20"/>
              </w:rPr>
            </w:pPr>
            <w:r w:rsidRPr="001178F3">
              <w:rPr>
                <w:rFonts w:asciiTheme="minorHAnsi" w:hAnsiTheme="minorHAnsi" w:cs="Tahoma"/>
                <w:szCs w:val="20"/>
              </w:rPr>
              <w:t>0</w:t>
            </w:r>
          </w:p>
        </w:tc>
        <w:tc>
          <w:tcPr>
            <w:tcW w:w="1878" w:type="dxa"/>
            <w:noWrap/>
          </w:tcPr>
          <w:p w:rsidR="00493A69" w:rsidRPr="001178F3" w:rsidRDefault="00493A69" w:rsidP="001178F3">
            <w:pPr>
              <w:spacing w:after="0"/>
              <w:jc w:val="right"/>
              <w:cnfStyle w:val="000000010000" w:firstRow="0" w:lastRow="0" w:firstColumn="0" w:lastColumn="0" w:oddVBand="0" w:evenVBand="0" w:oddHBand="0" w:evenHBand="1" w:firstRowFirstColumn="0" w:firstRowLastColumn="0" w:lastRowFirstColumn="0" w:lastRowLastColumn="0"/>
              <w:rPr>
                <w:rFonts w:asciiTheme="minorHAnsi" w:hAnsiTheme="minorHAnsi" w:cs="Tahoma"/>
                <w:szCs w:val="20"/>
              </w:rPr>
            </w:pPr>
            <w:r w:rsidRPr="001178F3">
              <w:rPr>
                <w:rFonts w:asciiTheme="minorHAnsi" w:hAnsiTheme="minorHAnsi" w:cs="Tahoma"/>
                <w:szCs w:val="20"/>
              </w:rPr>
              <w:t>21</w:t>
            </w:r>
          </w:p>
        </w:tc>
      </w:tr>
      <w:tr w:rsidR="00493A69" w:rsidRPr="001178F3">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668" w:type="dxa"/>
            <w:noWrap/>
          </w:tcPr>
          <w:p w:rsidR="00493A69" w:rsidRPr="001178F3" w:rsidRDefault="00493A69" w:rsidP="00493A69">
            <w:pPr>
              <w:spacing w:after="0"/>
              <w:rPr>
                <w:rFonts w:asciiTheme="minorHAnsi" w:hAnsiTheme="minorHAnsi" w:cs="Tahoma"/>
                <w:szCs w:val="20"/>
              </w:rPr>
            </w:pPr>
            <w:r w:rsidRPr="001178F3">
              <w:rPr>
                <w:rFonts w:asciiTheme="minorHAnsi" w:hAnsiTheme="minorHAnsi" w:cs="Tahoma"/>
                <w:szCs w:val="20"/>
              </w:rPr>
              <w:t>Other regions</w:t>
            </w:r>
          </w:p>
        </w:tc>
        <w:tc>
          <w:tcPr>
            <w:tcW w:w="1878" w:type="dxa"/>
            <w:noWrap/>
          </w:tcPr>
          <w:p w:rsidR="00493A69" w:rsidRPr="001178F3" w:rsidRDefault="00493A69" w:rsidP="001178F3">
            <w:pPr>
              <w:spacing w:after="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ahoma"/>
                <w:szCs w:val="20"/>
              </w:rPr>
            </w:pPr>
            <w:r w:rsidRPr="001178F3">
              <w:rPr>
                <w:rFonts w:asciiTheme="minorHAnsi" w:hAnsiTheme="minorHAnsi" w:cs="Tahoma"/>
                <w:szCs w:val="20"/>
              </w:rPr>
              <w:t>2</w:t>
            </w:r>
          </w:p>
        </w:tc>
        <w:tc>
          <w:tcPr>
            <w:tcW w:w="1878" w:type="dxa"/>
            <w:noWrap/>
          </w:tcPr>
          <w:p w:rsidR="00493A69" w:rsidRPr="001178F3" w:rsidRDefault="00493A69" w:rsidP="001178F3">
            <w:pPr>
              <w:spacing w:after="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ahoma"/>
                <w:szCs w:val="20"/>
              </w:rPr>
            </w:pPr>
            <w:r w:rsidRPr="001178F3">
              <w:rPr>
                <w:rFonts w:asciiTheme="minorHAnsi" w:hAnsiTheme="minorHAnsi" w:cs="Tahoma"/>
                <w:szCs w:val="20"/>
              </w:rPr>
              <w:t>12</w:t>
            </w:r>
          </w:p>
        </w:tc>
        <w:tc>
          <w:tcPr>
            <w:tcW w:w="1878" w:type="dxa"/>
            <w:noWrap/>
          </w:tcPr>
          <w:p w:rsidR="00493A69" w:rsidRPr="001178F3" w:rsidRDefault="00493A69" w:rsidP="001178F3">
            <w:pPr>
              <w:spacing w:after="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ahoma"/>
                <w:szCs w:val="20"/>
              </w:rPr>
            </w:pPr>
            <w:r w:rsidRPr="001178F3">
              <w:rPr>
                <w:rFonts w:asciiTheme="minorHAnsi" w:hAnsiTheme="minorHAnsi" w:cs="Tahoma"/>
                <w:szCs w:val="20"/>
              </w:rPr>
              <w:t>7</w:t>
            </w:r>
          </w:p>
        </w:tc>
        <w:tc>
          <w:tcPr>
            <w:tcW w:w="1878" w:type="dxa"/>
            <w:noWrap/>
          </w:tcPr>
          <w:p w:rsidR="00493A69" w:rsidRPr="001178F3" w:rsidRDefault="00493A69" w:rsidP="001178F3">
            <w:pPr>
              <w:spacing w:after="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ahoma"/>
                <w:szCs w:val="20"/>
              </w:rPr>
            </w:pPr>
            <w:r w:rsidRPr="001178F3">
              <w:rPr>
                <w:rFonts w:asciiTheme="minorHAnsi" w:hAnsiTheme="minorHAnsi" w:cs="Tahoma"/>
                <w:szCs w:val="20"/>
              </w:rPr>
              <w:t>11</w:t>
            </w:r>
          </w:p>
        </w:tc>
      </w:tr>
      <w:tr w:rsidR="00493A69" w:rsidRPr="001178F3">
        <w:trPr>
          <w:cnfStyle w:val="000000010000" w:firstRow="0" w:lastRow="0" w:firstColumn="0" w:lastColumn="0" w:oddVBand="0" w:evenVBand="0" w:oddHBand="0" w:evenHBand="1"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668" w:type="dxa"/>
            <w:noWrap/>
          </w:tcPr>
          <w:p w:rsidR="00493A69" w:rsidRPr="001178F3" w:rsidRDefault="00493A69" w:rsidP="00493A69">
            <w:pPr>
              <w:spacing w:after="0"/>
              <w:rPr>
                <w:rFonts w:asciiTheme="minorHAnsi" w:hAnsiTheme="minorHAnsi" w:cs="Tahoma"/>
                <w:szCs w:val="20"/>
              </w:rPr>
            </w:pPr>
            <w:r w:rsidRPr="001178F3">
              <w:rPr>
                <w:rFonts w:asciiTheme="minorHAnsi" w:hAnsiTheme="minorHAnsi" w:cs="Tahoma"/>
                <w:szCs w:val="20"/>
              </w:rPr>
              <w:t>Total</w:t>
            </w:r>
          </w:p>
        </w:tc>
        <w:tc>
          <w:tcPr>
            <w:tcW w:w="1878" w:type="dxa"/>
            <w:noWrap/>
          </w:tcPr>
          <w:p w:rsidR="00493A69" w:rsidRPr="001178F3" w:rsidRDefault="00493A69" w:rsidP="001178F3">
            <w:pPr>
              <w:spacing w:after="0"/>
              <w:jc w:val="right"/>
              <w:cnfStyle w:val="000000010000" w:firstRow="0" w:lastRow="0" w:firstColumn="0" w:lastColumn="0" w:oddVBand="0" w:evenVBand="0" w:oddHBand="0" w:evenHBand="1" w:firstRowFirstColumn="0" w:firstRowLastColumn="0" w:lastRowFirstColumn="0" w:lastRowLastColumn="0"/>
              <w:rPr>
                <w:rFonts w:asciiTheme="minorHAnsi" w:hAnsiTheme="minorHAnsi" w:cs="Tahoma"/>
                <w:szCs w:val="20"/>
              </w:rPr>
            </w:pPr>
            <w:r w:rsidRPr="001178F3">
              <w:rPr>
                <w:rFonts w:asciiTheme="minorHAnsi" w:hAnsiTheme="minorHAnsi" w:cs="Tahoma"/>
                <w:szCs w:val="20"/>
              </w:rPr>
              <w:t>13</w:t>
            </w:r>
          </w:p>
        </w:tc>
        <w:tc>
          <w:tcPr>
            <w:tcW w:w="1878" w:type="dxa"/>
            <w:noWrap/>
          </w:tcPr>
          <w:p w:rsidR="00493A69" w:rsidRPr="001178F3" w:rsidRDefault="00493A69" w:rsidP="001178F3">
            <w:pPr>
              <w:spacing w:after="0"/>
              <w:jc w:val="right"/>
              <w:cnfStyle w:val="000000010000" w:firstRow="0" w:lastRow="0" w:firstColumn="0" w:lastColumn="0" w:oddVBand="0" w:evenVBand="0" w:oddHBand="0" w:evenHBand="1" w:firstRowFirstColumn="0" w:firstRowLastColumn="0" w:lastRowFirstColumn="0" w:lastRowLastColumn="0"/>
              <w:rPr>
                <w:rFonts w:asciiTheme="minorHAnsi" w:hAnsiTheme="minorHAnsi" w:cs="Tahoma"/>
                <w:szCs w:val="20"/>
              </w:rPr>
            </w:pPr>
            <w:r w:rsidRPr="001178F3">
              <w:rPr>
                <w:rFonts w:asciiTheme="minorHAnsi" w:hAnsiTheme="minorHAnsi" w:cs="Tahoma"/>
                <w:szCs w:val="20"/>
              </w:rPr>
              <w:t>26</w:t>
            </w:r>
          </w:p>
        </w:tc>
        <w:tc>
          <w:tcPr>
            <w:tcW w:w="1878" w:type="dxa"/>
            <w:noWrap/>
          </w:tcPr>
          <w:p w:rsidR="00493A69" w:rsidRPr="001178F3" w:rsidRDefault="00493A69" w:rsidP="001178F3">
            <w:pPr>
              <w:spacing w:after="0"/>
              <w:jc w:val="right"/>
              <w:cnfStyle w:val="000000010000" w:firstRow="0" w:lastRow="0" w:firstColumn="0" w:lastColumn="0" w:oddVBand="0" w:evenVBand="0" w:oddHBand="0" w:evenHBand="1" w:firstRowFirstColumn="0" w:firstRowLastColumn="0" w:lastRowFirstColumn="0" w:lastRowLastColumn="0"/>
              <w:rPr>
                <w:rFonts w:asciiTheme="minorHAnsi" w:hAnsiTheme="minorHAnsi" w:cs="Tahoma"/>
                <w:szCs w:val="20"/>
              </w:rPr>
            </w:pPr>
            <w:r w:rsidRPr="001178F3">
              <w:rPr>
                <w:rFonts w:asciiTheme="minorHAnsi" w:hAnsiTheme="minorHAnsi" w:cs="Tahoma"/>
                <w:szCs w:val="20"/>
              </w:rPr>
              <w:t>13</w:t>
            </w:r>
          </w:p>
        </w:tc>
        <w:tc>
          <w:tcPr>
            <w:tcW w:w="1878" w:type="dxa"/>
            <w:noWrap/>
          </w:tcPr>
          <w:p w:rsidR="00493A69" w:rsidRPr="001178F3" w:rsidRDefault="00493A69" w:rsidP="001178F3">
            <w:pPr>
              <w:spacing w:after="0"/>
              <w:jc w:val="right"/>
              <w:cnfStyle w:val="000000010000" w:firstRow="0" w:lastRow="0" w:firstColumn="0" w:lastColumn="0" w:oddVBand="0" w:evenVBand="0" w:oddHBand="0" w:evenHBand="1" w:firstRowFirstColumn="0" w:firstRowLastColumn="0" w:lastRowFirstColumn="0" w:lastRowLastColumn="0"/>
              <w:rPr>
                <w:rFonts w:asciiTheme="minorHAnsi" w:hAnsiTheme="minorHAnsi" w:cs="Tahoma"/>
                <w:szCs w:val="20"/>
              </w:rPr>
            </w:pPr>
            <w:r w:rsidRPr="001178F3">
              <w:rPr>
                <w:rFonts w:asciiTheme="minorHAnsi" w:hAnsiTheme="minorHAnsi" w:cs="Tahoma"/>
                <w:szCs w:val="20"/>
              </w:rPr>
              <w:t>52</w:t>
            </w:r>
          </w:p>
        </w:tc>
      </w:tr>
    </w:tbl>
    <w:p w:rsidR="00D85203" w:rsidRDefault="00D85203">
      <w:pPr>
        <w:rPr>
          <w:rFonts w:eastAsiaTheme="minorHAnsi"/>
          <w:lang w:val="en-US" w:eastAsia="en-US"/>
        </w:rPr>
      </w:pPr>
    </w:p>
    <w:p w:rsidR="00D85203" w:rsidRDefault="00493A69">
      <w:pPr>
        <w:rPr>
          <w:rFonts w:eastAsiaTheme="minorHAnsi"/>
          <w:lang w:val="en-US" w:eastAsia="en-US"/>
        </w:rPr>
      </w:pPr>
      <w:r>
        <w:rPr>
          <w:rFonts w:eastAsiaTheme="minorHAnsi"/>
          <w:lang w:val="en-US" w:eastAsia="en-US"/>
        </w:rPr>
        <w:t>The donor representatives interviewed are with one possible exception supportive of the current focus on the poorest countries and the incentives provided by graduation and matched funding requirements. This seems to correlate with the strong poverty focus that prevails in the international development community. This is not to say that donors are not aware of potential tensions, as one donor representative puts it:</w:t>
      </w:r>
    </w:p>
    <w:p w:rsidR="00D85203" w:rsidRDefault="00493A69">
      <w:pPr>
        <w:rPr>
          <w:rFonts w:eastAsiaTheme="minorHAnsi"/>
          <w:lang w:val="en-US" w:eastAsia="en-US"/>
        </w:rPr>
      </w:pPr>
      <w:r>
        <w:rPr>
          <w:rFonts w:eastAsiaTheme="minorHAnsi"/>
          <w:lang w:val="en-US" w:eastAsia="en-US"/>
        </w:rPr>
        <w:t>“</w:t>
      </w:r>
      <w:r w:rsidRPr="00BE108A">
        <w:rPr>
          <w:rFonts w:eastAsiaTheme="minorHAnsi"/>
          <w:i/>
          <w:lang w:val="en-US" w:eastAsia="en-US"/>
        </w:rPr>
        <w:t>We are aware that there is dissatisfaction about the country groupings which are based on World Bank/UNDP classifications but we cannot identify any viable alternative to the current system. We believe that it is entirely justifiable to direct limited funds to those countries that have the greatest need and to have a system of graduation that calls on countries to take on progressively increased resp</w:t>
      </w:r>
      <w:r>
        <w:rPr>
          <w:rFonts w:eastAsiaTheme="minorHAnsi"/>
          <w:i/>
          <w:lang w:val="en-US" w:eastAsia="en-US"/>
        </w:rPr>
        <w:t>onsibilities for self funding.</w:t>
      </w:r>
      <w:r w:rsidRPr="00BE108A">
        <w:rPr>
          <w:rFonts w:eastAsiaTheme="minorHAnsi"/>
          <w:i/>
          <w:lang w:val="en-US" w:eastAsia="en-US"/>
        </w:rPr>
        <w:t xml:space="preserve"> We are aware of concerns of some middle income countries with regard to their eligibility and access to the Trust Fund but there are no simple solutions to their concerns unless the Trust Fund can gain access to significant additional contribution</w:t>
      </w:r>
      <w:r w:rsidR="0001533C">
        <w:rPr>
          <w:rFonts w:eastAsiaTheme="minorHAnsi"/>
          <w:i/>
          <w:lang w:val="en-US" w:eastAsia="en-US"/>
        </w:rPr>
        <w:t>s</w:t>
      </w:r>
      <w:r w:rsidRPr="00BE108A">
        <w:rPr>
          <w:rFonts w:eastAsiaTheme="minorHAnsi"/>
          <w:lang w:val="en-US" w:eastAsia="en-US"/>
        </w:rPr>
        <w:t>.</w:t>
      </w:r>
      <w:r>
        <w:rPr>
          <w:rFonts w:eastAsiaTheme="minorHAnsi"/>
          <w:lang w:val="en-US" w:eastAsia="en-US"/>
        </w:rPr>
        <w:t>”</w:t>
      </w:r>
      <w:r w:rsidRPr="00BE108A">
        <w:rPr>
          <w:rFonts w:eastAsiaTheme="minorHAnsi"/>
          <w:lang w:val="en-US" w:eastAsia="en-US"/>
        </w:rPr>
        <w:t xml:space="preserve"> </w:t>
      </w:r>
      <w:r>
        <w:rPr>
          <w:rFonts w:eastAsiaTheme="minorHAnsi"/>
          <w:lang w:val="en-US" w:eastAsia="en-US"/>
        </w:rPr>
        <w:t xml:space="preserve"> </w:t>
      </w:r>
    </w:p>
    <w:p w:rsidR="00D85203" w:rsidRDefault="00493A69">
      <w:pPr>
        <w:rPr>
          <w:rFonts w:eastAsiaTheme="minorHAnsi"/>
          <w:lang w:val="en-US" w:eastAsia="en-US"/>
        </w:rPr>
      </w:pPr>
      <w:r>
        <w:rPr>
          <w:rFonts w:eastAsiaTheme="minorHAnsi"/>
          <w:lang w:val="en-US" w:eastAsia="en-US"/>
        </w:rPr>
        <w:t xml:space="preserve">Based on the data presented above it seems reasonable to conclude that there is strong support among donors and beneficiaries outside Latin America for the current allocation criteria. The country visits conducted during the review work and also the analysis of the participation of countries that have graduated and are on matched funding in </w:t>
      </w:r>
      <w:r w:rsidR="00A84844">
        <w:rPr>
          <w:rFonts w:eastAsiaTheme="minorHAnsi"/>
          <w:lang w:val="en-US" w:eastAsia="en-US"/>
        </w:rPr>
        <w:t>Chapter</w:t>
      </w:r>
      <w:r>
        <w:rPr>
          <w:rFonts w:eastAsiaTheme="minorHAnsi"/>
          <w:lang w:val="en-US" w:eastAsia="en-US"/>
        </w:rPr>
        <w:t xml:space="preserve"> 3 show </w:t>
      </w:r>
      <w:r w:rsidR="009349D8">
        <w:rPr>
          <w:rFonts w:eastAsiaTheme="minorHAnsi"/>
          <w:lang w:val="en-US" w:eastAsia="en-US"/>
        </w:rPr>
        <w:t xml:space="preserve">that </w:t>
      </w:r>
      <w:r>
        <w:rPr>
          <w:rFonts w:eastAsiaTheme="minorHAnsi"/>
          <w:lang w:val="en-US" w:eastAsia="en-US"/>
        </w:rPr>
        <w:t xml:space="preserve">country circumstances are complex and variable. A country’s Codex or food safety capacity cannot be grasped within easily computable quantitative indicators. As a consequence any attempt to group countries, without resorting to resource demanding assessments, is second-best by nature. The criteria currently used are </w:t>
      </w:r>
      <w:r w:rsidR="00B43267">
        <w:rPr>
          <w:rFonts w:eastAsiaTheme="minorHAnsi"/>
          <w:lang w:val="en-US" w:eastAsia="en-US"/>
        </w:rPr>
        <w:t xml:space="preserve">based on </w:t>
      </w:r>
      <w:r>
        <w:rPr>
          <w:rFonts w:eastAsiaTheme="minorHAnsi"/>
          <w:lang w:val="en-US" w:eastAsia="en-US"/>
        </w:rPr>
        <w:t xml:space="preserve">well-established sources and they seem to have been followed in a transparent manner by the CTF Secretariat. The focus on the poorest countries was stated at the outset in the project document and is supported by donors and beneficiaries, but at the same time a much wider range of countries, that would perhaps not usually be the target of development cooperation activities, have been able to benefit from funding. In effect, the CTF was never meant to be a permanent support mechanism and as countries in group 1 start to graduate, any in-built bias of the allocation system will decrease. </w:t>
      </w:r>
    </w:p>
    <w:p w:rsidR="00493A69" w:rsidRPr="00027A1C" w:rsidRDefault="00493A69" w:rsidP="00493A69">
      <w:pPr>
        <w:rPr>
          <w:rFonts w:eastAsiaTheme="minorHAnsi"/>
          <w:lang w:val="en-US" w:eastAsia="en-US"/>
        </w:rPr>
      </w:pPr>
      <w:r>
        <w:rPr>
          <w:rFonts w:eastAsiaTheme="minorHAnsi"/>
          <w:lang w:val="en-US" w:eastAsia="en-US"/>
        </w:rPr>
        <w:t xml:space="preserve">As was shown in </w:t>
      </w:r>
      <w:r w:rsidR="00A84844">
        <w:rPr>
          <w:rFonts w:eastAsiaTheme="minorHAnsi"/>
          <w:lang w:val="en-US" w:eastAsia="en-US"/>
        </w:rPr>
        <w:t>Chapter</w:t>
      </w:r>
      <w:r>
        <w:rPr>
          <w:rFonts w:eastAsiaTheme="minorHAnsi"/>
          <w:lang w:val="en-US" w:eastAsia="en-US"/>
        </w:rPr>
        <w:t xml:space="preserve"> 2, the CTF has played a role not only in enhancing participation, but also </w:t>
      </w:r>
      <w:r w:rsidR="00E23862">
        <w:rPr>
          <w:rFonts w:eastAsiaTheme="minorHAnsi"/>
          <w:lang w:val="en-US" w:eastAsia="en-US"/>
        </w:rPr>
        <w:t xml:space="preserve">contributing to </w:t>
      </w:r>
      <w:r>
        <w:rPr>
          <w:rFonts w:eastAsiaTheme="minorHAnsi"/>
          <w:lang w:val="en-US" w:eastAsia="en-US"/>
        </w:rPr>
        <w:t xml:space="preserve">institutional changes at country levels, for a wide range of countries. It is now important to focus on what happens after graduation, in particular since it will now become a reality for the poorest countries. What follow-up mechanism can be put in place that ensures transparency and fairness, addresses the greatest needs and fulfils the poverty focus of donors? </w:t>
      </w:r>
      <w:r w:rsidR="00E23862">
        <w:rPr>
          <w:lang w:val="en-GB"/>
        </w:rPr>
        <w:t xml:space="preserve">We would suggest that the CTF Secretariat and the Consultative Group explore options as regards monitoring of participation and potential corrective action should participation drop dramatically in 2011. </w:t>
      </w:r>
    </w:p>
    <w:p w:rsidR="00493A69" w:rsidRDefault="00332D84" w:rsidP="00493A69">
      <w:pPr>
        <w:pStyle w:val="Heading2"/>
        <w:rPr>
          <w:lang w:val="en-GB"/>
        </w:rPr>
      </w:pPr>
      <w:bookmarkStart w:id="90" w:name="_Toc260389734"/>
      <w:r w:rsidRPr="00332D84">
        <w:rPr>
          <w:lang w:val="en-GB"/>
        </w:rPr>
        <w:t>Training and other forms of capacity-building</w:t>
      </w:r>
      <w:bookmarkEnd w:id="90"/>
    </w:p>
    <w:p w:rsidR="00D85203" w:rsidRDefault="00493A69">
      <w:pPr>
        <w:rPr>
          <w:lang w:val="en-GB"/>
        </w:rPr>
      </w:pPr>
      <w:r>
        <w:rPr>
          <w:lang w:val="en-GB"/>
        </w:rPr>
        <w:t xml:space="preserve">It is difficult to get an overview of global development cooperation activities relating to Codex and food safety, not the least since the issues are inter-sectoral. Relevant interventions are likely to feature in relation to areas such as health, trade, agriculture and private sector development. Within the trade area efforts were made to track SPS-related assistance in the </w:t>
      </w:r>
      <w:r w:rsidRPr="00241463">
        <w:rPr>
          <w:lang w:val="en-GB"/>
        </w:rPr>
        <w:t xml:space="preserve">WTO/OECD </w:t>
      </w:r>
      <w:r w:rsidRPr="00241463">
        <w:rPr>
          <w:lang w:val="en-GB"/>
        </w:rPr>
        <w:lastRenderedPageBreak/>
        <w:t>Trade Capacity Building Database (TCBDB)</w:t>
      </w:r>
      <w:r>
        <w:rPr>
          <w:lang w:val="en-GB"/>
        </w:rPr>
        <w:t>, but from 2007 onwards it was integrated into the general OECD/DAC reporting system and SPS issues were integrated into a general trade policy code.</w:t>
      </w:r>
    </w:p>
    <w:p w:rsidR="00D85203" w:rsidRDefault="00493A69">
      <w:pPr>
        <w:rPr>
          <w:lang w:val="en-GB"/>
        </w:rPr>
      </w:pPr>
      <w:r>
        <w:rPr>
          <w:lang w:val="en-GB"/>
        </w:rPr>
        <w:t xml:space="preserve">However, there are clearly many activities going on in the food safety field and the CTF is but a small actor in terms of volume. For example, the annual budget of CTF is around USD 2 million, while total assistance to SPS activities amounted to around USD 100 million in 2006, the last year for which information is available from the TCBDB. In that year, </w:t>
      </w:r>
      <w:r w:rsidR="0041590A">
        <w:rPr>
          <w:lang w:val="en-GB"/>
        </w:rPr>
        <w:t xml:space="preserve">the EC </w:t>
      </w:r>
      <w:r>
        <w:rPr>
          <w:lang w:val="en-GB"/>
        </w:rPr>
        <w:t>was recorded as by far the largest donor in the SPS field, followed by the US, Australia, Norway, FAO and Switzerland.</w:t>
      </w:r>
    </w:p>
    <w:p w:rsidR="00D85203" w:rsidRDefault="00493A69">
      <w:pPr>
        <w:rPr>
          <w:lang w:val="en-GB"/>
        </w:rPr>
      </w:pPr>
      <w:r>
        <w:rPr>
          <w:lang w:val="en-GB"/>
        </w:rPr>
        <w:t>No systematic compilation of donor activities related to Codex or food safety has been done in the framework of this mid-term review. However, interviews and surveys give an insight into some of the activities and actors highlighted by stakeholders. FAO and WHO (albeit to a lesser extent) are of course involved. Bilateral donors such as the EU, the US, Sweden and New Ze</w:t>
      </w:r>
      <w:r w:rsidR="0001533C">
        <w:rPr>
          <w:lang w:val="en-GB"/>
        </w:rPr>
        <w:t>a</w:t>
      </w:r>
      <w:r>
        <w:rPr>
          <w:lang w:val="en-GB"/>
        </w:rPr>
        <w:t>land indicate that they sponsor a variety of activities, which relate more or less closely to the CTF. In the words of the Swedish donor representative: “</w:t>
      </w:r>
      <w:r w:rsidR="0094421A" w:rsidRPr="0094421A">
        <w:rPr>
          <w:i/>
          <w:lang w:val="en-GB"/>
        </w:rPr>
        <w:t xml:space="preserve">“Funding to the STDF is an obvious example of SPS- and food safety-related support provided by Sida. Moreover, the World Bank Trust Fund on Trade and Development, the Enhanced Integrated Framework and the </w:t>
      </w:r>
      <w:r w:rsidR="003A01EF">
        <w:rPr>
          <w:i/>
          <w:lang w:val="en-GB"/>
        </w:rPr>
        <w:t>International Trade Center</w:t>
      </w:r>
      <w:r w:rsidR="0094421A" w:rsidRPr="0094421A">
        <w:rPr>
          <w:i/>
          <w:lang w:val="en-GB"/>
        </w:rPr>
        <w:t xml:space="preserve"> all address standards-related issues, but not exclusively. Bilaterally we have various projects at country level. It is a focus area for Sida and keeps coming back. Demand is high.”</w:t>
      </w:r>
      <w:r>
        <w:rPr>
          <w:lang w:val="en-GB"/>
        </w:rPr>
        <w:t>.” New Ze</w:t>
      </w:r>
      <w:r w:rsidR="0001533C">
        <w:rPr>
          <w:lang w:val="en-GB"/>
        </w:rPr>
        <w:t>a</w:t>
      </w:r>
      <w:r>
        <w:rPr>
          <w:lang w:val="en-GB"/>
        </w:rPr>
        <w:t>land</w:t>
      </w:r>
      <w:r w:rsidR="0094421A">
        <w:rPr>
          <w:lang w:val="en-GB"/>
        </w:rPr>
        <w:t>, in turn,</w:t>
      </w:r>
      <w:r>
        <w:rPr>
          <w:lang w:val="en-GB"/>
        </w:rPr>
        <w:t xml:space="preserve"> “…</w:t>
      </w:r>
      <w:r w:rsidRPr="00C12EF4">
        <w:rPr>
          <w:i/>
          <w:lang w:val="en-GB"/>
        </w:rPr>
        <w:t xml:space="preserve"> has made a significant contribution to various multilateral and bilateral capacity building programmes in Codex and related areas. These have included contributions to regional training workshops and related activities aimed at promoting understanding of Codex and enhancing the capacity of countries to improve food regulation for health protection and trade</w:t>
      </w:r>
      <w:r w:rsidRPr="00C12EF4">
        <w:rPr>
          <w:lang w:val="en-GB"/>
        </w:rPr>
        <w:t>.</w:t>
      </w:r>
      <w:r>
        <w:rPr>
          <w:lang w:val="en-GB"/>
        </w:rPr>
        <w:t xml:space="preserve">” </w:t>
      </w:r>
    </w:p>
    <w:p w:rsidR="00D85203" w:rsidRDefault="00493A69">
      <w:pPr>
        <w:rPr>
          <w:lang w:val="en-GB"/>
        </w:rPr>
      </w:pPr>
      <w:r>
        <w:rPr>
          <w:lang w:val="en-GB"/>
        </w:rPr>
        <w:t xml:space="preserve">61% of surveyed CCPs state that their countries have benefited from Codex training and/or capacity building. Programmes cited include various national FAO projects, which i.a. support national Codex structures, regional Codex seminars, training for CCPs, Codex online training, support from DFID/COMARK/SACAU, IICA activities, support from US Codex office and support to the national Codex structure from WHO national offices. In addition, </w:t>
      </w:r>
      <w:r w:rsidRPr="008C0A0E">
        <w:rPr>
          <w:lang w:val="en-GB"/>
        </w:rPr>
        <w:t xml:space="preserve">18% </w:t>
      </w:r>
      <w:r>
        <w:rPr>
          <w:lang w:val="en-GB"/>
        </w:rPr>
        <w:t xml:space="preserve">of CCPs state that they have received support from </w:t>
      </w:r>
      <w:r w:rsidRPr="008C0A0E">
        <w:rPr>
          <w:lang w:val="en-GB"/>
        </w:rPr>
        <w:t xml:space="preserve">other donor programmes </w:t>
      </w:r>
      <w:r>
        <w:rPr>
          <w:lang w:val="en-GB"/>
        </w:rPr>
        <w:t>to participate in Codex committees</w:t>
      </w:r>
      <w:r w:rsidRPr="008C0A0E">
        <w:rPr>
          <w:lang w:val="en-GB"/>
        </w:rPr>
        <w:t xml:space="preserve">. The other donor programmes or sources cited are: </w:t>
      </w:r>
      <w:r w:rsidR="00863EBF" w:rsidRPr="006B3E85">
        <w:rPr>
          <w:lang w:val="en-GB"/>
        </w:rPr>
        <w:t xml:space="preserve">Southern African Confederation of Agricultural Unions </w:t>
      </w:r>
      <w:r w:rsidR="00863EBF">
        <w:rPr>
          <w:lang w:val="en-GB"/>
        </w:rPr>
        <w:t>(</w:t>
      </w:r>
      <w:r w:rsidRPr="008C0A0E">
        <w:rPr>
          <w:lang w:val="en-GB"/>
        </w:rPr>
        <w:t>SACAU</w:t>
      </w:r>
      <w:r w:rsidR="00863EBF">
        <w:rPr>
          <w:lang w:val="en-GB"/>
        </w:rPr>
        <w:t>)</w:t>
      </w:r>
      <w:r w:rsidRPr="008C0A0E">
        <w:rPr>
          <w:lang w:val="en-GB"/>
        </w:rPr>
        <w:t xml:space="preserve"> (3 African</w:t>
      </w:r>
      <w:r>
        <w:rPr>
          <w:lang w:val="en-GB"/>
        </w:rPr>
        <w:t xml:space="preserve"> countries</w:t>
      </w:r>
      <w:r w:rsidRPr="008C0A0E">
        <w:rPr>
          <w:lang w:val="en-GB"/>
        </w:rPr>
        <w:t>)</w:t>
      </w:r>
      <w:r>
        <w:rPr>
          <w:lang w:val="en-GB"/>
        </w:rPr>
        <w:t xml:space="preserve">, </w:t>
      </w:r>
      <w:r w:rsidR="00332D84">
        <w:rPr>
          <w:lang w:val="en-GB"/>
        </w:rPr>
        <w:t>WHO (2 Asian and 1 S</w:t>
      </w:r>
      <w:r w:rsidR="0001533C">
        <w:rPr>
          <w:lang w:val="en-GB"/>
        </w:rPr>
        <w:t>W</w:t>
      </w:r>
      <w:r w:rsidR="00332D84">
        <w:rPr>
          <w:lang w:val="en-GB"/>
        </w:rPr>
        <w:t xml:space="preserve">P), </w:t>
      </w:r>
      <w:r w:rsidR="00863EBF" w:rsidRPr="00863EBF">
        <w:rPr>
          <w:lang w:val="en-GB"/>
        </w:rPr>
        <w:t>Inter-American Institute for Cooperation on Agriculture (IICA)</w:t>
      </w:r>
      <w:r w:rsidR="00332D84">
        <w:rPr>
          <w:lang w:val="en-GB"/>
        </w:rPr>
        <w:t xml:space="preserve"> (2 LAC), </w:t>
      </w:r>
      <w:r w:rsidR="00AB4E07">
        <w:rPr>
          <w:lang w:val="en-GB"/>
        </w:rPr>
        <w:t xml:space="preserve">the </w:t>
      </w:r>
      <w:r w:rsidR="00332D84">
        <w:rPr>
          <w:lang w:val="en-GB"/>
        </w:rPr>
        <w:t xml:space="preserve">German </w:t>
      </w:r>
      <w:r w:rsidR="00AB4E07">
        <w:rPr>
          <w:lang w:val="en-GB"/>
        </w:rPr>
        <w:t xml:space="preserve">agency for technical cooperation </w:t>
      </w:r>
      <w:r w:rsidR="00332D84">
        <w:rPr>
          <w:lang w:val="en-GB"/>
        </w:rPr>
        <w:t>GTZ (1) and</w:t>
      </w:r>
      <w:r w:rsidR="00AB4E07">
        <w:rPr>
          <w:lang w:val="en-GB"/>
        </w:rPr>
        <w:t xml:space="preserve"> </w:t>
      </w:r>
      <w:r w:rsidR="00AB4E07" w:rsidRPr="00BF218F">
        <w:rPr>
          <w:lang w:val="en-GB"/>
        </w:rPr>
        <w:t>CARDS</w:t>
      </w:r>
      <w:r w:rsidR="00332D84">
        <w:rPr>
          <w:lang w:val="en-GB"/>
        </w:rPr>
        <w:t xml:space="preserve"> </w:t>
      </w:r>
      <w:r w:rsidR="00AB4E07">
        <w:rPr>
          <w:lang w:val="en-GB"/>
        </w:rPr>
        <w:t>- an EU programme for the Western Balkans</w:t>
      </w:r>
      <w:r w:rsidR="00863EBF">
        <w:rPr>
          <w:lang w:val="en-GB"/>
        </w:rPr>
        <w:t xml:space="preserve"> (some of these programmes are discussed below).</w:t>
      </w:r>
    </w:p>
    <w:p w:rsidR="00D85203" w:rsidRDefault="00332D84">
      <w:pPr>
        <w:rPr>
          <w:lang w:val="en-GB"/>
        </w:rPr>
      </w:pPr>
      <w:r w:rsidRPr="00332D84">
        <w:rPr>
          <w:lang w:val="en-GB"/>
        </w:rPr>
        <w:t xml:space="preserve">The CTF has so far participated in organising a limited number of technical assistance activities, spending a total of around USD 0.5 million by end 2008 (or 8% of total expenditures since the start of Trust Fund) and another USD 0.2 million planned for </w:t>
      </w:r>
      <w:r w:rsidR="005E1E20">
        <w:rPr>
          <w:lang w:val="en-GB"/>
        </w:rPr>
        <w:t>2010</w:t>
      </w:r>
      <w:r w:rsidRPr="00332D84">
        <w:rPr>
          <w:lang w:val="en-GB"/>
        </w:rPr>
        <w:t xml:space="preserve">. In the last years regional Codex training has been organised in collaboration with FAO and WHO back-to-back with Codex regional coordination committee meetings for all regions bar the Near East (planned for 2010). </w:t>
      </w:r>
      <w:r w:rsidR="00DF07E1">
        <w:rPr>
          <w:lang w:val="en-GB"/>
        </w:rPr>
        <w:t>In addition, t</w:t>
      </w:r>
      <w:r w:rsidR="005E1E20">
        <w:rPr>
          <w:lang w:val="en-GB"/>
        </w:rPr>
        <w:t>hree Codex training courses back-to-back with CCEURO, CCASIA and CCNASWP</w:t>
      </w:r>
      <w:r w:rsidR="00DF07E1">
        <w:rPr>
          <w:lang w:val="en-GB"/>
        </w:rPr>
        <w:t xml:space="preserve"> and t</w:t>
      </w:r>
      <w:r w:rsidRPr="00332D84">
        <w:rPr>
          <w:lang w:val="en-GB"/>
        </w:rPr>
        <w:t xml:space="preserve">wo sub-regional workshops in Africa are planned for 2010. </w:t>
      </w:r>
      <w:r w:rsidR="00BF218F">
        <w:rPr>
          <w:lang w:val="en-GB"/>
        </w:rPr>
        <w:t xml:space="preserve">As should be clear from the discussion in </w:t>
      </w:r>
      <w:r w:rsidR="00A84844">
        <w:rPr>
          <w:lang w:val="en-GB"/>
        </w:rPr>
        <w:t>Chapter</w:t>
      </w:r>
      <w:r w:rsidR="00BF218F">
        <w:rPr>
          <w:lang w:val="en-GB"/>
        </w:rPr>
        <w:t xml:space="preserve"> 2,</w:t>
      </w:r>
      <w:r w:rsidR="00DF07E1">
        <w:rPr>
          <w:lang w:val="en-GB"/>
        </w:rPr>
        <w:t xml:space="preserve"> the</w:t>
      </w:r>
      <w:r w:rsidRPr="00332D84">
        <w:rPr>
          <w:lang w:val="en-GB"/>
        </w:rPr>
        <w:t xml:space="preserve"> country visits show that these activities are important to stimulate Codex work at national level, in combination with CTF sponsored participation.</w:t>
      </w:r>
      <w:r w:rsidR="00EE3DE9">
        <w:rPr>
          <w:lang w:val="en-GB"/>
        </w:rPr>
        <w:t xml:space="preserve"> The CTF is also supporting a p</w:t>
      </w:r>
      <w:r w:rsidR="00EE3DE9" w:rsidRPr="00EE3DE9">
        <w:rPr>
          <w:lang w:val="en-GB"/>
        </w:rPr>
        <w:t xml:space="preserve">ilot CCP </w:t>
      </w:r>
      <w:r w:rsidR="00EE3DE9">
        <w:rPr>
          <w:lang w:val="en-GB"/>
        </w:rPr>
        <w:t>partnering/mentoring programm</w:t>
      </w:r>
      <w:r w:rsidR="00F80CE2">
        <w:rPr>
          <w:lang w:val="en-GB"/>
        </w:rPr>
        <w:t>e</w:t>
      </w:r>
      <w:r w:rsidR="00EE3DE9" w:rsidRPr="00EE3DE9">
        <w:rPr>
          <w:lang w:val="en-GB"/>
        </w:rPr>
        <w:t xml:space="preserve"> in 10 countries in </w:t>
      </w:r>
      <w:r w:rsidR="00EE3DE9">
        <w:rPr>
          <w:lang w:val="en-GB"/>
        </w:rPr>
        <w:t xml:space="preserve">the </w:t>
      </w:r>
      <w:r w:rsidR="00EE3DE9" w:rsidRPr="00EE3DE9">
        <w:rPr>
          <w:lang w:val="en-GB"/>
        </w:rPr>
        <w:t>Codex Afr</w:t>
      </w:r>
      <w:r w:rsidR="00EE3DE9">
        <w:rPr>
          <w:lang w:val="en-GB"/>
        </w:rPr>
        <w:t>ican region, which was p</w:t>
      </w:r>
      <w:r w:rsidR="00EE3DE9" w:rsidRPr="00EE3DE9">
        <w:rPr>
          <w:lang w:val="en-GB"/>
        </w:rPr>
        <w:t xml:space="preserve">roposed as part of </w:t>
      </w:r>
      <w:r w:rsidR="00EE3DE9">
        <w:rPr>
          <w:lang w:val="en-GB"/>
        </w:rPr>
        <w:t xml:space="preserve">the </w:t>
      </w:r>
      <w:r w:rsidR="00EE3DE9" w:rsidRPr="00EE3DE9">
        <w:rPr>
          <w:lang w:val="en-GB"/>
        </w:rPr>
        <w:t>strategic framework action plan at 18th Session of CCAFRICA</w:t>
      </w:r>
      <w:r w:rsidR="00EE3DE9">
        <w:rPr>
          <w:lang w:val="en-GB"/>
        </w:rPr>
        <w:t>.</w:t>
      </w:r>
    </w:p>
    <w:p w:rsidR="00D85203" w:rsidRDefault="00A712F4">
      <w:pPr>
        <w:rPr>
          <w:rFonts w:eastAsia="SimSun"/>
          <w:szCs w:val="22"/>
          <w:lang w:val="en-US"/>
        </w:rPr>
      </w:pPr>
      <w:r>
        <w:rPr>
          <w:lang w:val="en-GB"/>
        </w:rPr>
        <w:t>In addition to training activities of more global reach, b</w:t>
      </w:r>
      <w:r w:rsidR="00493A69">
        <w:rPr>
          <w:lang w:val="en-GB"/>
        </w:rPr>
        <w:t xml:space="preserve">eneficiary countries have the option to replace funding for participation with funding for other activities. According to CTF rules, such activities must be </w:t>
      </w:r>
      <w:r w:rsidR="00493A69" w:rsidRPr="00790073">
        <w:rPr>
          <w:rFonts w:eastAsia="SimSun"/>
          <w:bCs/>
          <w:szCs w:val="22"/>
          <w:lang w:val="en-US"/>
        </w:rPr>
        <w:t>directly related</w:t>
      </w:r>
      <w:r w:rsidR="00493A69" w:rsidRPr="00790073">
        <w:rPr>
          <w:rFonts w:eastAsia="SimSun"/>
          <w:b/>
          <w:bCs/>
          <w:szCs w:val="22"/>
          <w:lang w:val="en-US"/>
        </w:rPr>
        <w:t xml:space="preserve"> </w:t>
      </w:r>
      <w:r w:rsidR="00493A69" w:rsidRPr="00790073">
        <w:rPr>
          <w:rFonts w:eastAsia="SimSun"/>
          <w:szCs w:val="22"/>
          <w:lang w:val="en-US"/>
        </w:rPr>
        <w:t xml:space="preserve">to enhancing the participation in Codex activities at national, </w:t>
      </w:r>
      <w:r w:rsidR="00493A69" w:rsidRPr="00790073">
        <w:rPr>
          <w:rFonts w:eastAsia="SimSun"/>
          <w:szCs w:val="22"/>
          <w:lang w:val="en-US"/>
        </w:rPr>
        <w:lastRenderedPageBreak/>
        <w:t>regional an</w:t>
      </w:r>
      <w:r w:rsidR="00493A69">
        <w:rPr>
          <w:rFonts w:eastAsia="SimSun"/>
          <w:szCs w:val="22"/>
          <w:lang w:val="en-US"/>
        </w:rPr>
        <w:t xml:space="preserve">d global levels and may include support to CCPs and NCCs, participation in workshops and training, exchanges between countries and for fulfilling certain regional responsibilities. </w:t>
      </w:r>
      <w:r w:rsidR="005E1E20">
        <w:rPr>
          <w:rFonts w:eastAsia="SimSun"/>
          <w:szCs w:val="22"/>
          <w:lang w:val="en-US"/>
        </w:rPr>
        <w:t xml:space="preserve">In the past, human resource </w:t>
      </w:r>
      <w:r w:rsidR="00493A69">
        <w:rPr>
          <w:rFonts w:eastAsia="SimSun"/>
          <w:szCs w:val="22"/>
          <w:lang w:val="en-US"/>
        </w:rPr>
        <w:t xml:space="preserve">constraints limited </w:t>
      </w:r>
      <w:r w:rsidR="005E1E20">
        <w:rPr>
          <w:rFonts w:eastAsia="SimSun"/>
          <w:szCs w:val="22"/>
          <w:lang w:val="en-US"/>
        </w:rPr>
        <w:t xml:space="preserve">the </w:t>
      </w:r>
      <w:r w:rsidR="00493A69">
        <w:rPr>
          <w:rFonts w:eastAsia="SimSun"/>
          <w:szCs w:val="22"/>
          <w:lang w:val="en-US"/>
        </w:rPr>
        <w:t xml:space="preserve">possibility for the CTF Secretariat to follow up </w:t>
      </w:r>
      <w:r w:rsidR="005E1E20">
        <w:rPr>
          <w:rFonts w:eastAsia="SimSun"/>
          <w:szCs w:val="22"/>
          <w:lang w:val="en-US"/>
        </w:rPr>
        <w:t>systematically on</w:t>
      </w:r>
      <w:r w:rsidR="00493A69">
        <w:rPr>
          <w:rFonts w:eastAsia="SimSun"/>
          <w:szCs w:val="22"/>
          <w:lang w:val="en-US"/>
        </w:rPr>
        <w:t xml:space="preserve"> these requests. However, for the 2010 application, increased capacity allowed comprehensive compilation of the requests and active follow-up of all requests through contacts with the countries involved and by sending the list to FAO head-quarters and WHO regional focal points. Most of the requests fell more within the FAO mandate</w:t>
      </w:r>
      <w:r w:rsidR="00F80CE2">
        <w:rPr>
          <w:rFonts w:eastAsia="SimSun"/>
          <w:szCs w:val="22"/>
          <w:lang w:val="en-US"/>
        </w:rPr>
        <w:t xml:space="preserve"> rather</w:t>
      </w:r>
      <w:r w:rsidR="00493A69">
        <w:rPr>
          <w:rFonts w:eastAsia="SimSun"/>
          <w:szCs w:val="22"/>
          <w:lang w:val="en-US"/>
        </w:rPr>
        <w:t xml:space="preserve"> than that of the CTF according to the CTF Secretariat. The latter saw its role more as a facilitator.</w:t>
      </w:r>
    </w:p>
    <w:p w:rsidR="00D85203" w:rsidRDefault="00493A69">
      <w:pPr>
        <w:rPr>
          <w:rFonts w:eastAsia="SimSun"/>
          <w:szCs w:val="22"/>
          <w:lang w:val="en-US"/>
        </w:rPr>
      </w:pPr>
      <w:r>
        <w:rPr>
          <w:rFonts w:eastAsia="SimSun"/>
          <w:szCs w:val="22"/>
          <w:lang w:val="en-US"/>
        </w:rPr>
        <w:t>In the end</w:t>
      </w:r>
      <w:r w:rsidR="00DF07E1">
        <w:rPr>
          <w:rFonts w:eastAsia="SimSun"/>
          <w:szCs w:val="22"/>
          <w:lang w:val="en-US"/>
        </w:rPr>
        <w:t>, and as a result of dialogue with concerned countries and FAO and WHO Headquarters and Regional Offices (sometimes also involving FAO and/or WHO country offices)</w:t>
      </w:r>
      <w:r>
        <w:rPr>
          <w:rFonts w:eastAsia="SimSun"/>
          <w:szCs w:val="22"/>
          <w:lang w:val="en-US"/>
        </w:rPr>
        <w:t xml:space="preserve"> only two projects have been retained in exchange for participation, one concerning a study tour to a country in the Asian region </w:t>
      </w:r>
      <w:r w:rsidR="00DF07E1">
        <w:rPr>
          <w:rFonts w:eastAsia="SimSun"/>
          <w:szCs w:val="22"/>
          <w:lang w:val="en-US"/>
        </w:rPr>
        <w:t xml:space="preserve">with more advanced Codex structures and activities </w:t>
      </w:r>
      <w:r>
        <w:rPr>
          <w:rFonts w:eastAsia="SimSun"/>
          <w:szCs w:val="22"/>
          <w:lang w:val="en-US"/>
        </w:rPr>
        <w:t xml:space="preserve">and one focusing on developing a data-base to help determine Codex priorities. In addition, many of the requests related to risk assessment. This fed into on-going discussions </w:t>
      </w:r>
      <w:r w:rsidR="00DF07E1">
        <w:rPr>
          <w:rFonts w:eastAsia="SimSun"/>
          <w:szCs w:val="22"/>
          <w:lang w:val="en-US"/>
        </w:rPr>
        <w:t xml:space="preserve">between the CTF Secretariat and the joint secretary of JECFA (located in FOS) </w:t>
      </w:r>
      <w:r>
        <w:rPr>
          <w:rFonts w:eastAsia="SimSun"/>
          <w:szCs w:val="22"/>
          <w:lang w:val="en-US"/>
        </w:rPr>
        <w:t xml:space="preserve">on addressing objective 3 of the Trust-Fund by </w:t>
      </w:r>
      <w:r w:rsidR="00DF07E1">
        <w:rPr>
          <w:rFonts w:eastAsia="SimSun"/>
          <w:szCs w:val="22"/>
          <w:lang w:val="en-US"/>
        </w:rPr>
        <w:t xml:space="preserve">taking initial steps to </w:t>
      </w:r>
      <w:r>
        <w:rPr>
          <w:rFonts w:eastAsia="SimSun"/>
          <w:szCs w:val="22"/>
          <w:lang w:val="en-US"/>
        </w:rPr>
        <w:t xml:space="preserve">develop a training programme </w:t>
      </w:r>
      <w:r w:rsidR="00DF07E1">
        <w:rPr>
          <w:rFonts w:eastAsia="SimSun"/>
          <w:szCs w:val="22"/>
          <w:lang w:val="en-US"/>
        </w:rPr>
        <w:t>designed to increase the knowledge of developing countries on how scientific data gets inputted into the Codex process and how they can participate in this process. The CTF is supporting an external consultant to develop a short training course which will be delivered for the first time to delegates to the 4</w:t>
      </w:r>
      <w:r w:rsidR="00DF07E1" w:rsidRPr="0084722E">
        <w:rPr>
          <w:rFonts w:eastAsia="SimSun"/>
          <w:szCs w:val="22"/>
          <w:vertAlign w:val="superscript"/>
          <w:lang w:val="en-US"/>
        </w:rPr>
        <w:t>th</w:t>
      </w:r>
      <w:r w:rsidR="00DF07E1">
        <w:rPr>
          <w:rFonts w:eastAsia="SimSun"/>
          <w:szCs w:val="22"/>
          <w:lang w:val="en-US"/>
        </w:rPr>
        <w:t xml:space="preserve"> session of the Codex Committee on Contaminants in Foods (CCCF) in April 2010. According to the CTF Secretariat this is intended to be a first building block in working with FAO, WHO and the secretaries of the FAO/WHO expert committees to work on the design and delivery of more comprehensive risk assessment training aimed at enhancing the capacity of developing countries to both understand and participate more effectively in contributing to the science base of Codex.</w:t>
      </w:r>
      <w:r w:rsidR="00EE3DE9">
        <w:rPr>
          <w:rFonts w:eastAsia="SimSun"/>
          <w:szCs w:val="22"/>
          <w:lang w:val="en-US"/>
        </w:rPr>
        <w:t xml:space="preserve"> Also to address objective 3, the CTF is providing </w:t>
      </w:r>
      <w:r w:rsidR="00EE3DE9" w:rsidRPr="00EE3DE9">
        <w:rPr>
          <w:rFonts w:eastAsia="SimSun"/>
          <w:szCs w:val="22"/>
          <w:lang w:val="en-US"/>
        </w:rPr>
        <w:t xml:space="preserve">pilot funding to </w:t>
      </w:r>
      <w:r w:rsidR="00EE3DE9">
        <w:rPr>
          <w:rFonts w:eastAsia="SimSun"/>
          <w:szCs w:val="22"/>
          <w:lang w:val="en-US"/>
        </w:rPr>
        <w:t xml:space="preserve">Ethiopia </w:t>
      </w:r>
      <w:r w:rsidR="00EE3DE9" w:rsidRPr="00EE3DE9">
        <w:rPr>
          <w:rFonts w:eastAsia="SimSun"/>
          <w:szCs w:val="22"/>
          <w:lang w:val="en-US"/>
        </w:rPr>
        <w:t>to develop useful information for Codex consideration</w:t>
      </w:r>
      <w:r w:rsidR="00EE3DE9">
        <w:rPr>
          <w:rFonts w:eastAsia="SimSun"/>
          <w:szCs w:val="22"/>
          <w:lang w:val="en-US"/>
        </w:rPr>
        <w:t xml:space="preserve">. </w:t>
      </w:r>
    </w:p>
    <w:p w:rsidR="00D85203" w:rsidRDefault="00493A69">
      <w:pPr>
        <w:rPr>
          <w:rFonts w:eastAsia="SimSun"/>
          <w:lang w:val="en-US"/>
        </w:rPr>
      </w:pPr>
      <w:r>
        <w:rPr>
          <w:rFonts w:eastAsia="SimSun"/>
          <w:lang w:val="en-US"/>
        </w:rPr>
        <w:t xml:space="preserve">The role of the CTF </w:t>
      </w:r>
      <w:r w:rsidR="00A712F4">
        <w:rPr>
          <w:rFonts w:eastAsia="SimSun"/>
          <w:lang w:val="en-US"/>
        </w:rPr>
        <w:t xml:space="preserve">in capacity building </w:t>
      </w:r>
      <w:r>
        <w:rPr>
          <w:rFonts w:eastAsia="SimSun"/>
          <w:lang w:val="en-US"/>
        </w:rPr>
        <w:t xml:space="preserve">is not </w:t>
      </w:r>
      <w:r w:rsidR="00A712F4">
        <w:rPr>
          <w:rFonts w:eastAsia="SimSun"/>
          <w:lang w:val="en-US"/>
        </w:rPr>
        <w:t xml:space="preserve">clear-cut. </w:t>
      </w:r>
      <w:r>
        <w:rPr>
          <w:rFonts w:eastAsia="SimSun"/>
          <w:lang w:val="en-US"/>
        </w:rPr>
        <w:t xml:space="preserve">The original project documents opens up for financing the following type of activities: </w:t>
      </w:r>
    </w:p>
    <w:p w:rsidR="00D85203" w:rsidRDefault="00332D84">
      <w:pPr>
        <w:pStyle w:val="ListParagraph"/>
        <w:numPr>
          <w:ilvl w:val="0"/>
          <w:numId w:val="6"/>
        </w:numPr>
        <w:rPr>
          <w:rFonts w:eastAsia="SimSun"/>
          <w:lang w:val="en-US"/>
        </w:rPr>
      </w:pPr>
      <w:r>
        <w:rPr>
          <w:rFonts w:eastAsia="SimSun"/>
          <w:lang w:val="en-US"/>
        </w:rPr>
        <w:t>Activities which would help countries to meet the basic criteria for participation, e.g. facilitation of the designation of a Codex contact point;</w:t>
      </w:r>
    </w:p>
    <w:p w:rsidR="00D85203" w:rsidRDefault="00332D84">
      <w:pPr>
        <w:pStyle w:val="ListParagraph"/>
        <w:numPr>
          <w:ilvl w:val="0"/>
          <w:numId w:val="6"/>
        </w:numPr>
        <w:rPr>
          <w:rFonts w:eastAsia="SimSun"/>
          <w:lang w:val="en-US"/>
        </w:rPr>
      </w:pPr>
      <w:r>
        <w:rPr>
          <w:rFonts w:eastAsia="SimSun"/>
          <w:lang w:val="en-US"/>
        </w:rPr>
        <w:t>Basic awareness raising and training in relation to Codex;</w:t>
      </w:r>
    </w:p>
    <w:p w:rsidR="00D85203" w:rsidRDefault="00332D84">
      <w:pPr>
        <w:pStyle w:val="ListParagraph"/>
        <w:numPr>
          <w:ilvl w:val="0"/>
          <w:numId w:val="6"/>
        </w:numPr>
        <w:rPr>
          <w:rFonts w:eastAsia="SimSun"/>
          <w:lang w:val="en-US"/>
        </w:rPr>
      </w:pPr>
      <w:r>
        <w:rPr>
          <w:rFonts w:eastAsia="SimSun"/>
          <w:lang w:val="en-US"/>
        </w:rPr>
        <w:t xml:space="preserve">Technical support to empower national Codex committees (or equivalent) to develop and put forth national considerations to the CAC, its committees or task forces. </w:t>
      </w:r>
    </w:p>
    <w:p w:rsidR="00D85203" w:rsidRDefault="00332D84">
      <w:pPr>
        <w:pStyle w:val="ListParagraph"/>
        <w:numPr>
          <w:ilvl w:val="0"/>
          <w:numId w:val="6"/>
        </w:numPr>
        <w:rPr>
          <w:rFonts w:eastAsia="SimSun"/>
          <w:lang w:val="en-US"/>
        </w:rPr>
      </w:pPr>
      <w:r>
        <w:rPr>
          <w:rFonts w:eastAsia="SimSun"/>
          <w:lang w:val="en-US"/>
        </w:rPr>
        <w:t>More scientists/technical persons contributing to the work of the CAC through their participation in delegations to Codex committees and task force meetings.</w:t>
      </w:r>
    </w:p>
    <w:p w:rsidR="00D85203" w:rsidRDefault="00493A69">
      <w:pPr>
        <w:rPr>
          <w:rFonts w:eastAsia="SimSun"/>
          <w:lang w:val="en-US"/>
        </w:rPr>
      </w:pPr>
      <w:r>
        <w:rPr>
          <w:rFonts w:eastAsia="SimSun"/>
          <w:lang w:val="en-US"/>
        </w:rPr>
        <w:t xml:space="preserve">So far CTF does not seem to have been directly involved in activities at national level, but have rather focused on regional training as mentioned above. There seems to be an established division of labour primarily with FAO, according to which the CTF focuses on participation and FAO on capacity building. </w:t>
      </w:r>
      <w:r w:rsidR="00EE3DE9">
        <w:rPr>
          <w:rFonts w:eastAsia="SimSun"/>
          <w:lang w:val="en-US"/>
        </w:rPr>
        <w:t xml:space="preserve">In the most recent </w:t>
      </w:r>
      <w:r w:rsidR="0020324E">
        <w:rPr>
          <w:rFonts w:eastAsia="SimSun"/>
          <w:lang w:val="en-US"/>
        </w:rPr>
        <w:t xml:space="preserve">action plan, the CTF is getting more engaged in national and sub-regional activities. In addition, there are initial steps to address output 3.  </w:t>
      </w:r>
    </w:p>
    <w:p w:rsidR="00D85203" w:rsidRDefault="00493A69">
      <w:pPr>
        <w:rPr>
          <w:rFonts w:eastAsia="SimSun"/>
          <w:lang w:val="en-US"/>
        </w:rPr>
      </w:pPr>
      <w:r>
        <w:rPr>
          <w:rFonts w:eastAsia="SimSun"/>
          <w:lang w:val="en-US"/>
        </w:rPr>
        <w:t xml:space="preserve">When asked if the current focus on activities and funding of the CTF is appropriate, </w:t>
      </w:r>
      <w:r w:rsidRPr="00DD22C9">
        <w:rPr>
          <w:rFonts w:eastAsia="SimSun"/>
          <w:lang w:val="en-US"/>
        </w:rPr>
        <w:t xml:space="preserve">88% </w:t>
      </w:r>
      <w:r>
        <w:rPr>
          <w:rFonts w:eastAsia="SimSun"/>
          <w:lang w:val="en-US"/>
        </w:rPr>
        <w:t xml:space="preserve">of surveyed CCPs believe that it </w:t>
      </w:r>
      <w:r w:rsidRPr="00DD22C9">
        <w:rPr>
          <w:rFonts w:eastAsia="SimSun"/>
          <w:lang w:val="en-US"/>
        </w:rPr>
        <w:t>is appropriate or very appropriate</w:t>
      </w:r>
      <w:r>
        <w:rPr>
          <w:rFonts w:eastAsia="SimSun"/>
          <w:lang w:val="en-US"/>
        </w:rPr>
        <w:t xml:space="preserve">. The </w:t>
      </w:r>
      <w:r w:rsidRPr="00DD22C9">
        <w:rPr>
          <w:rFonts w:eastAsia="SimSun"/>
          <w:lang w:val="en-US"/>
        </w:rPr>
        <w:t>difference bet</w:t>
      </w:r>
      <w:r>
        <w:rPr>
          <w:rFonts w:eastAsia="SimSun"/>
          <w:lang w:val="en-US"/>
        </w:rPr>
        <w:t>ween Africa and LAC is apparent;</w:t>
      </w:r>
      <w:r w:rsidRPr="00DD22C9">
        <w:rPr>
          <w:rFonts w:eastAsia="SimSun"/>
          <w:lang w:val="en-US"/>
        </w:rPr>
        <w:t xml:space="preserve"> All African respondents believe the focus is appropriate or very </w:t>
      </w:r>
      <w:r w:rsidRPr="00DD22C9">
        <w:rPr>
          <w:rFonts w:eastAsia="SimSun"/>
          <w:lang w:val="en-US"/>
        </w:rPr>
        <w:lastRenderedPageBreak/>
        <w:t>appropriate, while only 58 % of t</w:t>
      </w:r>
      <w:r>
        <w:rPr>
          <w:rFonts w:eastAsia="SimSun"/>
          <w:lang w:val="en-US"/>
        </w:rPr>
        <w:t>he LAC respondents. T</w:t>
      </w:r>
      <w:r w:rsidRPr="00DD22C9">
        <w:rPr>
          <w:rFonts w:eastAsia="SimSun"/>
          <w:lang w:val="en-US"/>
        </w:rPr>
        <w:t xml:space="preserve">he difference between LDCs and non-LDCs </w:t>
      </w:r>
      <w:r>
        <w:rPr>
          <w:rFonts w:eastAsia="SimSun"/>
          <w:lang w:val="en-US"/>
        </w:rPr>
        <w:t>is</w:t>
      </w:r>
      <w:r w:rsidRPr="00DD22C9">
        <w:rPr>
          <w:rFonts w:eastAsia="SimSun"/>
          <w:lang w:val="en-US"/>
        </w:rPr>
        <w:t xml:space="preserve"> not that pronounced (the </w:t>
      </w:r>
      <w:r>
        <w:rPr>
          <w:rFonts w:eastAsia="SimSun"/>
          <w:lang w:val="en-US"/>
        </w:rPr>
        <w:t xml:space="preserve">approval </w:t>
      </w:r>
      <w:r w:rsidRPr="00DD22C9">
        <w:rPr>
          <w:rFonts w:eastAsia="SimSun"/>
          <w:lang w:val="en-US"/>
        </w:rPr>
        <w:t>figure is 11% higher for the former group compared to the latter).</w:t>
      </w:r>
      <w:r>
        <w:rPr>
          <w:rFonts w:eastAsia="SimSun"/>
          <w:lang w:val="en-US"/>
        </w:rPr>
        <w:t xml:space="preserve"> In spite of the strong support, several CCPs would like to see greater engagement in capacity building, including at national levels. Around half of the surveyed CCPs believe that the CTF should direct its efforts more towards capacity building, by supporting inter alia national CCPs, NCCs, and technical and scientific work, when questioned if the future focus of CTF should change. Some of the suggestions purported by CCPs are listed in the table. </w:t>
      </w:r>
    </w:p>
    <w:p w:rsidR="00D85203" w:rsidRDefault="00332D84" w:rsidP="00BD3FA0">
      <w:pPr>
        <w:pStyle w:val="Caption"/>
        <w:keepNext/>
        <w:rPr>
          <w:lang w:val="en-US"/>
        </w:rPr>
      </w:pPr>
      <w:bookmarkStart w:id="91" w:name="_Toc260036746"/>
      <w:r w:rsidRPr="00332D84">
        <w:rPr>
          <w:lang w:val="en-US"/>
        </w:rPr>
        <w:t xml:space="preserve">Table </w:t>
      </w:r>
      <w:r w:rsidR="00AE227F">
        <w:fldChar w:fldCharType="begin"/>
      </w:r>
      <w:r w:rsidRPr="00332D84">
        <w:rPr>
          <w:lang w:val="en-US"/>
        </w:rPr>
        <w:instrText xml:space="preserve"> SEQ Table \* ARABIC </w:instrText>
      </w:r>
      <w:r w:rsidR="00AE227F">
        <w:fldChar w:fldCharType="separate"/>
      </w:r>
      <w:r w:rsidR="004F08A8">
        <w:rPr>
          <w:noProof/>
          <w:lang w:val="en-US"/>
        </w:rPr>
        <w:t>11</w:t>
      </w:r>
      <w:r w:rsidR="00AE227F">
        <w:fldChar w:fldCharType="end"/>
      </w:r>
      <w:r w:rsidRPr="00332D84">
        <w:rPr>
          <w:lang w:val="en-US"/>
        </w:rPr>
        <w:t xml:space="preserve"> Selected answers to the question: “What role do you see the CTF playing in Codex training and/or capacity building</w:t>
      </w:r>
      <w:r w:rsidR="00A712F4">
        <w:rPr>
          <w:lang w:val="en-US"/>
        </w:rPr>
        <w:t>?</w:t>
      </w:r>
      <w:r w:rsidRPr="00332D84">
        <w:rPr>
          <w:lang w:val="en-US"/>
        </w:rPr>
        <w:t>”</w:t>
      </w:r>
      <w:bookmarkEnd w:id="91"/>
    </w:p>
    <w:tbl>
      <w:tblPr>
        <w:tblStyle w:val="MediumGrid3-Accent1"/>
        <w:tblW w:w="5000" w:type="pct"/>
        <w:tblLayout w:type="fixed"/>
        <w:tblLook w:val="04A0" w:firstRow="1" w:lastRow="0" w:firstColumn="1" w:lastColumn="0" w:noHBand="0" w:noVBand="1"/>
      </w:tblPr>
      <w:tblGrid>
        <w:gridCol w:w="1101"/>
        <w:gridCol w:w="8179"/>
      </w:tblGrid>
      <w:tr w:rsidR="00493A69" w:rsidRPr="00854105">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593" w:type="pct"/>
            <w:noWrap/>
          </w:tcPr>
          <w:p w:rsidR="00493A69" w:rsidRPr="001178F3" w:rsidRDefault="00493A69" w:rsidP="00BD3FA0">
            <w:pPr>
              <w:keepNext/>
              <w:spacing w:after="0"/>
              <w:rPr>
                <w:rFonts w:asciiTheme="minorHAnsi" w:hAnsiTheme="minorHAnsi" w:cs="Tahoma"/>
                <w:szCs w:val="20"/>
              </w:rPr>
            </w:pPr>
            <w:r w:rsidRPr="001178F3">
              <w:rPr>
                <w:rFonts w:asciiTheme="minorHAnsi" w:hAnsiTheme="minorHAnsi" w:cs="Tahoma"/>
                <w:szCs w:val="20"/>
              </w:rPr>
              <w:t>Region</w:t>
            </w:r>
          </w:p>
        </w:tc>
        <w:tc>
          <w:tcPr>
            <w:tcW w:w="4407" w:type="pct"/>
            <w:noWrap/>
          </w:tcPr>
          <w:p w:rsidR="00493A69" w:rsidRPr="001178F3" w:rsidRDefault="00493A69" w:rsidP="00BD3FA0">
            <w:pPr>
              <w:keepNext/>
              <w:spacing w:after="0"/>
              <w:cnfStyle w:val="100000000000" w:firstRow="1" w:lastRow="0" w:firstColumn="0" w:lastColumn="0" w:oddVBand="0" w:evenVBand="0" w:oddHBand="0" w:evenHBand="0" w:firstRowFirstColumn="0" w:firstRowLastColumn="0" w:lastRowFirstColumn="0" w:lastRowLastColumn="0"/>
              <w:rPr>
                <w:rFonts w:asciiTheme="minorHAnsi" w:hAnsiTheme="minorHAnsi" w:cs="Tahoma"/>
                <w:szCs w:val="20"/>
                <w:lang w:val="fr-FR"/>
              </w:rPr>
            </w:pPr>
            <w:r w:rsidRPr="001178F3">
              <w:rPr>
                <w:rFonts w:asciiTheme="minorHAnsi" w:hAnsiTheme="minorHAnsi" w:cs="Tahoma"/>
                <w:szCs w:val="20"/>
                <w:lang w:val="fr-FR"/>
              </w:rPr>
              <w:t>Proposal</w:t>
            </w:r>
          </w:p>
        </w:tc>
      </w:tr>
      <w:tr w:rsidR="00493A69" w:rsidRPr="00B75C6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593" w:type="pct"/>
            <w:noWrap/>
          </w:tcPr>
          <w:p w:rsidR="00493A69" w:rsidRPr="001178F3" w:rsidRDefault="00493A69" w:rsidP="00BD3FA0">
            <w:pPr>
              <w:keepNext/>
              <w:spacing w:after="0"/>
              <w:rPr>
                <w:rFonts w:asciiTheme="minorHAnsi" w:hAnsiTheme="minorHAnsi" w:cs="Tahoma"/>
                <w:szCs w:val="20"/>
              </w:rPr>
            </w:pPr>
            <w:r w:rsidRPr="001178F3">
              <w:rPr>
                <w:rFonts w:asciiTheme="minorHAnsi" w:hAnsiTheme="minorHAnsi" w:cs="Tahoma"/>
                <w:szCs w:val="20"/>
              </w:rPr>
              <w:t>Africa</w:t>
            </w:r>
          </w:p>
        </w:tc>
        <w:tc>
          <w:tcPr>
            <w:tcW w:w="4407" w:type="pct"/>
            <w:noWrap/>
          </w:tcPr>
          <w:p w:rsidR="00493A69" w:rsidRPr="001178F3" w:rsidRDefault="00493A69" w:rsidP="00BD3FA0">
            <w:pPr>
              <w:keepNext/>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ahoma"/>
                <w:szCs w:val="20"/>
                <w:lang w:val="en-US"/>
              </w:rPr>
            </w:pPr>
            <w:r w:rsidRPr="001178F3">
              <w:rPr>
                <w:rFonts w:asciiTheme="minorHAnsi" w:hAnsiTheme="minorHAnsi" w:cs="Tahoma"/>
                <w:szCs w:val="20"/>
                <w:lang w:val="en-US"/>
              </w:rPr>
              <w:t xml:space="preserve">System assessment, support to training with </w:t>
            </w:r>
            <w:r w:rsidR="0020324E" w:rsidRPr="001178F3">
              <w:rPr>
                <w:rFonts w:asciiTheme="minorHAnsi" w:hAnsiTheme="minorHAnsi" w:cs="Tahoma"/>
                <w:szCs w:val="20"/>
                <w:lang w:val="en-US"/>
              </w:rPr>
              <w:t>experts</w:t>
            </w:r>
            <w:r w:rsidRPr="001178F3">
              <w:rPr>
                <w:rFonts w:asciiTheme="minorHAnsi" w:hAnsiTheme="minorHAnsi" w:cs="Tahoma"/>
                <w:szCs w:val="20"/>
                <w:lang w:val="en-US"/>
              </w:rPr>
              <w:t xml:space="preserve">, exchange of experiences, </w:t>
            </w:r>
            <w:r w:rsidR="0020324E" w:rsidRPr="001178F3">
              <w:rPr>
                <w:rFonts w:asciiTheme="minorHAnsi" w:hAnsiTheme="minorHAnsi" w:cs="Tahoma"/>
                <w:szCs w:val="20"/>
                <w:lang w:val="en-US"/>
              </w:rPr>
              <w:t>strengthening</w:t>
            </w:r>
            <w:r w:rsidRPr="001178F3">
              <w:rPr>
                <w:rFonts w:asciiTheme="minorHAnsi" w:hAnsiTheme="minorHAnsi" w:cs="Tahoma"/>
                <w:szCs w:val="20"/>
                <w:lang w:val="en-US"/>
              </w:rPr>
              <w:t xml:space="preserve"> of the national CCPs </w:t>
            </w:r>
          </w:p>
        </w:tc>
      </w:tr>
      <w:tr w:rsidR="00493A69" w:rsidRPr="00B75C62">
        <w:trPr>
          <w:cnfStyle w:val="000000010000" w:firstRow="0" w:lastRow="0" w:firstColumn="0" w:lastColumn="0" w:oddVBand="0" w:evenVBand="0" w:oddHBand="0" w:evenHBand="1"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593" w:type="pct"/>
            <w:noWrap/>
          </w:tcPr>
          <w:p w:rsidR="00493A69" w:rsidRPr="001178F3" w:rsidRDefault="00493A69" w:rsidP="00BD3FA0">
            <w:pPr>
              <w:keepNext/>
              <w:spacing w:after="0"/>
              <w:rPr>
                <w:rFonts w:asciiTheme="minorHAnsi" w:hAnsiTheme="minorHAnsi" w:cs="Tahoma"/>
                <w:szCs w:val="20"/>
              </w:rPr>
            </w:pPr>
            <w:r w:rsidRPr="001178F3">
              <w:rPr>
                <w:rFonts w:asciiTheme="minorHAnsi" w:hAnsiTheme="minorHAnsi" w:cs="Tahoma"/>
                <w:szCs w:val="20"/>
              </w:rPr>
              <w:t>Africa</w:t>
            </w:r>
          </w:p>
        </w:tc>
        <w:tc>
          <w:tcPr>
            <w:tcW w:w="4407" w:type="pct"/>
            <w:noWrap/>
          </w:tcPr>
          <w:p w:rsidR="00493A69" w:rsidRPr="001178F3" w:rsidRDefault="00493A69" w:rsidP="00BD3FA0">
            <w:pPr>
              <w:keepNext/>
              <w:spacing w:after="0"/>
              <w:cnfStyle w:val="000000010000" w:firstRow="0" w:lastRow="0" w:firstColumn="0" w:lastColumn="0" w:oddVBand="0" w:evenVBand="0" w:oddHBand="0" w:evenHBand="1" w:firstRowFirstColumn="0" w:firstRowLastColumn="0" w:lastRowFirstColumn="0" w:lastRowLastColumn="0"/>
              <w:rPr>
                <w:rFonts w:asciiTheme="minorHAnsi" w:hAnsiTheme="minorHAnsi" w:cs="Tahoma"/>
                <w:szCs w:val="20"/>
                <w:lang w:val="en-US"/>
              </w:rPr>
            </w:pPr>
            <w:r w:rsidRPr="001178F3">
              <w:rPr>
                <w:rFonts w:asciiTheme="minorHAnsi" w:hAnsiTheme="minorHAnsi" w:cs="Tahoma"/>
                <w:szCs w:val="20"/>
                <w:lang w:val="en-US"/>
              </w:rPr>
              <w:t>More focus at sub-regional levels</w:t>
            </w:r>
          </w:p>
        </w:tc>
      </w:tr>
      <w:tr w:rsidR="00493A69" w:rsidRPr="00B75C6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593" w:type="pct"/>
            <w:noWrap/>
          </w:tcPr>
          <w:p w:rsidR="00493A69" w:rsidRPr="001178F3" w:rsidRDefault="00493A69" w:rsidP="00BD3FA0">
            <w:pPr>
              <w:keepNext/>
              <w:spacing w:after="0"/>
              <w:rPr>
                <w:rFonts w:asciiTheme="minorHAnsi" w:hAnsiTheme="minorHAnsi" w:cs="Tahoma"/>
                <w:szCs w:val="20"/>
              </w:rPr>
            </w:pPr>
            <w:r w:rsidRPr="001178F3">
              <w:rPr>
                <w:rFonts w:asciiTheme="minorHAnsi" w:hAnsiTheme="minorHAnsi" w:cs="Tahoma"/>
                <w:szCs w:val="20"/>
              </w:rPr>
              <w:t>SWP</w:t>
            </w:r>
          </w:p>
        </w:tc>
        <w:tc>
          <w:tcPr>
            <w:tcW w:w="4407" w:type="pct"/>
            <w:noWrap/>
          </w:tcPr>
          <w:p w:rsidR="00493A69" w:rsidRPr="001178F3" w:rsidRDefault="00493A69" w:rsidP="00BD3FA0">
            <w:pPr>
              <w:keepNext/>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ahoma"/>
                <w:szCs w:val="20"/>
                <w:lang w:val="en-US"/>
              </w:rPr>
            </w:pPr>
            <w:r w:rsidRPr="001178F3">
              <w:rPr>
                <w:rFonts w:asciiTheme="minorHAnsi" w:hAnsiTheme="minorHAnsi" w:cs="Tahoma"/>
                <w:szCs w:val="20"/>
                <w:lang w:val="en-US"/>
              </w:rPr>
              <w:t>Funding participation of participants in regional training workshops</w:t>
            </w:r>
          </w:p>
        </w:tc>
      </w:tr>
      <w:tr w:rsidR="00493A69" w:rsidRPr="00B75C62">
        <w:trPr>
          <w:cnfStyle w:val="000000010000" w:firstRow="0" w:lastRow="0" w:firstColumn="0" w:lastColumn="0" w:oddVBand="0" w:evenVBand="0" w:oddHBand="0" w:evenHBand="1"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593" w:type="pct"/>
            <w:noWrap/>
          </w:tcPr>
          <w:p w:rsidR="00493A69" w:rsidRPr="001178F3" w:rsidRDefault="00493A69" w:rsidP="00BD3FA0">
            <w:pPr>
              <w:keepNext/>
              <w:spacing w:after="0"/>
              <w:rPr>
                <w:rFonts w:asciiTheme="minorHAnsi" w:hAnsiTheme="minorHAnsi" w:cs="Tahoma"/>
                <w:szCs w:val="20"/>
              </w:rPr>
            </w:pPr>
            <w:r w:rsidRPr="001178F3">
              <w:rPr>
                <w:rFonts w:asciiTheme="minorHAnsi" w:hAnsiTheme="minorHAnsi" w:cs="Tahoma"/>
                <w:szCs w:val="20"/>
              </w:rPr>
              <w:t>SWP</w:t>
            </w:r>
          </w:p>
        </w:tc>
        <w:tc>
          <w:tcPr>
            <w:tcW w:w="4407" w:type="pct"/>
            <w:noWrap/>
          </w:tcPr>
          <w:p w:rsidR="00493A69" w:rsidRPr="001178F3" w:rsidRDefault="00493A69" w:rsidP="00BD3FA0">
            <w:pPr>
              <w:keepNext/>
              <w:spacing w:after="0"/>
              <w:cnfStyle w:val="000000010000" w:firstRow="0" w:lastRow="0" w:firstColumn="0" w:lastColumn="0" w:oddVBand="0" w:evenVBand="0" w:oddHBand="0" w:evenHBand="1" w:firstRowFirstColumn="0" w:firstRowLastColumn="0" w:lastRowFirstColumn="0" w:lastRowLastColumn="0"/>
              <w:rPr>
                <w:rFonts w:asciiTheme="minorHAnsi" w:hAnsiTheme="minorHAnsi" w:cs="Tahoma"/>
                <w:szCs w:val="20"/>
                <w:lang w:val="en-US"/>
              </w:rPr>
            </w:pPr>
            <w:r w:rsidRPr="001178F3">
              <w:rPr>
                <w:rFonts w:asciiTheme="minorHAnsi" w:hAnsiTheme="minorHAnsi" w:cs="Tahoma"/>
                <w:szCs w:val="20"/>
                <w:lang w:val="en-US"/>
              </w:rPr>
              <w:t>CTF plays a vital role in codex training and capacity building but there should be more specific trainings focused on writing country positions, responding to circular letters, etc.</w:t>
            </w:r>
          </w:p>
        </w:tc>
      </w:tr>
      <w:tr w:rsidR="00493A69" w:rsidRPr="00B75C6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593" w:type="pct"/>
            <w:noWrap/>
          </w:tcPr>
          <w:p w:rsidR="00493A69" w:rsidRPr="001178F3" w:rsidRDefault="00493A69" w:rsidP="00BD3FA0">
            <w:pPr>
              <w:keepNext/>
              <w:spacing w:after="0"/>
              <w:rPr>
                <w:rFonts w:asciiTheme="minorHAnsi" w:hAnsiTheme="minorHAnsi" w:cs="Tahoma"/>
                <w:szCs w:val="20"/>
              </w:rPr>
            </w:pPr>
            <w:r w:rsidRPr="001178F3">
              <w:rPr>
                <w:rFonts w:asciiTheme="minorHAnsi" w:hAnsiTheme="minorHAnsi" w:cs="Tahoma"/>
                <w:szCs w:val="20"/>
              </w:rPr>
              <w:t>North Africa</w:t>
            </w:r>
          </w:p>
        </w:tc>
        <w:tc>
          <w:tcPr>
            <w:tcW w:w="4407" w:type="pct"/>
            <w:noWrap/>
          </w:tcPr>
          <w:p w:rsidR="00493A69" w:rsidRPr="001178F3" w:rsidRDefault="00493A69" w:rsidP="00BD3FA0">
            <w:pPr>
              <w:keepNext/>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ahoma"/>
                <w:szCs w:val="20"/>
                <w:lang w:val="en-US"/>
              </w:rPr>
            </w:pPr>
            <w:r w:rsidRPr="001178F3">
              <w:rPr>
                <w:rFonts w:asciiTheme="minorHAnsi" w:hAnsiTheme="minorHAnsi" w:cs="Tahoma"/>
                <w:szCs w:val="20"/>
                <w:lang w:val="en-US"/>
              </w:rPr>
              <w:t>Continuous training for the CCPs</w:t>
            </w:r>
          </w:p>
        </w:tc>
      </w:tr>
      <w:tr w:rsidR="00493A69" w:rsidRPr="00B75C62">
        <w:trPr>
          <w:cnfStyle w:val="000000010000" w:firstRow="0" w:lastRow="0" w:firstColumn="0" w:lastColumn="0" w:oddVBand="0" w:evenVBand="0" w:oddHBand="0" w:evenHBand="1"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593" w:type="pct"/>
            <w:noWrap/>
          </w:tcPr>
          <w:p w:rsidR="00493A69" w:rsidRPr="001178F3" w:rsidRDefault="00493A69" w:rsidP="00BD3FA0">
            <w:pPr>
              <w:keepNext/>
              <w:spacing w:after="0"/>
              <w:rPr>
                <w:rFonts w:asciiTheme="minorHAnsi" w:hAnsiTheme="minorHAnsi" w:cs="Tahoma"/>
                <w:szCs w:val="20"/>
              </w:rPr>
            </w:pPr>
            <w:r w:rsidRPr="001178F3">
              <w:rPr>
                <w:rFonts w:asciiTheme="minorHAnsi" w:hAnsiTheme="minorHAnsi" w:cs="Tahoma"/>
                <w:szCs w:val="20"/>
              </w:rPr>
              <w:t>LAC</w:t>
            </w:r>
          </w:p>
        </w:tc>
        <w:tc>
          <w:tcPr>
            <w:tcW w:w="4407" w:type="pct"/>
            <w:noWrap/>
          </w:tcPr>
          <w:p w:rsidR="00493A69" w:rsidRPr="001178F3" w:rsidRDefault="00493A69" w:rsidP="00BD3FA0">
            <w:pPr>
              <w:keepNext/>
              <w:spacing w:after="0"/>
              <w:cnfStyle w:val="000000010000" w:firstRow="0" w:lastRow="0" w:firstColumn="0" w:lastColumn="0" w:oddVBand="0" w:evenVBand="0" w:oddHBand="0" w:evenHBand="1" w:firstRowFirstColumn="0" w:firstRowLastColumn="0" w:lastRowFirstColumn="0" w:lastRowLastColumn="0"/>
              <w:rPr>
                <w:rFonts w:asciiTheme="minorHAnsi" w:hAnsiTheme="minorHAnsi" w:cs="Tahoma"/>
                <w:szCs w:val="20"/>
                <w:lang w:val="en-US"/>
              </w:rPr>
            </w:pPr>
            <w:r w:rsidRPr="001178F3">
              <w:rPr>
                <w:rFonts w:asciiTheme="minorHAnsi" w:hAnsiTheme="minorHAnsi" w:cs="Tahoma"/>
                <w:szCs w:val="20"/>
                <w:lang w:val="en-US"/>
              </w:rPr>
              <w:t xml:space="preserve">The Trust Fund should be exclusively for participating in Codex meetings. </w:t>
            </w:r>
          </w:p>
        </w:tc>
      </w:tr>
      <w:tr w:rsidR="00493A69" w:rsidRPr="00B75C6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593" w:type="pct"/>
            <w:noWrap/>
          </w:tcPr>
          <w:p w:rsidR="00493A69" w:rsidRPr="001178F3" w:rsidRDefault="00493A69" w:rsidP="00BD3FA0">
            <w:pPr>
              <w:keepNext/>
              <w:spacing w:after="0"/>
              <w:rPr>
                <w:rFonts w:asciiTheme="minorHAnsi" w:hAnsiTheme="minorHAnsi" w:cs="Tahoma"/>
                <w:szCs w:val="20"/>
              </w:rPr>
            </w:pPr>
            <w:r w:rsidRPr="001178F3">
              <w:rPr>
                <w:rFonts w:asciiTheme="minorHAnsi" w:hAnsiTheme="minorHAnsi" w:cs="Tahoma"/>
                <w:szCs w:val="20"/>
              </w:rPr>
              <w:t>Carribbean</w:t>
            </w:r>
          </w:p>
        </w:tc>
        <w:tc>
          <w:tcPr>
            <w:tcW w:w="4407" w:type="pct"/>
            <w:noWrap/>
          </w:tcPr>
          <w:p w:rsidR="00493A69" w:rsidRPr="001178F3" w:rsidRDefault="00493A69" w:rsidP="00BD3FA0">
            <w:pPr>
              <w:keepNext/>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ahoma"/>
                <w:szCs w:val="20"/>
                <w:lang w:val="en-US"/>
              </w:rPr>
            </w:pPr>
            <w:r w:rsidRPr="001178F3">
              <w:rPr>
                <w:rFonts w:asciiTheme="minorHAnsi" w:hAnsiTheme="minorHAnsi" w:cs="Tahoma"/>
                <w:szCs w:val="20"/>
                <w:lang w:val="en-US"/>
              </w:rPr>
              <w:t>The Codex Trust Fund should consider offering financial and/or technical assistance to developing countries that need to conduct research, in order to provide scientific evidence in support of their draft proposals and/or National Positions.</w:t>
            </w:r>
          </w:p>
        </w:tc>
      </w:tr>
      <w:tr w:rsidR="00493A69" w:rsidRPr="00B75C62">
        <w:trPr>
          <w:cnfStyle w:val="000000010000" w:firstRow="0" w:lastRow="0" w:firstColumn="0" w:lastColumn="0" w:oddVBand="0" w:evenVBand="0" w:oddHBand="0" w:evenHBand="1"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593" w:type="pct"/>
            <w:noWrap/>
          </w:tcPr>
          <w:p w:rsidR="00493A69" w:rsidRPr="001178F3" w:rsidRDefault="00493A69" w:rsidP="00BD3FA0">
            <w:pPr>
              <w:keepNext/>
              <w:spacing w:after="0"/>
              <w:rPr>
                <w:rFonts w:asciiTheme="minorHAnsi" w:hAnsiTheme="minorHAnsi" w:cs="Tahoma"/>
                <w:szCs w:val="20"/>
              </w:rPr>
            </w:pPr>
            <w:r w:rsidRPr="001178F3">
              <w:rPr>
                <w:rFonts w:asciiTheme="minorHAnsi" w:hAnsiTheme="minorHAnsi" w:cs="Tahoma"/>
                <w:szCs w:val="20"/>
              </w:rPr>
              <w:t>Africa</w:t>
            </w:r>
          </w:p>
        </w:tc>
        <w:tc>
          <w:tcPr>
            <w:tcW w:w="4407" w:type="pct"/>
            <w:noWrap/>
          </w:tcPr>
          <w:p w:rsidR="00493A69" w:rsidRPr="001178F3" w:rsidRDefault="00493A69" w:rsidP="00BD3FA0">
            <w:pPr>
              <w:keepNext/>
              <w:spacing w:after="0"/>
              <w:cnfStyle w:val="000000010000" w:firstRow="0" w:lastRow="0" w:firstColumn="0" w:lastColumn="0" w:oddVBand="0" w:evenVBand="0" w:oddHBand="0" w:evenHBand="1" w:firstRowFirstColumn="0" w:firstRowLastColumn="0" w:lastRowFirstColumn="0" w:lastRowLastColumn="0"/>
              <w:rPr>
                <w:rFonts w:asciiTheme="minorHAnsi" w:hAnsiTheme="minorHAnsi" w:cs="Tahoma"/>
                <w:szCs w:val="20"/>
                <w:lang w:val="en-US"/>
              </w:rPr>
            </w:pPr>
            <w:r w:rsidRPr="001178F3">
              <w:rPr>
                <w:rFonts w:asciiTheme="minorHAnsi" w:hAnsiTheme="minorHAnsi" w:cs="Tahoma"/>
                <w:szCs w:val="20"/>
                <w:lang w:val="en-US"/>
              </w:rPr>
              <w:t>1. The codex trust fund activities need to be in the website to enable us respond to the question above appropriately.  2.</w:t>
            </w:r>
            <w:r w:rsidR="0020324E">
              <w:rPr>
                <w:rFonts w:asciiTheme="minorHAnsi" w:hAnsiTheme="minorHAnsi" w:cs="Tahoma"/>
                <w:szCs w:val="20"/>
                <w:lang w:val="en-US"/>
              </w:rPr>
              <w:t xml:space="preserve"> </w:t>
            </w:r>
            <w:r w:rsidRPr="001178F3">
              <w:rPr>
                <w:rFonts w:asciiTheme="minorHAnsi" w:hAnsiTheme="minorHAnsi" w:cs="Tahoma"/>
                <w:szCs w:val="20"/>
                <w:lang w:val="en-US"/>
              </w:rPr>
              <w:t xml:space="preserve">For Capacity building the trained developing countries can be used to train their </w:t>
            </w:r>
            <w:r w:rsidR="0020324E" w:rsidRPr="001178F3">
              <w:rPr>
                <w:rFonts w:asciiTheme="minorHAnsi" w:hAnsiTheme="minorHAnsi" w:cs="Tahoma"/>
                <w:szCs w:val="20"/>
                <w:lang w:val="en-US"/>
              </w:rPr>
              <w:t>neighboring</w:t>
            </w:r>
            <w:r w:rsidRPr="001178F3">
              <w:rPr>
                <w:rFonts w:asciiTheme="minorHAnsi" w:hAnsiTheme="minorHAnsi" w:cs="Tahoma"/>
                <w:szCs w:val="20"/>
                <w:lang w:val="en-US"/>
              </w:rPr>
              <w:t xml:space="preserve"> countries to save some funds on long distances</w:t>
            </w:r>
          </w:p>
        </w:tc>
      </w:tr>
      <w:tr w:rsidR="00493A69" w:rsidRPr="00B75C6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593" w:type="pct"/>
            <w:noWrap/>
          </w:tcPr>
          <w:p w:rsidR="00493A69" w:rsidRPr="001178F3" w:rsidRDefault="00493A69" w:rsidP="00BD3FA0">
            <w:pPr>
              <w:keepNext/>
              <w:spacing w:after="0"/>
              <w:rPr>
                <w:rFonts w:asciiTheme="minorHAnsi" w:hAnsiTheme="minorHAnsi" w:cs="Tahoma"/>
                <w:szCs w:val="20"/>
              </w:rPr>
            </w:pPr>
            <w:r w:rsidRPr="001178F3">
              <w:rPr>
                <w:rFonts w:asciiTheme="minorHAnsi" w:hAnsiTheme="minorHAnsi" w:cs="Tahoma"/>
                <w:szCs w:val="20"/>
              </w:rPr>
              <w:t>Asia</w:t>
            </w:r>
          </w:p>
        </w:tc>
        <w:tc>
          <w:tcPr>
            <w:tcW w:w="4407" w:type="pct"/>
            <w:noWrap/>
          </w:tcPr>
          <w:p w:rsidR="00493A69" w:rsidRPr="001178F3" w:rsidRDefault="00493A69" w:rsidP="00BD3FA0">
            <w:pPr>
              <w:keepNext/>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ahoma"/>
                <w:szCs w:val="20"/>
                <w:lang w:val="en-US"/>
              </w:rPr>
            </w:pPr>
            <w:r w:rsidRPr="001178F3">
              <w:rPr>
                <w:rFonts w:asciiTheme="minorHAnsi" w:hAnsiTheme="minorHAnsi" w:cs="Tahoma"/>
                <w:szCs w:val="20"/>
                <w:lang w:val="en-US"/>
              </w:rPr>
              <w:t>Organize the New E-Learning course on Codex, entitled "Enhancing participation in Codex activities.</w:t>
            </w:r>
          </w:p>
        </w:tc>
      </w:tr>
      <w:tr w:rsidR="00493A69" w:rsidRPr="00854105">
        <w:trPr>
          <w:cnfStyle w:val="000000010000" w:firstRow="0" w:lastRow="0" w:firstColumn="0" w:lastColumn="0" w:oddVBand="0" w:evenVBand="0" w:oddHBand="0" w:evenHBand="1"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593" w:type="pct"/>
            <w:noWrap/>
          </w:tcPr>
          <w:p w:rsidR="00493A69" w:rsidRPr="001178F3" w:rsidRDefault="00493A69" w:rsidP="00BD3FA0">
            <w:pPr>
              <w:keepNext/>
              <w:spacing w:after="0"/>
              <w:rPr>
                <w:rFonts w:asciiTheme="minorHAnsi" w:hAnsiTheme="minorHAnsi" w:cs="Tahoma"/>
                <w:szCs w:val="20"/>
              </w:rPr>
            </w:pPr>
            <w:r w:rsidRPr="001178F3">
              <w:rPr>
                <w:rFonts w:asciiTheme="minorHAnsi" w:hAnsiTheme="minorHAnsi" w:cs="Tahoma"/>
                <w:szCs w:val="20"/>
              </w:rPr>
              <w:t>Asia</w:t>
            </w:r>
          </w:p>
        </w:tc>
        <w:tc>
          <w:tcPr>
            <w:tcW w:w="4407" w:type="pct"/>
            <w:noWrap/>
          </w:tcPr>
          <w:p w:rsidR="00493A69" w:rsidRPr="001178F3" w:rsidRDefault="00493A69" w:rsidP="00BD3FA0">
            <w:pPr>
              <w:keepNext/>
              <w:spacing w:after="0"/>
              <w:cnfStyle w:val="000000010000" w:firstRow="0" w:lastRow="0" w:firstColumn="0" w:lastColumn="0" w:oddVBand="0" w:evenVBand="0" w:oddHBand="0" w:evenHBand="1" w:firstRowFirstColumn="0" w:firstRowLastColumn="0" w:lastRowFirstColumn="0" w:lastRowLastColumn="0"/>
              <w:rPr>
                <w:rFonts w:asciiTheme="minorHAnsi" w:hAnsiTheme="minorHAnsi" w:cs="Tahoma"/>
                <w:szCs w:val="20"/>
              </w:rPr>
            </w:pPr>
            <w:r w:rsidRPr="001178F3">
              <w:rPr>
                <w:rFonts w:asciiTheme="minorHAnsi" w:hAnsiTheme="minorHAnsi" w:cs="Tahoma"/>
                <w:szCs w:val="20"/>
              </w:rPr>
              <w:t>Facilitator and fund provider.</w:t>
            </w:r>
          </w:p>
        </w:tc>
      </w:tr>
      <w:tr w:rsidR="00493A69" w:rsidRPr="00B75C6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593" w:type="pct"/>
            <w:noWrap/>
          </w:tcPr>
          <w:p w:rsidR="00493A69" w:rsidRPr="001178F3" w:rsidRDefault="00493A69" w:rsidP="00BD3FA0">
            <w:pPr>
              <w:keepNext/>
              <w:spacing w:after="0"/>
              <w:rPr>
                <w:rFonts w:asciiTheme="minorHAnsi" w:hAnsiTheme="minorHAnsi" w:cs="Tahoma"/>
                <w:szCs w:val="20"/>
              </w:rPr>
            </w:pPr>
            <w:r w:rsidRPr="001178F3">
              <w:rPr>
                <w:rFonts w:asciiTheme="minorHAnsi" w:hAnsiTheme="minorHAnsi" w:cs="Tahoma"/>
                <w:szCs w:val="20"/>
              </w:rPr>
              <w:t>Africa</w:t>
            </w:r>
          </w:p>
        </w:tc>
        <w:tc>
          <w:tcPr>
            <w:tcW w:w="4407" w:type="pct"/>
            <w:noWrap/>
          </w:tcPr>
          <w:p w:rsidR="00493A69" w:rsidRPr="001178F3" w:rsidRDefault="00493A69" w:rsidP="00BD3FA0">
            <w:pPr>
              <w:keepNext/>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ahoma"/>
                <w:szCs w:val="20"/>
                <w:lang w:val="en-US"/>
              </w:rPr>
            </w:pPr>
            <w:r w:rsidRPr="001178F3">
              <w:rPr>
                <w:rFonts w:asciiTheme="minorHAnsi" w:hAnsiTheme="minorHAnsi" w:cs="Tahoma"/>
                <w:szCs w:val="20"/>
                <w:lang w:val="en-US"/>
              </w:rPr>
              <w:t>Awareness raising is an important step towards training and capacity building.</w:t>
            </w:r>
          </w:p>
        </w:tc>
      </w:tr>
    </w:tbl>
    <w:p w:rsidR="00493A69" w:rsidRDefault="00493A69" w:rsidP="00493A69">
      <w:pPr>
        <w:spacing w:after="0"/>
        <w:rPr>
          <w:rFonts w:eastAsia="SimSun"/>
          <w:sz w:val="22"/>
          <w:szCs w:val="22"/>
          <w:lang w:val="en-US"/>
        </w:rPr>
      </w:pPr>
    </w:p>
    <w:p w:rsidR="00D85203" w:rsidRDefault="00493A69">
      <w:pPr>
        <w:rPr>
          <w:lang w:val="en-US"/>
        </w:rPr>
      </w:pPr>
      <w:r>
        <w:rPr>
          <w:lang w:val="en-US"/>
        </w:rPr>
        <w:t>The interviewed donor representatives are quite firm in their opinion that the CTF should continue to focus on participation (as expressed by the three objectives) and not engage in capacity building activities, for which there are other providers, in particular FAO and WHO. At the same time, some donors want to see more work done on making participation effective</w:t>
      </w:r>
      <w:r w:rsidR="00D53335">
        <w:rPr>
          <w:lang w:val="en-US"/>
        </w:rPr>
        <w:t xml:space="preserve"> in line with the need expressed above to address objectives 2 and 3</w:t>
      </w:r>
      <w:r>
        <w:rPr>
          <w:lang w:val="en-US"/>
        </w:rPr>
        <w:t xml:space="preserve">. Overall, donors seem to be rather supportive of the activities currently undertaken by the CTF Secretariat, in terms of training activities organized back-to-back with Codex meetings and acting as a facilitator between countries and providers of capacity building such as FAO and WHO. Three donors </w:t>
      </w:r>
      <w:r w:rsidR="0020324E">
        <w:rPr>
          <w:lang w:val="en-US"/>
        </w:rPr>
        <w:t xml:space="preserve">independently </w:t>
      </w:r>
      <w:r>
        <w:rPr>
          <w:lang w:val="en-US"/>
        </w:rPr>
        <w:t xml:space="preserve">suggest that a mentoring approach may be tested, whereby developed countries “adopt” developing countries. The EU mentions that </w:t>
      </w:r>
      <w:r w:rsidR="00A712F4">
        <w:rPr>
          <w:lang w:val="en-US"/>
        </w:rPr>
        <w:t xml:space="preserve">a mentoring programme </w:t>
      </w:r>
      <w:r>
        <w:rPr>
          <w:lang w:val="en-US"/>
        </w:rPr>
        <w:t xml:space="preserve">is already in place in the SPS Committee, in which the Commission mentors Senegal and Kenya. It can also be mentioned that the Swedish National Board of Trade is testing this approach with eight African countries in relation to the WTO TBT Committee. </w:t>
      </w:r>
    </w:p>
    <w:p w:rsidR="00D85203" w:rsidRDefault="00A712F4">
      <w:pPr>
        <w:rPr>
          <w:lang w:val="en-US"/>
        </w:rPr>
      </w:pPr>
      <w:r>
        <w:rPr>
          <w:lang w:val="en-US"/>
        </w:rPr>
        <w:t xml:space="preserve">The most important partners for the CTF as regards capacity building activities are FAO and WHO. The former has extensive activities that relates to food safety and Codex, while the WHO regional and country offices are involved to various degree depending on the </w:t>
      </w:r>
      <w:r w:rsidR="00FF46A2">
        <w:rPr>
          <w:lang w:val="en-US"/>
        </w:rPr>
        <w:t xml:space="preserve">region and the </w:t>
      </w:r>
      <w:r>
        <w:rPr>
          <w:lang w:val="en-US"/>
        </w:rPr>
        <w:t xml:space="preserve">country. </w:t>
      </w:r>
      <w:r w:rsidR="00FF46A2">
        <w:rPr>
          <w:lang w:val="en-US"/>
        </w:rPr>
        <w:t xml:space="preserve">The cooperation between the CTF Secretariat and FAO/WHO is discussed further in </w:t>
      </w:r>
      <w:r w:rsidR="00A84844">
        <w:rPr>
          <w:lang w:val="en-US"/>
        </w:rPr>
        <w:t>Chapter</w:t>
      </w:r>
      <w:r w:rsidR="00493A69">
        <w:rPr>
          <w:lang w:val="en-US"/>
        </w:rPr>
        <w:t xml:space="preserve"> 5.</w:t>
      </w:r>
    </w:p>
    <w:p w:rsidR="00D85203" w:rsidRDefault="00493A69">
      <w:pPr>
        <w:rPr>
          <w:highlight w:val="yellow"/>
          <w:lang w:val="en-GB"/>
        </w:rPr>
      </w:pPr>
      <w:r w:rsidRPr="004C76FE">
        <w:rPr>
          <w:lang w:val="en-GB"/>
        </w:rPr>
        <w:lastRenderedPageBreak/>
        <w:t xml:space="preserve">Donors </w:t>
      </w:r>
      <w:r>
        <w:rPr>
          <w:lang w:val="en-GB"/>
        </w:rPr>
        <w:t xml:space="preserve">also emphasise the important relationship between the CTF and the </w:t>
      </w:r>
      <w:r w:rsidR="001F0172" w:rsidRPr="001F0172">
        <w:rPr>
          <w:lang w:val="en-GB"/>
        </w:rPr>
        <w:t>Standards and Trade Development Facility (STDF)</w:t>
      </w:r>
      <w:r>
        <w:rPr>
          <w:lang w:val="en-GB"/>
        </w:rPr>
        <w:t xml:space="preserve">. </w:t>
      </w:r>
      <w:r w:rsidR="00332D84" w:rsidRPr="00332D84">
        <w:rPr>
          <w:lang w:val="en-GB"/>
        </w:rPr>
        <w:t xml:space="preserve">The STDF </w:t>
      </w:r>
      <w:r w:rsidR="001F0172">
        <w:rPr>
          <w:lang w:val="en-GB"/>
        </w:rPr>
        <w:t>is a multi-agency/donor initiative that aims</w:t>
      </w:r>
      <w:r w:rsidR="00332D84" w:rsidRPr="00332D84">
        <w:rPr>
          <w:lang w:val="en-GB"/>
        </w:rPr>
        <w:t xml:space="preserve"> to promote coordination </w:t>
      </w:r>
      <w:r w:rsidR="00332D84">
        <w:rPr>
          <w:lang w:val="en-GB"/>
        </w:rPr>
        <w:t>in</w:t>
      </w:r>
      <w:r w:rsidR="001F0172" w:rsidRPr="001F0172">
        <w:rPr>
          <w:lang w:val="en-GB"/>
        </w:rPr>
        <w:t xml:space="preserve"> the provision of SPS-related assistance, </w:t>
      </w:r>
      <w:r w:rsidR="001F0172">
        <w:rPr>
          <w:lang w:val="en-GB"/>
        </w:rPr>
        <w:t>while at the same time</w:t>
      </w:r>
      <w:r w:rsidR="001F0172" w:rsidRPr="001F0172">
        <w:rPr>
          <w:lang w:val="en-GB"/>
        </w:rPr>
        <w:t xml:space="preserve"> mobilizing resources </w:t>
      </w:r>
      <w:r w:rsidR="001F0172">
        <w:rPr>
          <w:lang w:val="en-GB"/>
        </w:rPr>
        <w:t xml:space="preserve">and supporting projects </w:t>
      </w:r>
      <w:r w:rsidR="001F0172" w:rsidRPr="001F0172">
        <w:rPr>
          <w:lang w:val="en-GB"/>
        </w:rPr>
        <w:t>to assist developing countries enhance their</w:t>
      </w:r>
      <w:r w:rsidR="001F0172">
        <w:rPr>
          <w:lang w:val="en-GB"/>
        </w:rPr>
        <w:t xml:space="preserve"> capacity to meet SPS standards.</w:t>
      </w:r>
      <w:r w:rsidR="001F0172">
        <w:rPr>
          <w:rStyle w:val="FootnoteReference"/>
          <w:lang w:val="en-GB"/>
        </w:rPr>
        <w:footnoteReference w:id="13"/>
      </w:r>
      <w:r w:rsidR="001F0172">
        <w:rPr>
          <w:lang w:val="en-GB"/>
        </w:rPr>
        <w:t xml:space="preserve"> </w:t>
      </w:r>
      <w:r>
        <w:rPr>
          <w:lang w:val="en-GB"/>
        </w:rPr>
        <w:t xml:space="preserve">FAO, WHO and the Codex Secretariat participate in the STDF. The </w:t>
      </w:r>
      <w:r w:rsidR="001F0172">
        <w:rPr>
          <w:lang w:val="en-US"/>
        </w:rPr>
        <w:t>Department of Food Safety</w:t>
      </w:r>
      <w:r w:rsidR="0020324E">
        <w:rPr>
          <w:lang w:val="en-US"/>
        </w:rPr>
        <w:t xml:space="preserve"> and</w:t>
      </w:r>
      <w:r w:rsidR="001F0172">
        <w:rPr>
          <w:lang w:val="en-US"/>
        </w:rPr>
        <w:t xml:space="preserve"> Zoonoses (FOS), where the </w:t>
      </w:r>
      <w:r>
        <w:rPr>
          <w:lang w:val="en-GB"/>
        </w:rPr>
        <w:t>CTF Secretariat is located</w:t>
      </w:r>
      <w:r w:rsidR="001F0172">
        <w:rPr>
          <w:lang w:val="en-GB"/>
        </w:rPr>
        <w:t>,</w:t>
      </w:r>
      <w:r>
        <w:rPr>
          <w:lang w:val="en-GB"/>
        </w:rPr>
        <w:t xml:space="preserve"> represents WHO in the STDF. There is a difference in focus between STDF and the CTF; </w:t>
      </w:r>
      <w:r w:rsidRPr="0048397B">
        <w:rPr>
          <w:lang w:val="en-GB"/>
        </w:rPr>
        <w:t xml:space="preserve">STDF supports implementation of standards, while CTF supports </w:t>
      </w:r>
      <w:r w:rsidR="0020324E">
        <w:rPr>
          <w:lang w:val="en-GB"/>
        </w:rPr>
        <w:t xml:space="preserve">enhanced participation in the </w:t>
      </w:r>
      <w:r w:rsidRPr="0048397B">
        <w:rPr>
          <w:lang w:val="en-GB"/>
        </w:rPr>
        <w:t>development of standards.</w:t>
      </w:r>
      <w:r>
        <w:rPr>
          <w:lang w:val="en-GB"/>
        </w:rPr>
        <w:t xml:space="preserve"> </w:t>
      </w:r>
      <w:r w:rsidRPr="0048397B">
        <w:rPr>
          <w:lang w:val="en-GB"/>
        </w:rPr>
        <w:t>STDF would not fund participation or scientific resea</w:t>
      </w:r>
      <w:r>
        <w:rPr>
          <w:lang w:val="en-GB"/>
        </w:rPr>
        <w:t>rch for the development of stand</w:t>
      </w:r>
      <w:r w:rsidRPr="0048397B">
        <w:rPr>
          <w:lang w:val="en-GB"/>
        </w:rPr>
        <w:t xml:space="preserve">ards, </w:t>
      </w:r>
      <w:r>
        <w:rPr>
          <w:lang w:val="en-GB"/>
        </w:rPr>
        <w:t>infrastructure or</w:t>
      </w:r>
      <w:r w:rsidRPr="0048397B">
        <w:rPr>
          <w:lang w:val="en-GB"/>
        </w:rPr>
        <w:t xml:space="preserve"> equipment.</w:t>
      </w:r>
      <w:r>
        <w:rPr>
          <w:lang w:val="en-GB"/>
        </w:rPr>
        <w:t xml:space="preserve"> STDF also have a wider mandate that cover the whole SPS area. STDF is already involved in Codex activities, e.g. the STDF Secretariat participates in some regional Codex activities and is discussing with the Codex Secretariat to participate in CCAFRICA in 2010 and the facility supports </w:t>
      </w:r>
      <w:r w:rsidRPr="0048397B">
        <w:rPr>
          <w:lang w:val="en-GB"/>
        </w:rPr>
        <w:t>Codex structures as part of support to food control</w:t>
      </w:r>
      <w:r>
        <w:rPr>
          <w:lang w:val="en-GB"/>
        </w:rPr>
        <w:t xml:space="preserve">. </w:t>
      </w:r>
      <w:r w:rsidRPr="0048397B">
        <w:rPr>
          <w:lang w:val="en-GB"/>
        </w:rPr>
        <w:t>STDF reports on its activities</w:t>
      </w:r>
      <w:r>
        <w:rPr>
          <w:lang w:val="en-GB"/>
        </w:rPr>
        <w:t xml:space="preserve"> to CAC each year and is trying to reach out to </w:t>
      </w:r>
      <w:r w:rsidRPr="0048397B">
        <w:rPr>
          <w:lang w:val="en-GB"/>
        </w:rPr>
        <w:t xml:space="preserve">CCPs </w:t>
      </w:r>
      <w:r>
        <w:rPr>
          <w:lang w:val="en-GB"/>
        </w:rPr>
        <w:t>through its</w:t>
      </w:r>
      <w:r w:rsidRPr="0048397B">
        <w:rPr>
          <w:lang w:val="en-GB"/>
        </w:rPr>
        <w:t xml:space="preserve"> newsletters.</w:t>
      </w:r>
    </w:p>
    <w:p w:rsidR="00D85203" w:rsidRDefault="00493A69">
      <w:pPr>
        <w:rPr>
          <w:lang w:val="en-GB"/>
        </w:rPr>
      </w:pPr>
      <w:r>
        <w:rPr>
          <w:lang w:val="en-GB"/>
        </w:rPr>
        <w:t xml:space="preserve">Considering the many institutional links and common interest between the two facilities, it may come as a surprise that the </w:t>
      </w:r>
      <w:r w:rsidR="0020324E">
        <w:rPr>
          <w:lang w:val="en-GB"/>
        </w:rPr>
        <w:t xml:space="preserve">substantive </w:t>
      </w:r>
      <w:r>
        <w:rPr>
          <w:lang w:val="en-GB"/>
        </w:rPr>
        <w:t xml:space="preserve">interaction appears to have been very limited. </w:t>
      </w:r>
      <w:r w:rsidR="0020324E">
        <w:rPr>
          <w:lang w:val="en-GB"/>
        </w:rPr>
        <w:t>There may have been less need for collaboration when the CTF mainly focused on enhancing participation, but if the CTF is to scale up</w:t>
      </w:r>
      <w:r w:rsidR="00BF07E2">
        <w:rPr>
          <w:lang w:val="en-GB"/>
        </w:rPr>
        <w:t xml:space="preserve"> its efforts</w:t>
      </w:r>
      <w:r w:rsidR="0020324E">
        <w:rPr>
          <w:lang w:val="en-GB"/>
        </w:rPr>
        <w:t xml:space="preserve"> to address</w:t>
      </w:r>
      <w:r w:rsidR="00BF07E2">
        <w:rPr>
          <w:lang w:val="en-GB"/>
        </w:rPr>
        <w:t xml:space="preserve"> Outputs 2 and 3 the STDF seems a very suitable partner. </w:t>
      </w:r>
      <w:r w:rsidR="00DD66AB">
        <w:rPr>
          <w:lang w:val="en-GB"/>
        </w:rPr>
        <w:t xml:space="preserve">Previous external reviews of the CTF did not focus explicitly on this issue. </w:t>
      </w:r>
      <w:r>
        <w:rPr>
          <w:lang w:val="en-GB"/>
        </w:rPr>
        <w:t xml:space="preserve">Recently, however, and </w:t>
      </w:r>
      <w:r w:rsidR="00DD66AB">
        <w:rPr>
          <w:lang w:val="en-GB"/>
        </w:rPr>
        <w:t xml:space="preserve">seemingly </w:t>
      </w:r>
      <w:r>
        <w:rPr>
          <w:lang w:val="en-GB"/>
        </w:rPr>
        <w:t>following the enhancement of capacity of the CTF Secretariat, initial contacts have been taken</w:t>
      </w:r>
      <w:r w:rsidR="00DD66AB">
        <w:rPr>
          <w:lang w:val="en-GB"/>
        </w:rPr>
        <w:t xml:space="preserve"> </w:t>
      </w:r>
      <w:r w:rsidR="00BF07E2">
        <w:rPr>
          <w:lang w:val="en-GB"/>
        </w:rPr>
        <w:t xml:space="preserve">directly </w:t>
      </w:r>
      <w:r w:rsidR="00DD66AB">
        <w:rPr>
          <w:lang w:val="en-GB"/>
        </w:rPr>
        <w:t>between the two Secretariats</w:t>
      </w:r>
      <w:r>
        <w:rPr>
          <w:lang w:val="en-GB"/>
        </w:rPr>
        <w:t xml:space="preserve">. The exact relationship between the STDF and the CTF will need to evolve through recurrent discussions and interaction between the involved parties. One possibility could be for the CTF Secretariat </w:t>
      </w:r>
      <w:r w:rsidR="00BF07E2">
        <w:rPr>
          <w:lang w:val="en-GB"/>
        </w:rPr>
        <w:t xml:space="preserve">itself </w:t>
      </w:r>
      <w:r>
        <w:rPr>
          <w:lang w:val="en-GB"/>
        </w:rPr>
        <w:t>to take</w:t>
      </w:r>
      <w:r w:rsidR="00BF07E2">
        <w:rPr>
          <w:lang w:val="en-GB"/>
        </w:rPr>
        <w:t xml:space="preserve"> more</w:t>
      </w:r>
      <w:r>
        <w:rPr>
          <w:lang w:val="en-GB"/>
        </w:rPr>
        <w:t xml:space="preserve"> direct part in the STDF working group</w:t>
      </w:r>
      <w:r w:rsidR="00BF07E2">
        <w:rPr>
          <w:lang w:val="en-GB"/>
        </w:rPr>
        <w:t xml:space="preserve"> together with colleagues in FOS</w:t>
      </w:r>
      <w:r>
        <w:rPr>
          <w:lang w:val="en-GB"/>
        </w:rPr>
        <w:t xml:space="preserve">. The two facilities could also cooperate in information and training activities. There may also be potential collaboration in project development, based on requests and needs expressed within the framework of the CTF. The coordination activities of the STDF, e.g. in relation to needs assessments and indicators, may also </w:t>
      </w:r>
      <w:r w:rsidR="00DD66AB">
        <w:rPr>
          <w:lang w:val="en-GB"/>
        </w:rPr>
        <w:t xml:space="preserve">be </w:t>
      </w:r>
      <w:r>
        <w:rPr>
          <w:lang w:val="en-GB"/>
        </w:rPr>
        <w:t xml:space="preserve">of interest to the CTF. </w:t>
      </w:r>
      <w:r w:rsidR="00DD66AB">
        <w:rPr>
          <w:lang w:val="en-GB"/>
        </w:rPr>
        <w:t>At the same time cooperation goes both ways; e.g. it has been suggested that the</w:t>
      </w:r>
      <w:r>
        <w:rPr>
          <w:lang w:val="en-GB"/>
        </w:rPr>
        <w:t xml:space="preserve"> WHO </w:t>
      </w:r>
      <w:r w:rsidR="00DD66AB">
        <w:rPr>
          <w:lang w:val="en-GB"/>
        </w:rPr>
        <w:t xml:space="preserve">could </w:t>
      </w:r>
      <w:r>
        <w:rPr>
          <w:lang w:val="en-GB"/>
        </w:rPr>
        <w:t>increase its level of activity in STDF, e.g. through presentation of its standards related activities and by sending STDF project proposals to its country offices for comment.</w:t>
      </w:r>
      <w:r w:rsidR="00863EBF">
        <w:rPr>
          <w:rStyle w:val="FootnoteReference"/>
          <w:lang w:val="en-GB"/>
        </w:rPr>
        <w:footnoteReference w:id="14"/>
      </w:r>
    </w:p>
    <w:p w:rsidR="00D85203" w:rsidRDefault="0091454E">
      <w:pPr>
        <w:rPr>
          <w:lang w:val="en-GB"/>
        </w:rPr>
      </w:pPr>
      <w:r>
        <w:rPr>
          <w:lang w:val="en-GB"/>
        </w:rPr>
        <w:t xml:space="preserve">The next priority would be to engage with programmes that are directly involved in supporting preparation of Codex meetings and funding participation. </w:t>
      </w:r>
      <w:r w:rsidR="00620D0E">
        <w:rPr>
          <w:lang w:val="en-GB"/>
        </w:rPr>
        <w:t xml:space="preserve">Again some initial steps seem to have been taken by the CTF Secretariat. </w:t>
      </w:r>
      <w:r>
        <w:rPr>
          <w:lang w:val="en-GB"/>
        </w:rPr>
        <w:t xml:space="preserve">Three </w:t>
      </w:r>
      <w:r w:rsidR="00620D0E">
        <w:rPr>
          <w:lang w:val="en-GB"/>
        </w:rPr>
        <w:t>relevant</w:t>
      </w:r>
      <w:r>
        <w:rPr>
          <w:lang w:val="en-GB"/>
        </w:rPr>
        <w:t xml:space="preserve"> programmes have been identified during the evaluation, </w:t>
      </w:r>
      <w:r w:rsidR="00493A69">
        <w:rPr>
          <w:lang w:val="en-GB"/>
        </w:rPr>
        <w:t xml:space="preserve">hosted by </w:t>
      </w:r>
      <w:r w:rsidR="00493A69" w:rsidRPr="006B3E85">
        <w:rPr>
          <w:lang w:val="en-GB"/>
        </w:rPr>
        <w:t xml:space="preserve">the Southern African Confederation of Agricultural Unions </w:t>
      </w:r>
      <w:r w:rsidR="00493A69">
        <w:rPr>
          <w:lang w:val="en-GB"/>
        </w:rPr>
        <w:t xml:space="preserve">(SACAU) and </w:t>
      </w:r>
      <w:r w:rsidR="00C02113" w:rsidRPr="00C02113">
        <w:rPr>
          <w:lang w:val="en-GB"/>
        </w:rPr>
        <w:t>African Union/Inter</w:t>
      </w:r>
      <w:r w:rsidR="00C02113">
        <w:rPr>
          <w:lang w:val="en-GB"/>
        </w:rPr>
        <w:t>-A</w:t>
      </w:r>
      <w:r w:rsidR="00C02113" w:rsidRPr="00C02113">
        <w:rPr>
          <w:lang w:val="en-GB"/>
        </w:rPr>
        <w:t xml:space="preserve">frican Bureau for Animal Resources </w:t>
      </w:r>
      <w:r w:rsidR="00C02113">
        <w:rPr>
          <w:lang w:val="en-GB"/>
        </w:rPr>
        <w:t>(AU/</w:t>
      </w:r>
      <w:r w:rsidR="00493A69">
        <w:rPr>
          <w:lang w:val="en-GB"/>
        </w:rPr>
        <w:t>IBAN</w:t>
      </w:r>
      <w:r w:rsidR="00C02113">
        <w:rPr>
          <w:lang w:val="en-GB"/>
        </w:rPr>
        <w:t>)</w:t>
      </w:r>
      <w:r w:rsidR="00493A69">
        <w:rPr>
          <w:lang w:val="en-GB"/>
        </w:rPr>
        <w:t xml:space="preserve"> in Africa and by </w:t>
      </w:r>
      <w:r w:rsidR="00863EBF" w:rsidRPr="00863EBF">
        <w:rPr>
          <w:lang w:val="en-GB"/>
        </w:rPr>
        <w:t>Inter-American Institute for Cooperation on Agriculture (IICA)</w:t>
      </w:r>
      <w:r w:rsidR="00493A69">
        <w:rPr>
          <w:lang w:val="en-GB"/>
        </w:rPr>
        <w:t xml:space="preserve"> in Latin America. </w:t>
      </w:r>
      <w:r w:rsidR="00C02113">
        <w:rPr>
          <w:lang w:val="en-GB"/>
        </w:rPr>
        <w:t xml:space="preserve">SACAU has collaborated with the DFID funded </w:t>
      </w:r>
      <w:r w:rsidR="00C02113" w:rsidRPr="00C02113">
        <w:rPr>
          <w:lang w:val="en-GB"/>
        </w:rPr>
        <w:t>ComMark</w:t>
      </w:r>
      <w:r w:rsidR="00C02113">
        <w:rPr>
          <w:lang w:val="en-GB"/>
        </w:rPr>
        <w:t xml:space="preserve"> programme which aims to develop the private sector in Southern Africa, </w:t>
      </w:r>
      <w:r w:rsidR="00BF07E2">
        <w:rPr>
          <w:lang w:val="en-GB"/>
        </w:rPr>
        <w:t xml:space="preserve">through </w:t>
      </w:r>
      <w:r w:rsidR="00C02113">
        <w:rPr>
          <w:lang w:val="en-GB"/>
        </w:rPr>
        <w:t>i</w:t>
      </w:r>
      <w:r w:rsidR="00C02113" w:rsidRPr="00C02113">
        <w:rPr>
          <w:lang w:val="en-GB"/>
        </w:rPr>
        <w:t xml:space="preserve">mproving the participation of SADC countries in </w:t>
      </w:r>
      <w:r w:rsidR="00C02113">
        <w:rPr>
          <w:lang w:val="en-GB"/>
        </w:rPr>
        <w:t>international standard setting bodies, including Codex. The ComMark programme seems to have come to an end in December 2009 according to the website.</w:t>
      </w:r>
      <w:r w:rsidR="00C02113">
        <w:rPr>
          <w:rStyle w:val="FootnoteReference"/>
          <w:sz w:val="22"/>
          <w:lang w:val="en-GB"/>
        </w:rPr>
        <w:footnoteReference w:id="15"/>
      </w:r>
      <w:r w:rsidR="00C02113">
        <w:rPr>
          <w:lang w:val="en-GB"/>
        </w:rPr>
        <w:t xml:space="preserve"> </w:t>
      </w:r>
      <w:r w:rsidR="00AB4E07">
        <w:rPr>
          <w:lang w:val="en-GB"/>
        </w:rPr>
        <w:t xml:space="preserve">IICA is an </w:t>
      </w:r>
      <w:r w:rsidR="00AB4E07" w:rsidRPr="00AB4E07">
        <w:rPr>
          <w:lang w:val="en-GB"/>
        </w:rPr>
        <w:t>affiliate of the Organization of American States</w:t>
      </w:r>
      <w:r w:rsidR="00AB4E07">
        <w:rPr>
          <w:lang w:val="en-GB"/>
        </w:rPr>
        <w:t xml:space="preserve"> and also an observer in STDF. IICA implements a </w:t>
      </w:r>
      <w:r w:rsidR="00AB4E07" w:rsidRPr="00AB4E07">
        <w:rPr>
          <w:lang w:val="en-GB"/>
        </w:rPr>
        <w:t xml:space="preserve">SPS </w:t>
      </w:r>
      <w:r w:rsidR="00AB4E07" w:rsidRPr="00AB4E07">
        <w:rPr>
          <w:lang w:val="en-GB"/>
        </w:rPr>
        <w:lastRenderedPageBreak/>
        <w:t>Initiative for the countries of the Americas</w:t>
      </w:r>
      <w:r w:rsidR="00AB4E07">
        <w:rPr>
          <w:lang w:val="en-GB"/>
        </w:rPr>
        <w:t xml:space="preserve"> with support from the US. It includes funding physical participation in Codex meetings.</w:t>
      </w:r>
    </w:p>
    <w:p w:rsidR="00D85203" w:rsidRDefault="00C02113">
      <w:pPr>
        <w:rPr>
          <w:lang w:val="en-GB"/>
        </w:rPr>
      </w:pPr>
      <w:r>
        <w:rPr>
          <w:lang w:val="en-GB"/>
        </w:rPr>
        <w:t xml:space="preserve">IBAN manages funds provided by the EU in the framework of a programme named </w:t>
      </w:r>
      <w:r w:rsidRPr="00C02113">
        <w:rPr>
          <w:lang w:val="en-GB"/>
        </w:rPr>
        <w:t xml:space="preserve">Participation of African </w:t>
      </w:r>
      <w:r w:rsidR="00332D84">
        <w:rPr>
          <w:lang w:val="en-GB"/>
        </w:rPr>
        <w:t>Nations in Sanitary and Phytosanitary Standard-setting Organisations (PAN-SPSO). The focus is on</w:t>
      </w:r>
      <w:r w:rsidR="00332D84" w:rsidRPr="00332D84">
        <w:rPr>
          <w:lang w:val="en-GB"/>
        </w:rPr>
        <w:t xml:space="preserve"> helping prepare African countries for participation in Codex,</w:t>
      </w:r>
      <w:r w:rsidR="00332D84">
        <w:rPr>
          <w:lang w:val="en-GB"/>
        </w:rPr>
        <w:t xml:space="preserve"> the World organisation for animal health </w:t>
      </w:r>
      <w:r w:rsidR="00332D84" w:rsidRPr="00332D84">
        <w:rPr>
          <w:lang w:val="en-GB"/>
        </w:rPr>
        <w:t xml:space="preserve">(OIE) and </w:t>
      </w:r>
      <w:r w:rsidR="00332D84">
        <w:rPr>
          <w:lang w:val="en-GB"/>
        </w:rPr>
        <w:t>International Plant Protection Convention</w:t>
      </w:r>
      <w:r w:rsidR="00332D84" w:rsidRPr="00332D84">
        <w:rPr>
          <w:lang w:val="en-GB"/>
        </w:rPr>
        <w:t xml:space="preserve"> (IPPC).</w:t>
      </w:r>
      <w:r>
        <w:rPr>
          <w:lang w:val="en-GB"/>
        </w:rPr>
        <w:t xml:space="preserve"> </w:t>
      </w:r>
      <w:r w:rsidRPr="00C02113">
        <w:rPr>
          <w:lang w:val="en-GB"/>
        </w:rPr>
        <w:t>The main activity is to</w:t>
      </w:r>
      <w:r w:rsidR="000719E3">
        <w:rPr>
          <w:lang w:val="en-GB"/>
        </w:rPr>
        <w:t xml:space="preserve"> organise multi-country general</w:t>
      </w:r>
      <w:r w:rsidRPr="00C02113">
        <w:rPr>
          <w:lang w:val="en-GB"/>
        </w:rPr>
        <w:t xml:space="preserve"> meetings to understand issues</w:t>
      </w:r>
      <w:r w:rsidR="000719E3">
        <w:rPr>
          <w:lang w:val="en-GB"/>
        </w:rPr>
        <w:t xml:space="preserve"> under discussion</w:t>
      </w:r>
      <w:r w:rsidRPr="00C02113">
        <w:rPr>
          <w:lang w:val="en-GB"/>
        </w:rPr>
        <w:t xml:space="preserve">. Normally </w:t>
      </w:r>
      <w:r w:rsidR="000719E3">
        <w:rPr>
          <w:lang w:val="en-GB"/>
        </w:rPr>
        <w:t>the programme</w:t>
      </w:r>
      <w:r w:rsidRPr="00C02113">
        <w:rPr>
          <w:lang w:val="en-GB"/>
        </w:rPr>
        <w:t xml:space="preserve"> does not sponsor participation, but </w:t>
      </w:r>
      <w:r w:rsidR="000719E3">
        <w:rPr>
          <w:lang w:val="en-GB"/>
        </w:rPr>
        <w:t xml:space="preserve">that </w:t>
      </w:r>
      <w:r w:rsidRPr="00C02113">
        <w:rPr>
          <w:lang w:val="en-GB"/>
        </w:rPr>
        <w:t>could be envisaged</w:t>
      </w:r>
      <w:r w:rsidR="000719E3">
        <w:rPr>
          <w:lang w:val="en-GB"/>
        </w:rPr>
        <w:t xml:space="preserve"> according to the EU</w:t>
      </w:r>
      <w:r w:rsidRPr="00C02113">
        <w:rPr>
          <w:lang w:val="en-GB"/>
        </w:rPr>
        <w:t xml:space="preserve">. </w:t>
      </w:r>
      <w:r w:rsidR="000719E3">
        <w:rPr>
          <w:lang w:val="en-GB"/>
        </w:rPr>
        <w:t xml:space="preserve">CCAFRICA and </w:t>
      </w:r>
      <w:r w:rsidRPr="00C02113">
        <w:rPr>
          <w:lang w:val="en-GB"/>
        </w:rPr>
        <w:t>the Codex Sec</w:t>
      </w:r>
      <w:r w:rsidR="000719E3">
        <w:rPr>
          <w:lang w:val="en-GB"/>
        </w:rPr>
        <w:t xml:space="preserve">retariat are </w:t>
      </w:r>
      <w:r w:rsidRPr="00C02113">
        <w:rPr>
          <w:lang w:val="en-GB"/>
        </w:rPr>
        <w:t xml:space="preserve">involved in the programme. </w:t>
      </w:r>
      <w:r w:rsidR="000719E3" w:rsidRPr="000719E3">
        <w:rPr>
          <w:lang w:val="en-GB"/>
        </w:rPr>
        <w:t xml:space="preserve">STDF is member of the steering committee </w:t>
      </w:r>
      <w:r w:rsidR="000719E3">
        <w:rPr>
          <w:lang w:val="en-GB"/>
        </w:rPr>
        <w:t xml:space="preserve">of the programme </w:t>
      </w:r>
      <w:r w:rsidR="000719E3" w:rsidRPr="000719E3">
        <w:rPr>
          <w:lang w:val="en-GB"/>
        </w:rPr>
        <w:t>and some funds are set aside f</w:t>
      </w:r>
      <w:r w:rsidR="000719E3">
        <w:rPr>
          <w:lang w:val="en-GB"/>
        </w:rPr>
        <w:t xml:space="preserve">or STDF to formulate activities, which includes </w:t>
      </w:r>
      <w:r w:rsidR="000719E3" w:rsidRPr="000719E3">
        <w:rPr>
          <w:lang w:val="en-GB"/>
        </w:rPr>
        <w:t xml:space="preserve">regional/national training sessions </w:t>
      </w:r>
      <w:r w:rsidR="000719E3">
        <w:rPr>
          <w:lang w:val="en-GB"/>
        </w:rPr>
        <w:t>on</w:t>
      </w:r>
      <w:r w:rsidR="000719E3" w:rsidRPr="000719E3">
        <w:rPr>
          <w:lang w:val="en-GB"/>
        </w:rPr>
        <w:t xml:space="preserve"> standard setting</w:t>
      </w:r>
      <w:r w:rsidR="000719E3">
        <w:rPr>
          <w:lang w:val="en-GB"/>
        </w:rPr>
        <w:t>, standards capacity building for the African Regional Economic</w:t>
      </w:r>
      <w:r w:rsidR="000719E3" w:rsidRPr="000719E3">
        <w:rPr>
          <w:lang w:val="en-GB"/>
        </w:rPr>
        <w:t xml:space="preserve"> Communities</w:t>
      </w:r>
      <w:r w:rsidR="000719E3">
        <w:rPr>
          <w:lang w:val="en-GB"/>
        </w:rPr>
        <w:t xml:space="preserve"> and exploratory work on promoting the establishment of </w:t>
      </w:r>
      <w:r w:rsidR="000719E3" w:rsidRPr="000719E3">
        <w:rPr>
          <w:lang w:val="en-GB"/>
        </w:rPr>
        <w:t>national SPS committees.</w:t>
      </w:r>
      <w:r w:rsidR="00AB4E07">
        <w:rPr>
          <w:lang w:val="en-GB"/>
        </w:rPr>
        <w:t xml:space="preserve"> </w:t>
      </w:r>
    </w:p>
    <w:p w:rsidR="003F51B6" w:rsidRDefault="003F51B6" w:rsidP="00603DFC">
      <w:pPr>
        <w:rPr>
          <w:lang w:val="en-GB"/>
        </w:rPr>
      </w:pPr>
      <w:r>
        <w:rPr>
          <w:lang w:val="en-GB"/>
        </w:rPr>
        <w:t>The raison-d’être of the CTF in terms of capacity building would seem to emanate from its core activities in terms of sponsoring participation and the privileged dialogue opportunities (and even leverage) it gives with CCPs through the CTF application process. In this way the CTF Secretariat may be able to collect information through recurrent interaction that may not be available to other actors. The key question is what happens when countries, in particular the most vulnerable ones, start to graduate. Will that mean that the relationship with the CTF is lost?</w:t>
      </w:r>
    </w:p>
    <w:p w:rsidR="00D85203" w:rsidRDefault="00603DFC">
      <w:pPr>
        <w:rPr>
          <w:lang w:val="en-GB"/>
        </w:rPr>
      </w:pPr>
      <w:r>
        <w:rPr>
          <w:lang w:val="en-GB"/>
        </w:rPr>
        <w:t xml:space="preserve">The involvement of the CTF Secretariat in terms of capacity building has so far been limited to regional training, primarily back-to-back with Codex regional committee meetings. Lately, work has been spent on sub-regional activities, follow-up to capacity building requests and development of training material. There may also be opportunities in supporting novel approaches, such as mentoring and inter-regional exchange. </w:t>
      </w:r>
      <w:r w:rsidR="00401968">
        <w:rPr>
          <w:lang w:val="en-GB"/>
        </w:rPr>
        <w:t xml:space="preserve">However, given the extremely limited human and financial capacity of the CTF and the number of actors </w:t>
      </w:r>
      <w:r w:rsidR="00332D84">
        <w:rPr>
          <w:lang w:val="en-GB"/>
        </w:rPr>
        <w:t>and initiatives involved in analytical and capacity</w:t>
      </w:r>
      <w:r w:rsidR="004C02DF">
        <w:rPr>
          <w:lang w:val="en-GB"/>
        </w:rPr>
        <w:t xml:space="preserve"> building activities, the CTF Secretariat ha</w:t>
      </w:r>
      <w:r w:rsidR="00401968">
        <w:rPr>
          <w:lang w:val="en-GB"/>
        </w:rPr>
        <w:t>s to tread with caution</w:t>
      </w:r>
      <w:r w:rsidR="004C02DF">
        <w:rPr>
          <w:lang w:val="en-GB"/>
        </w:rPr>
        <w:t xml:space="preserve">. </w:t>
      </w:r>
      <w:r w:rsidR="00401968">
        <w:rPr>
          <w:lang w:val="en-GB"/>
        </w:rPr>
        <w:t>Developing the internal cooperation with</w:t>
      </w:r>
      <w:r w:rsidR="004C02DF">
        <w:rPr>
          <w:lang w:val="en-GB"/>
        </w:rPr>
        <w:t xml:space="preserve"> FAO and WHO, participating more systematically in STDF and liaising with programmes directly supporting participation in Codex activities seem to be a reasonable </w:t>
      </w:r>
      <w:r w:rsidR="00401968">
        <w:rPr>
          <w:lang w:val="en-GB"/>
        </w:rPr>
        <w:t xml:space="preserve">initial </w:t>
      </w:r>
      <w:r w:rsidR="004C02DF">
        <w:rPr>
          <w:lang w:val="en-GB"/>
        </w:rPr>
        <w:t xml:space="preserve">level of ambition. </w:t>
      </w:r>
    </w:p>
    <w:p w:rsidR="00493A69" w:rsidRPr="00F766E8" w:rsidRDefault="004A584F" w:rsidP="00493A69">
      <w:pPr>
        <w:spacing w:after="100" w:afterAutospacing="1"/>
        <w:rPr>
          <w:sz w:val="22"/>
          <w:lang w:val="en-US"/>
        </w:rPr>
      </w:pPr>
      <w:r w:rsidRPr="00F766E8">
        <w:rPr>
          <w:sz w:val="22"/>
          <w:lang w:val="en-US"/>
        </w:rPr>
        <w:tab/>
      </w:r>
    </w:p>
    <w:p w:rsidR="00493A69" w:rsidRPr="00F766E8" w:rsidRDefault="00493A69" w:rsidP="00493A69">
      <w:pPr>
        <w:spacing w:after="100" w:afterAutospacing="1"/>
        <w:rPr>
          <w:sz w:val="22"/>
          <w:lang w:val="en-US"/>
        </w:rPr>
      </w:pPr>
    </w:p>
    <w:p w:rsidR="00493A69" w:rsidRPr="00F766E8" w:rsidRDefault="00493A69" w:rsidP="00493A69">
      <w:pPr>
        <w:spacing w:after="100" w:afterAutospacing="1"/>
        <w:rPr>
          <w:lang w:val="en-US"/>
        </w:rPr>
      </w:pPr>
    </w:p>
    <w:p w:rsidR="00493A69" w:rsidRPr="00F766E8" w:rsidRDefault="00493A69" w:rsidP="00493A69">
      <w:pPr>
        <w:spacing w:after="100" w:afterAutospacing="1"/>
        <w:rPr>
          <w:lang w:val="en-US"/>
        </w:rPr>
      </w:pPr>
    </w:p>
    <w:p w:rsidR="00493A69" w:rsidRDefault="004A584F" w:rsidP="00493A69">
      <w:pPr>
        <w:pStyle w:val="Heading1"/>
        <w:spacing w:after="100" w:afterAutospacing="1"/>
        <w:rPr>
          <w:lang w:val="en-GB"/>
        </w:rPr>
      </w:pPr>
      <w:r w:rsidRPr="00F766E8">
        <w:rPr>
          <w:lang w:val="en-US"/>
        </w:rPr>
        <w:br w:type="page"/>
      </w:r>
      <w:bookmarkStart w:id="92" w:name="_Toc129613165"/>
      <w:bookmarkStart w:id="93" w:name="_Toc260389735"/>
      <w:r w:rsidR="00A84844">
        <w:rPr>
          <w:lang w:val="en-GB"/>
        </w:rPr>
        <w:lastRenderedPageBreak/>
        <w:t>Chapter</w:t>
      </w:r>
      <w:r w:rsidR="00493A69">
        <w:rPr>
          <w:lang w:val="en-GB"/>
        </w:rPr>
        <w:t xml:space="preserve"> 5.  Management of the Codex Trust Fund</w:t>
      </w:r>
      <w:bookmarkEnd w:id="92"/>
      <w:bookmarkEnd w:id="93"/>
    </w:p>
    <w:p w:rsidR="00493A69" w:rsidRDefault="00493A69" w:rsidP="00493A69">
      <w:pPr>
        <w:pStyle w:val="Heading2"/>
        <w:rPr>
          <w:lang w:val="en-GB"/>
        </w:rPr>
      </w:pPr>
      <w:bookmarkStart w:id="94" w:name="_Toc260389736"/>
      <w:r>
        <w:rPr>
          <w:lang w:val="en-GB"/>
        </w:rPr>
        <w:t>Secretariat capacity and efficiency</w:t>
      </w:r>
      <w:bookmarkEnd w:id="94"/>
    </w:p>
    <w:p w:rsidR="00493A69" w:rsidRPr="00B31C03" w:rsidRDefault="00493A69" w:rsidP="00493A69">
      <w:pPr>
        <w:spacing w:after="100" w:afterAutospacing="1"/>
        <w:rPr>
          <w:lang w:val="en-GB"/>
        </w:rPr>
      </w:pPr>
      <w:r w:rsidRPr="00BC4B11">
        <w:rPr>
          <w:lang w:val="en-GB"/>
        </w:rPr>
        <w:t xml:space="preserve">Daily management of the </w:t>
      </w:r>
      <w:r>
        <w:rPr>
          <w:lang w:val="en-GB"/>
        </w:rPr>
        <w:t>CTF</w:t>
      </w:r>
      <w:r w:rsidRPr="00BC4B11">
        <w:rPr>
          <w:lang w:val="en-GB"/>
        </w:rPr>
        <w:t xml:space="preserve"> is undertaken by the </w:t>
      </w:r>
      <w:r>
        <w:rPr>
          <w:lang w:val="en-GB"/>
        </w:rPr>
        <w:t>CTF</w:t>
      </w:r>
      <w:r w:rsidRPr="00BC4B11">
        <w:rPr>
          <w:lang w:val="en-GB"/>
        </w:rPr>
        <w:t xml:space="preserve"> Secretariat located in the Department of Food Safety</w:t>
      </w:r>
      <w:r w:rsidR="00BF07E2">
        <w:rPr>
          <w:lang w:val="en-GB"/>
        </w:rPr>
        <w:t xml:space="preserve"> and</w:t>
      </w:r>
      <w:r w:rsidRPr="00BC4B11">
        <w:rPr>
          <w:lang w:val="en-GB"/>
        </w:rPr>
        <w:t xml:space="preserve"> Zoonoses in WHO</w:t>
      </w:r>
      <w:r>
        <w:rPr>
          <w:lang w:val="en-GB"/>
        </w:rPr>
        <w:t>. Both S</w:t>
      </w:r>
      <w:r w:rsidRPr="001B3887">
        <w:rPr>
          <w:lang w:val="en-GB"/>
        </w:rPr>
        <w:t xml:space="preserve">lorach (2007) and Connor (2007) argued </w:t>
      </w:r>
      <w:r w:rsidR="003C1B51">
        <w:rPr>
          <w:lang w:val="en-GB"/>
        </w:rPr>
        <w:t xml:space="preserve">that </w:t>
      </w:r>
      <w:r w:rsidRPr="001B3887">
        <w:rPr>
          <w:lang w:val="en-GB"/>
        </w:rPr>
        <w:t>the capacity of the CTF Secretariat was insufficient to among other things ensure administration of recurrent administrative tasks and allow for sufficient monitoring and evaluation of results. The task</w:t>
      </w:r>
      <w:r>
        <w:rPr>
          <w:lang w:val="en-GB"/>
        </w:rPr>
        <w:t xml:space="preserve"> to administer applications, travel arrangements and reporting is considerable. On the whole analytical and coordination tasks, such as reflecting on reporting, following up requests for capacity building and coordinating with other actors seem to have suffered. In addition, a number of administrative issues, delays and communication problems have been reported during this review (see next section). </w:t>
      </w:r>
    </w:p>
    <w:p w:rsidR="00493A69" w:rsidRPr="006E6273" w:rsidRDefault="00493A69" w:rsidP="00493A69">
      <w:pPr>
        <w:spacing w:after="100" w:afterAutospacing="1"/>
        <w:rPr>
          <w:lang w:val="en-GB"/>
        </w:rPr>
      </w:pPr>
      <w:r>
        <w:rPr>
          <w:lang w:val="en-GB"/>
        </w:rPr>
        <w:t xml:space="preserve">Nevertheless, beneficiaries are on the whole content; </w:t>
      </w:r>
      <w:r w:rsidRPr="00B31C03">
        <w:rPr>
          <w:lang w:val="en-US"/>
        </w:rPr>
        <w:t xml:space="preserve">84% of </w:t>
      </w:r>
      <w:r>
        <w:rPr>
          <w:lang w:val="en-US"/>
        </w:rPr>
        <w:t xml:space="preserve">surveyed </w:t>
      </w:r>
      <w:r w:rsidRPr="00B31C03">
        <w:rPr>
          <w:lang w:val="en-US"/>
        </w:rPr>
        <w:t>CCPs rate the performance of the CTF Secretariat as Good or Very good. The</w:t>
      </w:r>
      <w:r>
        <w:rPr>
          <w:lang w:val="en-US"/>
        </w:rPr>
        <w:t>re is little</w:t>
      </w:r>
      <w:r w:rsidRPr="00B31C03">
        <w:rPr>
          <w:lang w:val="en-US"/>
        </w:rPr>
        <w:t xml:space="preserve"> difference between LDCs and non-LDCs. </w:t>
      </w:r>
      <w:r>
        <w:rPr>
          <w:lang w:val="en-US"/>
        </w:rPr>
        <w:t>Latin American countries are</w:t>
      </w:r>
      <w:r w:rsidRPr="00B31C03">
        <w:rPr>
          <w:lang w:val="en-US"/>
        </w:rPr>
        <w:t xml:space="preserve"> less content than other regions, with 45% rating the </w:t>
      </w:r>
      <w:r>
        <w:rPr>
          <w:lang w:val="en-US"/>
        </w:rPr>
        <w:t xml:space="preserve">performance of the </w:t>
      </w:r>
      <w:r w:rsidRPr="00B31C03">
        <w:rPr>
          <w:lang w:val="en-US"/>
        </w:rPr>
        <w:t>CTF Sec</w:t>
      </w:r>
      <w:r>
        <w:rPr>
          <w:lang w:val="en-US"/>
        </w:rPr>
        <w:t>retariat</w:t>
      </w:r>
      <w:r w:rsidRPr="00B31C03">
        <w:rPr>
          <w:lang w:val="en-US"/>
        </w:rPr>
        <w:t xml:space="preserve"> as average or not so good.</w:t>
      </w:r>
      <w:r>
        <w:rPr>
          <w:lang w:val="en-US"/>
        </w:rPr>
        <w:t xml:space="preserve"> All African countries have performance ratings in the Good or V</w:t>
      </w:r>
      <w:r w:rsidRPr="00B31C03">
        <w:rPr>
          <w:lang w:val="en-US"/>
        </w:rPr>
        <w:t>ery good</w:t>
      </w:r>
      <w:r>
        <w:rPr>
          <w:lang w:val="en-US"/>
        </w:rPr>
        <w:t xml:space="preserve"> range. Donors are overall also appreciative of the Secretariat, acknowledging that it performs its tasks with dedication, given limited resources. One donor saw a risk in dependency on very few persons; what would happen if the current Administrator left the programme?</w:t>
      </w:r>
    </w:p>
    <w:p w:rsidR="00493A69" w:rsidRDefault="00BF07E2" w:rsidP="00493A69">
      <w:pPr>
        <w:spacing w:after="100" w:afterAutospacing="1"/>
        <w:rPr>
          <w:lang w:val="en-GB"/>
        </w:rPr>
      </w:pPr>
      <w:r>
        <w:rPr>
          <w:lang w:val="en-GB"/>
        </w:rPr>
        <w:t>At the end</w:t>
      </w:r>
      <w:r w:rsidR="0074368A">
        <w:rPr>
          <w:lang w:val="en-GB"/>
        </w:rPr>
        <w:t xml:space="preserve"> of 2009, t</w:t>
      </w:r>
      <w:r w:rsidR="00493A69">
        <w:rPr>
          <w:lang w:val="en-GB"/>
        </w:rPr>
        <w:t>he capacity of the Secretariat was augmented, when the Administrator (P4</w:t>
      </w:r>
      <w:r w:rsidR="0074368A">
        <w:rPr>
          <w:lang w:val="en-GB"/>
        </w:rPr>
        <w:t xml:space="preserve"> level</w:t>
      </w:r>
      <w:r w:rsidR="00493A69">
        <w:rPr>
          <w:lang w:val="en-GB"/>
        </w:rPr>
        <w:t xml:space="preserve">) </w:t>
      </w:r>
      <w:r w:rsidR="0074368A">
        <w:rPr>
          <w:lang w:val="en-GB"/>
        </w:rPr>
        <w:t xml:space="preserve">was hired on a full-time basis. The support staff is still on 80%, but both staff were given 2 year fixed-term contracts instead of having to rely on temporary contracts. </w:t>
      </w:r>
      <w:r w:rsidR="00493A69">
        <w:rPr>
          <w:lang w:val="en-GB"/>
        </w:rPr>
        <w:t>There are already indications, as has been mentioned above, that this has freed up time to qualitative aspects of the CTF, such as increased focus on capacity building and coordination activities.</w:t>
      </w:r>
    </w:p>
    <w:p w:rsidR="004B6C19" w:rsidRPr="009B767E" w:rsidRDefault="004B6C19" w:rsidP="004B6C19">
      <w:pPr>
        <w:rPr>
          <w:lang w:val="en-GB"/>
        </w:rPr>
      </w:pPr>
      <w:r w:rsidRPr="009B767E">
        <w:rPr>
          <w:lang w:val="en-GB"/>
        </w:rPr>
        <w:t xml:space="preserve">The CTF Secretariat follows WHO procedures and financial rules and regulations.  Contributions to the CTF are recorded in the WHO "Voluntary Fund for Health Promotion" and earmarked for the Codex Trust Fund thus ensuring that all contributions are used solely for the purposes of the CTF. WHO has a "results based management" system that is used to develop biennial "programme budgets" which are adopted by WHO's governing body; the World Health Assembly. Biennial "workplans"  are developed within this programme budget and the CTF has a separate section in the overall workplan of the department of Food Safety and Zoonoses. This allows the CTF to track expenditures for the project using a WHO internal coding system. Financial records and reporting are part of the overall financial reporting of WHO and reported on in the financial report and audited financial statements of WHO.  The CTF maintains an internal list of all individual donor contributions which is updated and published each year in the Annual Reports of the CTF.  Aggregated expenditures of the CTF are extracted from WHO financial records and presented in the Annual Reports.  </w:t>
      </w:r>
    </w:p>
    <w:p w:rsidR="00BF07E2" w:rsidRDefault="00BF07E2" w:rsidP="00493A69">
      <w:pPr>
        <w:spacing w:after="100" w:afterAutospacing="1"/>
        <w:rPr>
          <w:lang w:val="en-GB"/>
        </w:rPr>
      </w:pPr>
      <w:r>
        <w:rPr>
          <w:lang w:val="en-GB"/>
        </w:rPr>
        <w:t xml:space="preserve">WHO levies programme support costs (PSC) of 13% on all contributions made to the </w:t>
      </w:r>
      <w:r w:rsidR="004B6C19">
        <w:rPr>
          <w:lang w:val="en-GB"/>
        </w:rPr>
        <w:t>o</w:t>
      </w:r>
      <w:r>
        <w:rPr>
          <w:lang w:val="en-GB"/>
        </w:rPr>
        <w:t xml:space="preserve">rganization </w:t>
      </w:r>
      <w:r>
        <w:rPr>
          <w:rFonts w:ascii="Times New Roman" w:eastAsia="SimSun" w:hAnsi="Times New Roman"/>
          <w:sz w:val="22"/>
          <w:szCs w:val="22"/>
          <w:lang w:val="en-GB" w:eastAsia="zh-CN"/>
        </w:rPr>
        <w:t xml:space="preserve">to cover administrative costs related to administering the funds. </w:t>
      </w:r>
      <w:r>
        <w:rPr>
          <w:lang w:val="en-GB"/>
        </w:rPr>
        <w:t>The PSC is taken off contributions as soon as funds are made available for use (for example upon signature of agreements with donors). The funds that are available for use by the Codex Trust Fund are, therefore, net of the 13%. Administrative costs reported for the project include the costs associated with staff (fixed and short term), travel of staff, hospitality (e.g. catering during side events at CAC), and general operating expenditures (telephone, fax, mailing, equipment, translation).</w:t>
      </w:r>
    </w:p>
    <w:p w:rsidR="00493A69" w:rsidRDefault="00493A69" w:rsidP="00493A69">
      <w:pPr>
        <w:spacing w:after="100" w:afterAutospacing="1"/>
        <w:rPr>
          <w:lang w:val="en-GB"/>
        </w:rPr>
      </w:pPr>
      <w:r>
        <w:rPr>
          <w:lang w:val="en-GB"/>
        </w:rPr>
        <w:lastRenderedPageBreak/>
        <w:t xml:space="preserve">There is a financial section in the CTF annual reports, which includes information on donor contributions (see below) and expenditures. The expenditures for 2006-2008 are shown in </w:t>
      </w:r>
      <w:r w:rsidR="00AE227F">
        <w:rPr>
          <w:lang w:val="en-GB"/>
        </w:rPr>
        <w:fldChar w:fldCharType="begin"/>
      </w:r>
      <w:r w:rsidR="0074368A">
        <w:rPr>
          <w:lang w:val="en-GB"/>
        </w:rPr>
        <w:instrText xml:space="preserve"> REF _Ref256669260 \h </w:instrText>
      </w:r>
      <w:r w:rsidR="00AE227F">
        <w:rPr>
          <w:lang w:val="en-GB"/>
        </w:rPr>
      </w:r>
      <w:r w:rsidR="00AE227F">
        <w:rPr>
          <w:lang w:val="en-GB"/>
        </w:rPr>
        <w:fldChar w:fldCharType="separate"/>
      </w:r>
      <w:r w:rsidR="004F08A8" w:rsidRPr="004F08A8">
        <w:rPr>
          <w:lang w:val="en-US"/>
        </w:rPr>
        <w:t xml:space="preserve">Table </w:t>
      </w:r>
      <w:r w:rsidR="004F08A8" w:rsidRPr="004F08A8">
        <w:rPr>
          <w:noProof/>
          <w:lang w:val="en-US"/>
        </w:rPr>
        <w:t>12</w:t>
      </w:r>
      <w:r w:rsidR="00AE227F">
        <w:rPr>
          <w:lang w:val="en-GB"/>
        </w:rPr>
        <w:fldChar w:fldCharType="end"/>
      </w:r>
      <w:r>
        <w:rPr>
          <w:lang w:val="en-GB"/>
        </w:rPr>
        <w:t>. The review could not get access to the expenditures for 2009</w:t>
      </w:r>
      <w:r w:rsidR="00BF07E2">
        <w:rPr>
          <w:lang w:val="en-GB"/>
        </w:rPr>
        <w:t xml:space="preserve"> as these had not yet been finalised at the time of writing</w:t>
      </w:r>
      <w:r>
        <w:rPr>
          <w:lang w:val="en-GB"/>
        </w:rPr>
        <w:t>. According to the CTF Secretariat, that i</w:t>
      </w:r>
      <w:r w:rsidRPr="00E629F8">
        <w:rPr>
          <w:lang w:val="en-GB"/>
        </w:rPr>
        <w:t xml:space="preserve">nformation </w:t>
      </w:r>
      <w:r>
        <w:rPr>
          <w:lang w:val="en-GB"/>
        </w:rPr>
        <w:t>is not ava</w:t>
      </w:r>
      <w:r w:rsidRPr="00E629F8">
        <w:rPr>
          <w:lang w:val="en-GB"/>
        </w:rPr>
        <w:t xml:space="preserve">ilable </w:t>
      </w:r>
      <w:r>
        <w:rPr>
          <w:lang w:val="en-GB"/>
        </w:rPr>
        <w:t xml:space="preserve">internally </w:t>
      </w:r>
      <w:r w:rsidRPr="00E629F8">
        <w:rPr>
          <w:lang w:val="en-GB"/>
        </w:rPr>
        <w:t>until April</w:t>
      </w:r>
      <w:r>
        <w:rPr>
          <w:lang w:val="en-GB"/>
        </w:rPr>
        <w:t xml:space="preserve"> and is not </w:t>
      </w:r>
      <w:r w:rsidRPr="00E629F8">
        <w:rPr>
          <w:lang w:val="en-GB"/>
        </w:rPr>
        <w:t>release</w:t>
      </w:r>
      <w:r>
        <w:rPr>
          <w:lang w:val="en-GB"/>
        </w:rPr>
        <w:t>d</w:t>
      </w:r>
      <w:r w:rsidRPr="00E629F8">
        <w:rPr>
          <w:lang w:val="en-GB"/>
        </w:rPr>
        <w:t xml:space="preserve"> officially until the Annual Report goes out in June of each year. </w:t>
      </w:r>
      <w:r w:rsidR="0026372C">
        <w:rPr>
          <w:lang w:val="en-GB"/>
        </w:rPr>
        <w:t>One donor stipulates that a</w:t>
      </w:r>
      <w:r w:rsidR="0026372C" w:rsidRPr="00BC4B11">
        <w:rPr>
          <w:lang w:val="en-GB"/>
        </w:rPr>
        <w:t>dministrative costs</w:t>
      </w:r>
      <w:r w:rsidR="0026372C">
        <w:rPr>
          <w:lang w:val="en-GB"/>
        </w:rPr>
        <w:t xml:space="preserve"> associated directly with the project </w:t>
      </w:r>
      <w:r w:rsidR="0026372C" w:rsidRPr="00BC4B11">
        <w:rPr>
          <w:lang w:val="en-GB"/>
        </w:rPr>
        <w:t>should not exceed 12% of total expenditures</w:t>
      </w:r>
      <w:r w:rsidR="0026372C">
        <w:rPr>
          <w:lang w:val="en-GB"/>
        </w:rPr>
        <w:t xml:space="preserve">. </w:t>
      </w:r>
      <w:r>
        <w:rPr>
          <w:lang w:val="en-GB"/>
        </w:rPr>
        <w:t>The high level of expenditures on Project management and administration in 2008</w:t>
      </w:r>
      <w:r w:rsidR="0074368A">
        <w:rPr>
          <w:lang w:val="en-GB"/>
        </w:rPr>
        <w:t>, exceeding the stipulated 12% level,</w:t>
      </w:r>
      <w:r>
        <w:rPr>
          <w:lang w:val="en-GB"/>
        </w:rPr>
        <w:t xml:space="preserve"> is explained by the cost of a replacement for the </w:t>
      </w:r>
      <w:r w:rsidR="0074368A">
        <w:rPr>
          <w:lang w:val="en-GB"/>
        </w:rPr>
        <w:t xml:space="preserve">support staff </w:t>
      </w:r>
      <w:r>
        <w:rPr>
          <w:lang w:val="en-GB"/>
        </w:rPr>
        <w:t>who was on maternal leave</w:t>
      </w:r>
      <w:r w:rsidR="00B447DB">
        <w:rPr>
          <w:lang w:val="en-GB"/>
        </w:rPr>
        <w:t xml:space="preserve"> and contracts issued for short term staff to assist the Secretariat in the strategic planning process to implement the recommendations of the Connor and Slorach reports</w:t>
      </w:r>
      <w:r>
        <w:rPr>
          <w:lang w:val="en-GB"/>
        </w:rPr>
        <w:t xml:space="preserve">. </w:t>
      </w:r>
    </w:p>
    <w:p w:rsidR="007D25C7" w:rsidRDefault="007D25C7" w:rsidP="007D25C7">
      <w:pPr>
        <w:pStyle w:val="Caption"/>
        <w:keepNext/>
      </w:pPr>
      <w:bookmarkStart w:id="95" w:name="_Ref256669260"/>
      <w:bookmarkStart w:id="96" w:name="_Toc260036747"/>
      <w:r>
        <w:t xml:space="preserve">Table </w:t>
      </w:r>
      <w:r w:rsidR="000829F6">
        <w:fldChar w:fldCharType="begin"/>
      </w:r>
      <w:r w:rsidR="000829F6">
        <w:instrText xml:space="preserve"> SEQ Table \* ARABIC </w:instrText>
      </w:r>
      <w:r w:rsidR="000829F6">
        <w:fldChar w:fldCharType="separate"/>
      </w:r>
      <w:r>
        <w:rPr>
          <w:noProof/>
        </w:rPr>
        <w:t>12</w:t>
      </w:r>
      <w:r w:rsidR="000829F6">
        <w:rPr>
          <w:noProof/>
        </w:rPr>
        <w:fldChar w:fldCharType="end"/>
      </w:r>
      <w:bookmarkEnd w:id="95"/>
      <w:r>
        <w:t xml:space="preserve"> Actual CTF expenditures 2006-2008</w:t>
      </w:r>
      <w:bookmarkEnd w:id="96"/>
    </w:p>
    <w:tbl>
      <w:tblPr>
        <w:tblStyle w:val="MediumGrid3-Accent1"/>
        <w:tblW w:w="5127" w:type="pct"/>
        <w:tblLayout w:type="fixed"/>
        <w:tblLook w:val="04A0" w:firstRow="1" w:lastRow="0" w:firstColumn="1" w:lastColumn="0" w:noHBand="0" w:noVBand="1"/>
      </w:tblPr>
      <w:tblGrid>
        <w:gridCol w:w="2376"/>
        <w:gridCol w:w="994"/>
        <w:gridCol w:w="710"/>
        <w:gridCol w:w="1132"/>
        <w:gridCol w:w="710"/>
        <w:gridCol w:w="1134"/>
        <w:gridCol w:w="712"/>
        <w:gridCol w:w="1131"/>
        <w:gridCol w:w="617"/>
      </w:tblGrid>
      <w:tr w:rsidR="007D25C7" w:rsidRPr="001178F3">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48" w:type="pct"/>
            <w:noWrap/>
          </w:tcPr>
          <w:p w:rsidR="007D25C7" w:rsidRPr="001178F3" w:rsidRDefault="007D25C7" w:rsidP="00681E45">
            <w:pPr>
              <w:keepNext/>
              <w:spacing w:after="0"/>
              <w:jc w:val="left"/>
              <w:rPr>
                <w:rFonts w:asciiTheme="minorHAnsi" w:hAnsiTheme="minorHAnsi" w:cs="Arial"/>
                <w:szCs w:val="20"/>
              </w:rPr>
            </w:pPr>
            <w:r w:rsidRPr="001178F3">
              <w:rPr>
                <w:rFonts w:asciiTheme="minorHAnsi" w:hAnsiTheme="minorHAnsi" w:cs="Arial"/>
                <w:szCs w:val="20"/>
                <w:lang w:val="en-US"/>
              </w:rPr>
              <w:t xml:space="preserve"> </w:t>
            </w:r>
            <w:r w:rsidRPr="001178F3">
              <w:rPr>
                <w:rFonts w:asciiTheme="minorHAnsi" w:hAnsiTheme="minorHAnsi" w:cs="Arial"/>
                <w:szCs w:val="20"/>
              </w:rPr>
              <w:t>(USD)</w:t>
            </w:r>
          </w:p>
        </w:tc>
        <w:tc>
          <w:tcPr>
            <w:tcW w:w="522" w:type="pct"/>
            <w:noWrap/>
          </w:tcPr>
          <w:p w:rsidR="007D25C7" w:rsidRPr="001178F3" w:rsidRDefault="007D25C7" w:rsidP="00681E45">
            <w:pPr>
              <w:keepNext/>
              <w:spacing w:after="0"/>
              <w:jc w:val="right"/>
              <w:cnfStyle w:val="100000000000" w:firstRow="1" w:lastRow="0" w:firstColumn="0" w:lastColumn="0" w:oddVBand="0" w:evenVBand="0" w:oddHBand="0" w:evenHBand="0" w:firstRowFirstColumn="0" w:firstRowLastColumn="0" w:lastRowFirstColumn="0" w:lastRowLastColumn="0"/>
              <w:rPr>
                <w:rFonts w:asciiTheme="minorHAnsi" w:hAnsiTheme="minorHAnsi" w:cs="Arial"/>
                <w:szCs w:val="20"/>
              </w:rPr>
            </w:pPr>
            <w:r w:rsidRPr="001178F3">
              <w:rPr>
                <w:rFonts w:asciiTheme="minorHAnsi" w:hAnsiTheme="minorHAnsi" w:cs="Arial"/>
                <w:bCs w:val="0"/>
                <w:szCs w:val="20"/>
              </w:rPr>
              <w:t>2006</w:t>
            </w:r>
          </w:p>
        </w:tc>
        <w:tc>
          <w:tcPr>
            <w:tcW w:w="373" w:type="pct"/>
            <w:noWrap/>
          </w:tcPr>
          <w:p w:rsidR="007D25C7" w:rsidRPr="001178F3" w:rsidRDefault="007D25C7" w:rsidP="00681E45">
            <w:pPr>
              <w:keepNext/>
              <w:spacing w:after="0"/>
              <w:cnfStyle w:val="100000000000" w:firstRow="1" w:lastRow="0" w:firstColumn="0" w:lastColumn="0" w:oddVBand="0" w:evenVBand="0" w:oddHBand="0" w:evenHBand="0" w:firstRowFirstColumn="0" w:firstRowLastColumn="0" w:lastRowFirstColumn="0" w:lastRowLastColumn="0"/>
              <w:rPr>
                <w:rFonts w:asciiTheme="minorHAnsi" w:hAnsiTheme="minorHAnsi" w:cs="Arial"/>
                <w:szCs w:val="20"/>
              </w:rPr>
            </w:pPr>
            <w:r w:rsidRPr="001178F3">
              <w:rPr>
                <w:rFonts w:asciiTheme="minorHAnsi" w:hAnsiTheme="minorHAnsi" w:cs="Arial"/>
                <w:bCs w:val="0"/>
                <w:szCs w:val="20"/>
              </w:rPr>
              <w:t>%</w:t>
            </w:r>
          </w:p>
        </w:tc>
        <w:tc>
          <w:tcPr>
            <w:tcW w:w="595" w:type="pct"/>
            <w:noWrap/>
          </w:tcPr>
          <w:p w:rsidR="007D25C7" w:rsidRPr="001178F3" w:rsidRDefault="007D25C7" w:rsidP="00681E45">
            <w:pPr>
              <w:keepNext/>
              <w:spacing w:after="0"/>
              <w:jc w:val="right"/>
              <w:cnfStyle w:val="100000000000" w:firstRow="1" w:lastRow="0" w:firstColumn="0" w:lastColumn="0" w:oddVBand="0" w:evenVBand="0" w:oddHBand="0" w:evenHBand="0" w:firstRowFirstColumn="0" w:firstRowLastColumn="0" w:lastRowFirstColumn="0" w:lastRowLastColumn="0"/>
              <w:rPr>
                <w:rFonts w:asciiTheme="minorHAnsi" w:hAnsiTheme="minorHAnsi" w:cs="Arial"/>
                <w:szCs w:val="20"/>
              </w:rPr>
            </w:pPr>
            <w:r w:rsidRPr="001178F3">
              <w:rPr>
                <w:rFonts w:asciiTheme="minorHAnsi" w:hAnsiTheme="minorHAnsi" w:cs="Arial"/>
                <w:bCs w:val="0"/>
                <w:szCs w:val="20"/>
              </w:rPr>
              <w:t>2007</w:t>
            </w:r>
          </w:p>
        </w:tc>
        <w:tc>
          <w:tcPr>
            <w:tcW w:w="373" w:type="pct"/>
            <w:noWrap/>
          </w:tcPr>
          <w:p w:rsidR="007D25C7" w:rsidRPr="001178F3" w:rsidRDefault="007D25C7" w:rsidP="00681E45">
            <w:pPr>
              <w:keepNext/>
              <w:spacing w:after="0"/>
              <w:cnfStyle w:val="100000000000" w:firstRow="1" w:lastRow="0" w:firstColumn="0" w:lastColumn="0" w:oddVBand="0" w:evenVBand="0" w:oddHBand="0" w:evenHBand="0" w:firstRowFirstColumn="0" w:firstRowLastColumn="0" w:lastRowFirstColumn="0" w:lastRowLastColumn="0"/>
              <w:rPr>
                <w:rFonts w:asciiTheme="minorHAnsi" w:hAnsiTheme="minorHAnsi" w:cs="Arial"/>
                <w:szCs w:val="20"/>
              </w:rPr>
            </w:pPr>
            <w:r w:rsidRPr="001178F3">
              <w:rPr>
                <w:rFonts w:asciiTheme="minorHAnsi" w:hAnsiTheme="minorHAnsi" w:cs="Arial"/>
                <w:bCs w:val="0"/>
                <w:szCs w:val="20"/>
              </w:rPr>
              <w:t>%</w:t>
            </w:r>
          </w:p>
        </w:tc>
        <w:tc>
          <w:tcPr>
            <w:tcW w:w="596" w:type="pct"/>
            <w:noWrap/>
          </w:tcPr>
          <w:p w:rsidR="007D25C7" w:rsidRPr="001178F3" w:rsidRDefault="007D25C7" w:rsidP="00681E45">
            <w:pPr>
              <w:keepNext/>
              <w:spacing w:after="0"/>
              <w:jc w:val="right"/>
              <w:cnfStyle w:val="100000000000" w:firstRow="1" w:lastRow="0" w:firstColumn="0" w:lastColumn="0" w:oddVBand="0" w:evenVBand="0" w:oddHBand="0" w:evenHBand="0" w:firstRowFirstColumn="0" w:firstRowLastColumn="0" w:lastRowFirstColumn="0" w:lastRowLastColumn="0"/>
              <w:rPr>
                <w:rFonts w:asciiTheme="minorHAnsi" w:hAnsiTheme="minorHAnsi" w:cs="Arial"/>
                <w:szCs w:val="20"/>
              </w:rPr>
            </w:pPr>
            <w:r w:rsidRPr="001178F3">
              <w:rPr>
                <w:rFonts w:asciiTheme="minorHAnsi" w:hAnsiTheme="minorHAnsi" w:cs="Arial"/>
                <w:bCs w:val="0"/>
                <w:szCs w:val="20"/>
              </w:rPr>
              <w:t>2008</w:t>
            </w:r>
          </w:p>
        </w:tc>
        <w:tc>
          <w:tcPr>
            <w:tcW w:w="374" w:type="pct"/>
            <w:noWrap/>
          </w:tcPr>
          <w:p w:rsidR="007D25C7" w:rsidRPr="001178F3" w:rsidRDefault="007D25C7" w:rsidP="00681E45">
            <w:pPr>
              <w:keepNext/>
              <w:spacing w:after="0"/>
              <w:cnfStyle w:val="100000000000" w:firstRow="1" w:lastRow="0" w:firstColumn="0" w:lastColumn="0" w:oddVBand="0" w:evenVBand="0" w:oddHBand="0" w:evenHBand="0" w:firstRowFirstColumn="0" w:firstRowLastColumn="0" w:lastRowFirstColumn="0" w:lastRowLastColumn="0"/>
              <w:rPr>
                <w:rFonts w:asciiTheme="minorHAnsi" w:hAnsiTheme="minorHAnsi" w:cs="Arial"/>
                <w:szCs w:val="20"/>
              </w:rPr>
            </w:pPr>
            <w:r w:rsidRPr="001178F3">
              <w:rPr>
                <w:rFonts w:asciiTheme="minorHAnsi" w:hAnsiTheme="minorHAnsi" w:cs="Arial"/>
                <w:bCs w:val="0"/>
                <w:szCs w:val="20"/>
              </w:rPr>
              <w:t>%</w:t>
            </w:r>
          </w:p>
        </w:tc>
        <w:tc>
          <w:tcPr>
            <w:tcW w:w="594" w:type="pct"/>
            <w:noWrap/>
          </w:tcPr>
          <w:p w:rsidR="007D25C7" w:rsidRPr="001178F3" w:rsidRDefault="007D25C7" w:rsidP="00681E45">
            <w:pPr>
              <w:keepNext/>
              <w:spacing w:after="0"/>
              <w:cnfStyle w:val="100000000000" w:firstRow="1" w:lastRow="0" w:firstColumn="0" w:lastColumn="0" w:oddVBand="0" w:evenVBand="0" w:oddHBand="0" w:evenHBand="0" w:firstRowFirstColumn="0" w:firstRowLastColumn="0" w:lastRowFirstColumn="0" w:lastRowLastColumn="0"/>
              <w:rPr>
                <w:rFonts w:asciiTheme="minorHAnsi" w:hAnsiTheme="minorHAnsi" w:cs="Arial"/>
                <w:szCs w:val="20"/>
              </w:rPr>
            </w:pPr>
            <w:r w:rsidRPr="001178F3">
              <w:rPr>
                <w:rFonts w:asciiTheme="minorHAnsi" w:hAnsiTheme="minorHAnsi" w:cs="Arial"/>
                <w:bCs w:val="0"/>
                <w:szCs w:val="20"/>
              </w:rPr>
              <w:t>2003-2008</w:t>
            </w:r>
          </w:p>
        </w:tc>
        <w:tc>
          <w:tcPr>
            <w:tcW w:w="324" w:type="pct"/>
            <w:noWrap/>
          </w:tcPr>
          <w:p w:rsidR="007D25C7" w:rsidRPr="001178F3" w:rsidRDefault="007D25C7" w:rsidP="00681E45">
            <w:pPr>
              <w:keepNext/>
              <w:spacing w:after="0"/>
              <w:cnfStyle w:val="100000000000" w:firstRow="1" w:lastRow="0" w:firstColumn="0" w:lastColumn="0" w:oddVBand="0" w:evenVBand="0" w:oddHBand="0" w:evenHBand="0" w:firstRowFirstColumn="0" w:firstRowLastColumn="0" w:lastRowFirstColumn="0" w:lastRowLastColumn="0"/>
              <w:rPr>
                <w:rFonts w:asciiTheme="minorHAnsi" w:hAnsiTheme="minorHAnsi" w:cs="Arial"/>
                <w:szCs w:val="20"/>
              </w:rPr>
            </w:pPr>
            <w:r w:rsidRPr="001178F3">
              <w:rPr>
                <w:rFonts w:asciiTheme="minorHAnsi" w:hAnsiTheme="minorHAnsi" w:cs="Arial"/>
                <w:bCs w:val="0"/>
                <w:szCs w:val="20"/>
              </w:rPr>
              <w:t>%</w:t>
            </w:r>
          </w:p>
        </w:tc>
      </w:tr>
      <w:tr w:rsidR="007D25C7" w:rsidRPr="001178F3">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48" w:type="pct"/>
            <w:noWrap/>
          </w:tcPr>
          <w:p w:rsidR="007D25C7" w:rsidRPr="001178F3" w:rsidRDefault="007D25C7" w:rsidP="00681E45">
            <w:pPr>
              <w:keepNext/>
              <w:spacing w:after="0"/>
              <w:jc w:val="left"/>
              <w:rPr>
                <w:rFonts w:asciiTheme="minorHAnsi" w:hAnsiTheme="minorHAnsi" w:cs="Arial"/>
                <w:szCs w:val="20"/>
              </w:rPr>
            </w:pPr>
            <w:r w:rsidRPr="001178F3">
              <w:rPr>
                <w:rFonts w:asciiTheme="minorHAnsi" w:hAnsiTheme="minorHAnsi" w:cs="Arial"/>
                <w:szCs w:val="20"/>
              </w:rPr>
              <w:t>Support to beneficiary countries</w:t>
            </w:r>
          </w:p>
        </w:tc>
        <w:tc>
          <w:tcPr>
            <w:tcW w:w="522" w:type="pct"/>
            <w:noWrap/>
          </w:tcPr>
          <w:p w:rsidR="007D25C7" w:rsidRPr="001178F3" w:rsidRDefault="007D25C7" w:rsidP="00681E45">
            <w:pPr>
              <w:keepNext/>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Arial"/>
                <w:b/>
                <w:szCs w:val="20"/>
              </w:rPr>
            </w:pPr>
            <w:r w:rsidRPr="001178F3">
              <w:rPr>
                <w:rFonts w:asciiTheme="minorHAnsi" w:hAnsiTheme="minorHAnsi" w:cs="Arial"/>
                <w:b/>
                <w:szCs w:val="20"/>
              </w:rPr>
              <w:t> </w:t>
            </w:r>
          </w:p>
        </w:tc>
        <w:tc>
          <w:tcPr>
            <w:tcW w:w="373" w:type="pct"/>
            <w:noWrap/>
          </w:tcPr>
          <w:p w:rsidR="007D25C7" w:rsidRPr="001178F3" w:rsidRDefault="007D25C7" w:rsidP="00681E45">
            <w:pPr>
              <w:keepNext/>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Arial"/>
                <w:b/>
                <w:szCs w:val="20"/>
              </w:rPr>
            </w:pPr>
            <w:r w:rsidRPr="001178F3">
              <w:rPr>
                <w:rFonts w:asciiTheme="minorHAnsi" w:hAnsiTheme="minorHAnsi" w:cs="Arial"/>
                <w:b/>
                <w:szCs w:val="20"/>
              </w:rPr>
              <w:t> </w:t>
            </w:r>
          </w:p>
        </w:tc>
        <w:tc>
          <w:tcPr>
            <w:tcW w:w="595" w:type="pct"/>
            <w:noWrap/>
          </w:tcPr>
          <w:p w:rsidR="007D25C7" w:rsidRPr="001178F3" w:rsidRDefault="007D25C7" w:rsidP="00681E45">
            <w:pPr>
              <w:keepNext/>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Arial"/>
                <w:b/>
                <w:szCs w:val="20"/>
              </w:rPr>
            </w:pPr>
            <w:r w:rsidRPr="001178F3">
              <w:rPr>
                <w:rFonts w:asciiTheme="minorHAnsi" w:hAnsiTheme="minorHAnsi" w:cs="Arial"/>
                <w:b/>
                <w:szCs w:val="20"/>
              </w:rPr>
              <w:t> </w:t>
            </w:r>
          </w:p>
        </w:tc>
        <w:tc>
          <w:tcPr>
            <w:tcW w:w="373" w:type="pct"/>
            <w:noWrap/>
          </w:tcPr>
          <w:p w:rsidR="007D25C7" w:rsidRPr="001178F3" w:rsidRDefault="007D25C7" w:rsidP="00681E45">
            <w:pPr>
              <w:keepNext/>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Arial"/>
                <w:b/>
                <w:szCs w:val="20"/>
              </w:rPr>
            </w:pPr>
            <w:r w:rsidRPr="001178F3">
              <w:rPr>
                <w:rFonts w:asciiTheme="minorHAnsi" w:hAnsiTheme="minorHAnsi" w:cs="Arial"/>
                <w:b/>
                <w:szCs w:val="20"/>
              </w:rPr>
              <w:t> </w:t>
            </w:r>
          </w:p>
        </w:tc>
        <w:tc>
          <w:tcPr>
            <w:tcW w:w="596" w:type="pct"/>
            <w:noWrap/>
          </w:tcPr>
          <w:p w:rsidR="007D25C7" w:rsidRPr="001178F3" w:rsidRDefault="007D25C7" w:rsidP="00681E45">
            <w:pPr>
              <w:keepNext/>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Arial"/>
                <w:b/>
                <w:szCs w:val="20"/>
              </w:rPr>
            </w:pPr>
            <w:r w:rsidRPr="001178F3">
              <w:rPr>
                <w:rFonts w:asciiTheme="minorHAnsi" w:hAnsiTheme="minorHAnsi" w:cs="Arial"/>
                <w:b/>
                <w:szCs w:val="20"/>
              </w:rPr>
              <w:t> </w:t>
            </w:r>
          </w:p>
        </w:tc>
        <w:tc>
          <w:tcPr>
            <w:tcW w:w="374" w:type="pct"/>
            <w:noWrap/>
          </w:tcPr>
          <w:p w:rsidR="007D25C7" w:rsidRPr="001178F3" w:rsidRDefault="007D25C7" w:rsidP="00681E45">
            <w:pPr>
              <w:keepNext/>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Arial"/>
                <w:b/>
                <w:szCs w:val="20"/>
              </w:rPr>
            </w:pPr>
            <w:r w:rsidRPr="001178F3">
              <w:rPr>
                <w:rFonts w:asciiTheme="minorHAnsi" w:hAnsiTheme="minorHAnsi" w:cs="Arial"/>
                <w:b/>
                <w:szCs w:val="20"/>
              </w:rPr>
              <w:t> </w:t>
            </w:r>
          </w:p>
        </w:tc>
        <w:tc>
          <w:tcPr>
            <w:tcW w:w="594" w:type="pct"/>
            <w:noWrap/>
          </w:tcPr>
          <w:p w:rsidR="007D25C7" w:rsidRPr="001178F3" w:rsidRDefault="007D25C7" w:rsidP="00681E45">
            <w:pPr>
              <w:keepNext/>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Arial"/>
                <w:b/>
                <w:szCs w:val="20"/>
              </w:rPr>
            </w:pPr>
            <w:r w:rsidRPr="001178F3">
              <w:rPr>
                <w:rFonts w:asciiTheme="minorHAnsi" w:hAnsiTheme="minorHAnsi" w:cs="Arial"/>
                <w:b/>
                <w:szCs w:val="20"/>
              </w:rPr>
              <w:t> </w:t>
            </w:r>
          </w:p>
        </w:tc>
        <w:tc>
          <w:tcPr>
            <w:tcW w:w="324" w:type="pct"/>
            <w:noWrap/>
          </w:tcPr>
          <w:p w:rsidR="007D25C7" w:rsidRPr="001178F3" w:rsidRDefault="007D25C7" w:rsidP="00681E45">
            <w:pPr>
              <w:keepNext/>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Arial"/>
                <w:b/>
                <w:szCs w:val="20"/>
              </w:rPr>
            </w:pPr>
            <w:r w:rsidRPr="001178F3">
              <w:rPr>
                <w:rFonts w:asciiTheme="minorHAnsi" w:hAnsiTheme="minorHAnsi" w:cs="Arial"/>
                <w:b/>
                <w:szCs w:val="20"/>
              </w:rPr>
              <w:t> </w:t>
            </w:r>
          </w:p>
        </w:tc>
      </w:tr>
      <w:tr w:rsidR="007D25C7" w:rsidRPr="001178F3">
        <w:trPr>
          <w:cnfStyle w:val="000000010000" w:firstRow="0" w:lastRow="0" w:firstColumn="0" w:lastColumn="0" w:oddVBand="0" w:evenVBand="0" w:oddHBand="0" w:evenHBand="1"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48" w:type="pct"/>
            <w:noWrap/>
          </w:tcPr>
          <w:p w:rsidR="007D25C7" w:rsidRPr="001178F3" w:rsidRDefault="007D25C7" w:rsidP="00681E45">
            <w:pPr>
              <w:keepNext/>
              <w:spacing w:after="0"/>
              <w:jc w:val="left"/>
              <w:rPr>
                <w:rFonts w:asciiTheme="minorHAnsi" w:hAnsiTheme="minorHAnsi" w:cs="Arial"/>
                <w:b/>
                <w:szCs w:val="20"/>
                <w:lang w:val="en-US"/>
              </w:rPr>
            </w:pPr>
            <w:r w:rsidRPr="001178F3">
              <w:rPr>
                <w:rFonts w:asciiTheme="minorHAnsi" w:hAnsiTheme="minorHAnsi" w:cs="Arial"/>
                <w:b/>
                <w:szCs w:val="20"/>
                <w:lang w:val="en-US"/>
              </w:rPr>
              <w:t>- Least Developed and Low Income Countries</w:t>
            </w:r>
          </w:p>
        </w:tc>
        <w:tc>
          <w:tcPr>
            <w:tcW w:w="522" w:type="pct"/>
            <w:noWrap/>
          </w:tcPr>
          <w:p w:rsidR="007D25C7" w:rsidRPr="001178F3" w:rsidRDefault="007D25C7" w:rsidP="00681E45">
            <w:pPr>
              <w:keepNext/>
              <w:spacing w:after="0"/>
              <w:jc w:val="right"/>
              <w:cnfStyle w:val="000000010000" w:firstRow="0" w:lastRow="0" w:firstColumn="0" w:lastColumn="0" w:oddVBand="0" w:evenVBand="0" w:oddHBand="0" w:evenHBand="1" w:firstRowFirstColumn="0" w:firstRowLastColumn="0" w:lastRowFirstColumn="0" w:lastRowLastColumn="0"/>
              <w:rPr>
                <w:rFonts w:asciiTheme="minorHAnsi" w:hAnsiTheme="minorHAnsi" w:cs="Arial"/>
                <w:szCs w:val="20"/>
              </w:rPr>
            </w:pPr>
            <w:r w:rsidRPr="001178F3">
              <w:rPr>
                <w:rFonts w:asciiTheme="minorHAnsi" w:hAnsiTheme="minorHAnsi" w:cs="Arial"/>
                <w:szCs w:val="20"/>
              </w:rPr>
              <w:t>428,788</w:t>
            </w:r>
          </w:p>
        </w:tc>
        <w:tc>
          <w:tcPr>
            <w:tcW w:w="373" w:type="pct"/>
            <w:noWrap/>
          </w:tcPr>
          <w:p w:rsidR="007D25C7" w:rsidRPr="001178F3" w:rsidRDefault="007D25C7" w:rsidP="00681E45">
            <w:pPr>
              <w:keepNext/>
              <w:spacing w:after="0"/>
              <w:jc w:val="right"/>
              <w:cnfStyle w:val="000000010000" w:firstRow="0" w:lastRow="0" w:firstColumn="0" w:lastColumn="0" w:oddVBand="0" w:evenVBand="0" w:oddHBand="0" w:evenHBand="1" w:firstRowFirstColumn="0" w:firstRowLastColumn="0" w:lastRowFirstColumn="0" w:lastRowLastColumn="0"/>
              <w:rPr>
                <w:rFonts w:asciiTheme="minorHAnsi" w:hAnsiTheme="minorHAnsi" w:cs="Arial"/>
                <w:szCs w:val="20"/>
              </w:rPr>
            </w:pPr>
            <w:r w:rsidRPr="001178F3">
              <w:rPr>
                <w:rFonts w:asciiTheme="minorHAnsi" w:hAnsiTheme="minorHAnsi" w:cs="Arial"/>
                <w:szCs w:val="20"/>
              </w:rPr>
              <w:t>49%</w:t>
            </w:r>
          </w:p>
        </w:tc>
        <w:tc>
          <w:tcPr>
            <w:tcW w:w="595" w:type="pct"/>
            <w:noWrap/>
          </w:tcPr>
          <w:p w:rsidR="007D25C7" w:rsidRPr="001178F3" w:rsidRDefault="007D25C7" w:rsidP="00681E45">
            <w:pPr>
              <w:keepNext/>
              <w:spacing w:after="0"/>
              <w:jc w:val="right"/>
              <w:cnfStyle w:val="000000010000" w:firstRow="0" w:lastRow="0" w:firstColumn="0" w:lastColumn="0" w:oddVBand="0" w:evenVBand="0" w:oddHBand="0" w:evenHBand="1" w:firstRowFirstColumn="0" w:firstRowLastColumn="0" w:lastRowFirstColumn="0" w:lastRowLastColumn="0"/>
              <w:rPr>
                <w:rFonts w:asciiTheme="minorHAnsi" w:hAnsiTheme="minorHAnsi" w:cs="Arial"/>
                <w:szCs w:val="20"/>
              </w:rPr>
            </w:pPr>
            <w:r w:rsidRPr="001178F3">
              <w:rPr>
                <w:rFonts w:asciiTheme="minorHAnsi" w:hAnsiTheme="minorHAnsi" w:cs="Arial"/>
                <w:szCs w:val="20"/>
              </w:rPr>
              <w:t>584,356</w:t>
            </w:r>
          </w:p>
        </w:tc>
        <w:tc>
          <w:tcPr>
            <w:tcW w:w="373" w:type="pct"/>
            <w:noWrap/>
          </w:tcPr>
          <w:p w:rsidR="007D25C7" w:rsidRPr="001178F3" w:rsidRDefault="007D25C7" w:rsidP="00681E45">
            <w:pPr>
              <w:keepNext/>
              <w:spacing w:after="0"/>
              <w:jc w:val="right"/>
              <w:cnfStyle w:val="000000010000" w:firstRow="0" w:lastRow="0" w:firstColumn="0" w:lastColumn="0" w:oddVBand="0" w:evenVBand="0" w:oddHBand="0" w:evenHBand="1" w:firstRowFirstColumn="0" w:firstRowLastColumn="0" w:lastRowFirstColumn="0" w:lastRowLastColumn="0"/>
              <w:rPr>
                <w:rFonts w:asciiTheme="minorHAnsi" w:hAnsiTheme="minorHAnsi" w:cs="Arial"/>
                <w:szCs w:val="20"/>
              </w:rPr>
            </w:pPr>
            <w:r w:rsidRPr="001178F3">
              <w:rPr>
                <w:rFonts w:asciiTheme="minorHAnsi" w:hAnsiTheme="minorHAnsi" w:cs="Arial"/>
                <w:szCs w:val="20"/>
              </w:rPr>
              <w:t>45%</w:t>
            </w:r>
          </w:p>
        </w:tc>
        <w:tc>
          <w:tcPr>
            <w:tcW w:w="596" w:type="pct"/>
            <w:noWrap/>
          </w:tcPr>
          <w:p w:rsidR="007D25C7" w:rsidRPr="001178F3" w:rsidRDefault="007D25C7" w:rsidP="00681E45">
            <w:pPr>
              <w:keepNext/>
              <w:spacing w:after="0"/>
              <w:jc w:val="right"/>
              <w:cnfStyle w:val="000000010000" w:firstRow="0" w:lastRow="0" w:firstColumn="0" w:lastColumn="0" w:oddVBand="0" w:evenVBand="0" w:oddHBand="0" w:evenHBand="1" w:firstRowFirstColumn="0" w:firstRowLastColumn="0" w:lastRowFirstColumn="0" w:lastRowLastColumn="0"/>
              <w:rPr>
                <w:rFonts w:asciiTheme="minorHAnsi" w:hAnsiTheme="minorHAnsi" w:cs="Arial"/>
                <w:szCs w:val="20"/>
              </w:rPr>
            </w:pPr>
            <w:r w:rsidRPr="001178F3">
              <w:rPr>
                <w:rFonts w:asciiTheme="minorHAnsi" w:hAnsiTheme="minorHAnsi" w:cs="Arial"/>
                <w:szCs w:val="20"/>
              </w:rPr>
              <w:t>667</w:t>
            </w:r>
            <w:r>
              <w:rPr>
                <w:rFonts w:asciiTheme="minorHAnsi" w:hAnsiTheme="minorHAnsi" w:cs="Arial"/>
                <w:szCs w:val="20"/>
              </w:rPr>
              <w:t>,</w:t>
            </w:r>
            <w:r w:rsidRPr="001178F3">
              <w:rPr>
                <w:rFonts w:asciiTheme="minorHAnsi" w:hAnsiTheme="minorHAnsi" w:cs="Arial"/>
                <w:szCs w:val="20"/>
              </w:rPr>
              <w:t>793</w:t>
            </w:r>
          </w:p>
        </w:tc>
        <w:tc>
          <w:tcPr>
            <w:tcW w:w="374" w:type="pct"/>
            <w:noWrap/>
          </w:tcPr>
          <w:p w:rsidR="007D25C7" w:rsidRPr="001178F3" w:rsidRDefault="007D25C7" w:rsidP="00681E45">
            <w:pPr>
              <w:keepNext/>
              <w:spacing w:after="0"/>
              <w:jc w:val="right"/>
              <w:cnfStyle w:val="000000010000" w:firstRow="0" w:lastRow="0" w:firstColumn="0" w:lastColumn="0" w:oddVBand="0" w:evenVBand="0" w:oddHBand="0" w:evenHBand="1" w:firstRowFirstColumn="0" w:firstRowLastColumn="0" w:lastRowFirstColumn="0" w:lastRowLastColumn="0"/>
              <w:rPr>
                <w:rFonts w:asciiTheme="minorHAnsi" w:hAnsiTheme="minorHAnsi" w:cs="Arial"/>
                <w:szCs w:val="20"/>
              </w:rPr>
            </w:pPr>
            <w:r w:rsidRPr="001178F3">
              <w:rPr>
                <w:rFonts w:asciiTheme="minorHAnsi" w:hAnsiTheme="minorHAnsi" w:cs="Arial"/>
                <w:szCs w:val="20"/>
              </w:rPr>
              <w:t>46%</w:t>
            </w:r>
          </w:p>
        </w:tc>
        <w:tc>
          <w:tcPr>
            <w:tcW w:w="594" w:type="pct"/>
            <w:noWrap/>
          </w:tcPr>
          <w:p w:rsidR="007D25C7" w:rsidRPr="001178F3" w:rsidRDefault="007D25C7" w:rsidP="00681E45">
            <w:pPr>
              <w:keepNext/>
              <w:spacing w:after="0"/>
              <w:jc w:val="right"/>
              <w:cnfStyle w:val="000000010000" w:firstRow="0" w:lastRow="0" w:firstColumn="0" w:lastColumn="0" w:oddVBand="0" w:evenVBand="0" w:oddHBand="0" w:evenHBand="1" w:firstRowFirstColumn="0" w:firstRowLastColumn="0" w:lastRowFirstColumn="0" w:lastRowLastColumn="0"/>
              <w:rPr>
                <w:rFonts w:asciiTheme="minorHAnsi" w:hAnsiTheme="minorHAnsi" w:cs="Arial"/>
                <w:szCs w:val="20"/>
              </w:rPr>
            </w:pPr>
            <w:r>
              <w:rPr>
                <w:rFonts w:asciiTheme="minorHAnsi" w:hAnsiTheme="minorHAnsi" w:cs="Arial"/>
                <w:szCs w:val="20"/>
              </w:rPr>
              <w:t>2,739,</w:t>
            </w:r>
            <w:r w:rsidRPr="001178F3">
              <w:rPr>
                <w:rFonts w:asciiTheme="minorHAnsi" w:hAnsiTheme="minorHAnsi" w:cs="Arial"/>
                <w:szCs w:val="20"/>
              </w:rPr>
              <w:t>466</w:t>
            </w:r>
          </w:p>
        </w:tc>
        <w:tc>
          <w:tcPr>
            <w:tcW w:w="324" w:type="pct"/>
            <w:noWrap/>
          </w:tcPr>
          <w:p w:rsidR="007D25C7" w:rsidRPr="001178F3" w:rsidRDefault="007D25C7" w:rsidP="00681E45">
            <w:pPr>
              <w:keepNext/>
              <w:spacing w:after="0"/>
              <w:jc w:val="right"/>
              <w:cnfStyle w:val="000000010000" w:firstRow="0" w:lastRow="0" w:firstColumn="0" w:lastColumn="0" w:oddVBand="0" w:evenVBand="0" w:oddHBand="0" w:evenHBand="1" w:firstRowFirstColumn="0" w:firstRowLastColumn="0" w:lastRowFirstColumn="0" w:lastRowLastColumn="0"/>
              <w:rPr>
                <w:rFonts w:asciiTheme="minorHAnsi" w:hAnsiTheme="minorHAnsi" w:cs="Arial"/>
                <w:szCs w:val="20"/>
              </w:rPr>
            </w:pPr>
            <w:r w:rsidRPr="001178F3">
              <w:rPr>
                <w:rFonts w:asciiTheme="minorHAnsi" w:hAnsiTheme="minorHAnsi" w:cs="Arial"/>
                <w:szCs w:val="20"/>
              </w:rPr>
              <w:t>46%</w:t>
            </w:r>
          </w:p>
        </w:tc>
      </w:tr>
      <w:tr w:rsidR="007D25C7" w:rsidRPr="001178F3">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48" w:type="pct"/>
            <w:noWrap/>
          </w:tcPr>
          <w:p w:rsidR="007D25C7" w:rsidRPr="001178F3" w:rsidRDefault="007D25C7" w:rsidP="00681E45">
            <w:pPr>
              <w:keepNext/>
              <w:spacing w:after="0"/>
              <w:jc w:val="left"/>
              <w:rPr>
                <w:rFonts w:asciiTheme="minorHAnsi" w:hAnsiTheme="minorHAnsi" w:cs="Arial"/>
                <w:b/>
                <w:szCs w:val="20"/>
                <w:lang w:val="en-US"/>
              </w:rPr>
            </w:pPr>
            <w:r w:rsidRPr="001178F3">
              <w:rPr>
                <w:rFonts w:asciiTheme="minorHAnsi" w:hAnsiTheme="minorHAnsi" w:cs="Arial"/>
                <w:b/>
                <w:szCs w:val="20"/>
                <w:lang w:val="en-US"/>
              </w:rPr>
              <w:t xml:space="preserve">- Lower and Upper Middle Income Countries </w:t>
            </w:r>
          </w:p>
        </w:tc>
        <w:tc>
          <w:tcPr>
            <w:tcW w:w="522" w:type="pct"/>
            <w:noWrap/>
          </w:tcPr>
          <w:p w:rsidR="007D25C7" w:rsidRPr="001178F3" w:rsidRDefault="007D25C7" w:rsidP="00681E45">
            <w:pPr>
              <w:keepNext/>
              <w:spacing w:after="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20"/>
              </w:rPr>
            </w:pPr>
            <w:r w:rsidRPr="001178F3">
              <w:rPr>
                <w:rFonts w:asciiTheme="minorHAnsi" w:hAnsiTheme="minorHAnsi" w:cs="Arial"/>
                <w:szCs w:val="20"/>
              </w:rPr>
              <w:t>322,194</w:t>
            </w:r>
          </w:p>
        </w:tc>
        <w:tc>
          <w:tcPr>
            <w:tcW w:w="373" w:type="pct"/>
            <w:noWrap/>
          </w:tcPr>
          <w:p w:rsidR="007D25C7" w:rsidRPr="001178F3" w:rsidRDefault="007D25C7" w:rsidP="00681E45">
            <w:pPr>
              <w:keepNext/>
              <w:spacing w:after="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20"/>
              </w:rPr>
            </w:pPr>
            <w:r w:rsidRPr="001178F3">
              <w:rPr>
                <w:rFonts w:asciiTheme="minorHAnsi" w:hAnsiTheme="minorHAnsi" w:cs="Arial"/>
                <w:szCs w:val="20"/>
              </w:rPr>
              <w:t>37%</w:t>
            </w:r>
          </w:p>
        </w:tc>
        <w:tc>
          <w:tcPr>
            <w:tcW w:w="595" w:type="pct"/>
            <w:noWrap/>
          </w:tcPr>
          <w:p w:rsidR="007D25C7" w:rsidRPr="001178F3" w:rsidRDefault="007D25C7" w:rsidP="00681E45">
            <w:pPr>
              <w:keepNext/>
              <w:spacing w:after="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20"/>
              </w:rPr>
            </w:pPr>
            <w:r w:rsidRPr="001178F3">
              <w:rPr>
                <w:rFonts w:asciiTheme="minorHAnsi" w:hAnsiTheme="minorHAnsi" w:cs="Arial"/>
                <w:szCs w:val="20"/>
              </w:rPr>
              <w:t>486,197</w:t>
            </w:r>
          </w:p>
        </w:tc>
        <w:tc>
          <w:tcPr>
            <w:tcW w:w="373" w:type="pct"/>
            <w:noWrap/>
          </w:tcPr>
          <w:p w:rsidR="007D25C7" w:rsidRPr="001178F3" w:rsidRDefault="007D25C7" w:rsidP="00681E45">
            <w:pPr>
              <w:keepNext/>
              <w:spacing w:after="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20"/>
              </w:rPr>
            </w:pPr>
            <w:r w:rsidRPr="001178F3">
              <w:rPr>
                <w:rFonts w:asciiTheme="minorHAnsi" w:hAnsiTheme="minorHAnsi" w:cs="Arial"/>
                <w:szCs w:val="20"/>
              </w:rPr>
              <w:t>37%</w:t>
            </w:r>
          </w:p>
        </w:tc>
        <w:tc>
          <w:tcPr>
            <w:tcW w:w="596" w:type="pct"/>
            <w:noWrap/>
          </w:tcPr>
          <w:p w:rsidR="007D25C7" w:rsidRPr="001178F3" w:rsidRDefault="007D25C7" w:rsidP="00681E45">
            <w:pPr>
              <w:keepNext/>
              <w:spacing w:after="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20"/>
              </w:rPr>
            </w:pPr>
            <w:r w:rsidRPr="001178F3">
              <w:rPr>
                <w:rFonts w:asciiTheme="minorHAnsi" w:hAnsiTheme="minorHAnsi" w:cs="Arial"/>
                <w:szCs w:val="20"/>
              </w:rPr>
              <w:t>307</w:t>
            </w:r>
            <w:r>
              <w:rPr>
                <w:rFonts w:asciiTheme="minorHAnsi" w:hAnsiTheme="minorHAnsi" w:cs="Arial"/>
                <w:szCs w:val="20"/>
              </w:rPr>
              <w:t>,</w:t>
            </w:r>
            <w:r w:rsidRPr="001178F3">
              <w:rPr>
                <w:rFonts w:asciiTheme="minorHAnsi" w:hAnsiTheme="minorHAnsi" w:cs="Arial"/>
                <w:szCs w:val="20"/>
              </w:rPr>
              <w:t>685</w:t>
            </w:r>
          </w:p>
        </w:tc>
        <w:tc>
          <w:tcPr>
            <w:tcW w:w="374" w:type="pct"/>
            <w:noWrap/>
          </w:tcPr>
          <w:p w:rsidR="007D25C7" w:rsidRPr="001178F3" w:rsidRDefault="007D25C7" w:rsidP="00681E45">
            <w:pPr>
              <w:keepNext/>
              <w:spacing w:after="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20"/>
              </w:rPr>
            </w:pPr>
            <w:r w:rsidRPr="001178F3">
              <w:rPr>
                <w:rFonts w:asciiTheme="minorHAnsi" w:hAnsiTheme="minorHAnsi" w:cs="Arial"/>
                <w:szCs w:val="20"/>
              </w:rPr>
              <w:t>21%</w:t>
            </w:r>
          </w:p>
        </w:tc>
        <w:tc>
          <w:tcPr>
            <w:tcW w:w="594" w:type="pct"/>
            <w:noWrap/>
          </w:tcPr>
          <w:p w:rsidR="007D25C7" w:rsidRPr="001178F3" w:rsidRDefault="007D25C7" w:rsidP="00681E45">
            <w:pPr>
              <w:keepNext/>
              <w:spacing w:after="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20"/>
              </w:rPr>
            </w:pPr>
            <w:r>
              <w:rPr>
                <w:rFonts w:asciiTheme="minorHAnsi" w:hAnsiTheme="minorHAnsi" w:cs="Arial"/>
                <w:szCs w:val="20"/>
              </w:rPr>
              <w:t>1,883,</w:t>
            </w:r>
            <w:r w:rsidRPr="001178F3">
              <w:rPr>
                <w:rFonts w:asciiTheme="minorHAnsi" w:hAnsiTheme="minorHAnsi" w:cs="Arial"/>
                <w:szCs w:val="20"/>
              </w:rPr>
              <w:t>958</w:t>
            </w:r>
          </w:p>
        </w:tc>
        <w:tc>
          <w:tcPr>
            <w:tcW w:w="324" w:type="pct"/>
            <w:noWrap/>
          </w:tcPr>
          <w:p w:rsidR="007D25C7" w:rsidRPr="001178F3" w:rsidRDefault="007D25C7" w:rsidP="00681E45">
            <w:pPr>
              <w:keepNext/>
              <w:spacing w:after="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20"/>
              </w:rPr>
            </w:pPr>
            <w:r w:rsidRPr="001178F3">
              <w:rPr>
                <w:rFonts w:asciiTheme="minorHAnsi" w:hAnsiTheme="minorHAnsi" w:cs="Arial"/>
                <w:szCs w:val="20"/>
              </w:rPr>
              <w:t>32%</w:t>
            </w:r>
          </w:p>
        </w:tc>
      </w:tr>
      <w:tr w:rsidR="007D25C7" w:rsidRPr="001178F3">
        <w:trPr>
          <w:cnfStyle w:val="000000010000" w:firstRow="0" w:lastRow="0" w:firstColumn="0" w:lastColumn="0" w:oddVBand="0" w:evenVBand="0" w:oddHBand="0" w:evenHBand="1"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48" w:type="pct"/>
            <w:noWrap/>
          </w:tcPr>
          <w:p w:rsidR="007D25C7" w:rsidRPr="001178F3" w:rsidRDefault="007D25C7" w:rsidP="00681E45">
            <w:pPr>
              <w:keepNext/>
              <w:spacing w:after="0"/>
              <w:jc w:val="left"/>
              <w:rPr>
                <w:rFonts w:asciiTheme="minorHAnsi" w:hAnsiTheme="minorHAnsi" w:cs="Arial"/>
                <w:szCs w:val="20"/>
              </w:rPr>
            </w:pPr>
            <w:r w:rsidRPr="001178F3">
              <w:rPr>
                <w:rFonts w:asciiTheme="minorHAnsi" w:hAnsiTheme="minorHAnsi" w:cs="Arial"/>
                <w:szCs w:val="20"/>
              </w:rPr>
              <w:t xml:space="preserve">Training and technical support </w:t>
            </w:r>
          </w:p>
        </w:tc>
        <w:tc>
          <w:tcPr>
            <w:tcW w:w="522" w:type="pct"/>
            <w:noWrap/>
          </w:tcPr>
          <w:p w:rsidR="007D25C7" w:rsidRPr="001178F3" w:rsidRDefault="007D25C7" w:rsidP="00681E45">
            <w:pPr>
              <w:keepNext/>
              <w:spacing w:after="0"/>
              <w:jc w:val="right"/>
              <w:cnfStyle w:val="000000010000" w:firstRow="0" w:lastRow="0" w:firstColumn="0" w:lastColumn="0" w:oddVBand="0" w:evenVBand="0" w:oddHBand="0" w:evenHBand="1" w:firstRowFirstColumn="0" w:firstRowLastColumn="0" w:lastRowFirstColumn="0" w:lastRowLastColumn="0"/>
              <w:rPr>
                <w:rFonts w:asciiTheme="minorHAnsi" w:hAnsiTheme="minorHAnsi" w:cs="Arial"/>
                <w:szCs w:val="20"/>
              </w:rPr>
            </w:pPr>
            <w:r w:rsidRPr="001178F3">
              <w:rPr>
                <w:rFonts w:asciiTheme="minorHAnsi" w:hAnsiTheme="minorHAnsi" w:cs="Arial"/>
                <w:szCs w:val="20"/>
              </w:rPr>
              <w:t>-39,174</w:t>
            </w:r>
          </w:p>
        </w:tc>
        <w:tc>
          <w:tcPr>
            <w:tcW w:w="373" w:type="pct"/>
            <w:noWrap/>
          </w:tcPr>
          <w:p w:rsidR="007D25C7" w:rsidRPr="001178F3" w:rsidRDefault="007D25C7" w:rsidP="00681E45">
            <w:pPr>
              <w:keepNext/>
              <w:spacing w:after="0"/>
              <w:jc w:val="right"/>
              <w:cnfStyle w:val="000000010000" w:firstRow="0" w:lastRow="0" w:firstColumn="0" w:lastColumn="0" w:oddVBand="0" w:evenVBand="0" w:oddHBand="0" w:evenHBand="1" w:firstRowFirstColumn="0" w:firstRowLastColumn="0" w:lastRowFirstColumn="0" w:lastRowLastColumn="0"/>
              <w:rPr>
                <w:rFonts w:asciiTheme="minorHAnsi" w:hAnsiTheme="minorHAnsi" w:cs="Arial"/>
                <w:szCs w:val="20"/>
              </w:rPr>
            </w:pPr>
            <w:r w:rsidRPr="001178F3">
              <w:rPr>
                <w:rFonts w:asciiTheme="minorHAnsi" w:hAnsiTheme="minorHAnsi" w:cs="Arial"/>
                <w:szCs w:val="20"/>
              </w:rPr>
              <w:t>-4%</w:t>
            </w:r>
          </w:p>
        </w:tc>
        <w:tc>
          <w:tcPr>
            <w:tcW w:w="595" w:type="pct"/>
            <w:noWrap/>
          </w:tcPr>
          <w:p w:rsidR="007D25C7" w:rsidRPr="001178F3" w:rsidRDefault="007D25C7" w:rsidP="00681E45">
            <w:pPr>
              <w:keepNext/>
              <w:spacing w:after="0"/>
              <w:jc w:val="right"/>
              <w:cnfStyle w:val="000000010000" w:firstRow="0" w:lastRow="0" w:firstColumn="0" w:lastColumn="0" w:oddVBand="0" w:evenVBand="0" w:oddHBand="0" w:evenHBand="1" w:firstRowFirstColumn="0" w:firstRowLastColumn="0" w:lastRowFirstColumn="0" w:lastRowLastColumn="0"/>
              <w:rPr>
                <w:rFonts w:asciiTheme="minorHAnsi" w:hAnsiTheme="minorHAnsi" w:cs="Arial"/>
                <w:szCs w:val="20"/>
              </w:rPr>
            </w:pPr>
            <w:r w:rsidRPr="001178F3">
              <w:rPr>
                <w:rFonts w:asciiTheme="minorHAnsi" w:hAnsiTheme="minorHAnsi" w:cs="Arial"/>
                <w:szCs w:val="20"/>
              </w:rPr>
              <w:t>115,383</w:t>
            </w:r>
          </w:p>
        </w:tc>
        <w:tc>
          <w:tcPr>
            <w:tcW w:w="373" w:type="pct"/>
            <w:noWrap/>
          </w:tcPr>
          <w:p w:rsidR="007D25C7" w:rsidRPr="001178F3" w:rsidRDefault="007D25C7" w:rsidP="00681E45">
            <w:pPr>
              <w:keepNext/>
              <w:spacing w:after="0"/>
              <w:jc w:val="right"/>
              <w:cnfStyle w:val="000000010000" w:firstRow="0" w:lastRow="0" w:firstColumn="0" w:lastColumn="0" w:oddVBand="0" w:evenVBand="0" w:oddHBand="0" w:evenHBand="1" w:firstRowFirstColumn="0" w:firstRowLastColumn="0" w:lastRowFirstColumn="0" w:lastRowLastColumn="0"/>
              <w:rPr>
                <w:rFonts w:asciiTheme="minorHAnsi" w:hAnsiTheme="minorHAnsi" w:cs="Arial"/>
                <w:szCs w:val="20"/>
              </w:rPr>
            </w:pPr>
            <w:r w:rsidRPr="001178F3">
              <w:rPr>
                <w:rFonts w:asciiTheme="minorHAnsi" w:hAnsiTheme="minorHAnsi" w:cs="Arial"/>
                <w:szCs w:val="20"/>
              </w:rPr>
              <w:t>9%</w:t>
            </w:r>
          </w:p>
        </w:tc>
        <w:tc>
          <w:tcPr>
            <w:tcW w:w="596" w:type="pct"/>
            <w:noWrap/>
          </w:tcPr>
          <w:p w:rsidR="007D25C7" w:rsidRPr="001178F3" w:rsidRDefault="007D25C7" w:rsidP="00681E45">
            <w:pPr>
              <w:keepNext/>
              <w:spacing w:after="0"/>
              <w:jc w:val="right"/>
              <w:cnfStyle w:val="000000010000" w:firstRow="0" w:lastRow="0" w:firstColumn="0" w:lastColumn="0" w:oddVBand="0" w:evenVBand="0" w:oddHBand="0" w:evenHBand="1" w:firstRowFirstColumn="0" w:firstRowLastColumn="0" w:lastRowFirstColumn="0" w:lastRowLastColumn="0"/>
              <w:rPr>
                <w:rFonts w:asciiTheme="minorHAnsi" w:hAnsiTheme="minorHAnsi" w:cs="Arial"/>
                <w:szCs w:val="20"/>
              </w:rPr>
            </w:pPr>
            <w:r w:rsidRPr="001178F3">
              <w:rPr>
                <w:rFonts w:asciiTheme="minorHAnsi" w:hAnsiTheme="minorHAnsi" w:cs="Arial"/>
                <w:szCs w:val="20"/>
              </w:rPr>
              <w:t>110</w:t>
            </w:r>
            <w:r>
              <w:rPr>
                <w:rFonts w:asciiTheme="minorHAnsi" w:hAnsiTheme="minorHAnsi" w:cs="Arial"/>
                <w:szCs w:val="20"/>
              </w:rPr>
              <w:t>,</w:t>
            </w:r>
            <w:r w:rsidRPr="001178F3">
              <w:rPr>
                <w:rFonts w:asciiTheme="minorHAnsi" w:hAnsiTheme="minorHAnsi" w:cs="Arial"/>
                <w:szCs w:val="20"/>
              </w:rPr>
              <w:t>524</w:t>
            </w:r>
          </w:p>
        </w:tc>
        <w:tc>
          <w:tcPr>
            <w:tcW w:w="374" w:type="pct"/>
            <w:noWrap/>
          </w:tcPr>
          <w:p w:rsidR="007D25C7" w:rsidRPr="001178F3" w:rsidRDefault="007D25C7" w:rsidP="00681E45">
            <w:pPr>
              <w:keepNext/>
              <w:spacing w:after="0"/>
              <w:jc w:val="right"/>
              <w:cnfStyle w:val="000000010000" w:firstRow="0" w:lastRow="0" w:firstColumn="0" w:lastColumn="0" w:oddVBand="0" w:evenVBand="0" w:oddHBand="0" w:evenHBand="1" w:firstRowFirstColumn="0" w:firstRowLastColumn="0" w:lastRowFirstColumn="0" w:lastRowLastColumn="0"/>
              <w:rPr>
                <w:rFonts w:asciiTheme="minorHAnsi" w:hAnsiTheme="minorHAnsi" w:cs="Arial"/>
                <w:szCs w:val="20"/>
              </w:rPr>
            </w:pPr>
            <w:r w:rsidRPr="001178F3">
              <w:rPr>
                <w:rFonts w:asciiTheme="minorHAnsi" w:hAnsiTheme="minorHAnsi" w:cs="Arial"/>
                <w:szCs w:val="20"/>
              </w:rPr>
              <w:t>8%</w:t>
            </w:r>
          </w:p>
        </w:tc>
        <w:tc>
          <w:tcPr>
            <w:tcW w:w="594" w:type="pct"/>
            <w:noWrap/>
          </w:tcPr>
          <w:p w:rsidR="007D25C7" w:rsidRPr="001178F3" w:rsidRDefault="007D25C7" w:rsidP="00681E45">
            <w:pPr>
              <w:keepNext/>
              <w:spacing w:after="0"/>
              <w:jc w:val="right"/>
              <w:cnfStyle w:val="000000010000" w:firstRow="0" w:lastRow="0" w:firstColumn="0" w:lastColumn="0" w:oddVBand="0" w:evenVBand="0" w:oddHBand="0" w:evenHBand="1" w:firstRowFirstColumn="0" w:firstRowLastColumn="0" w:lastRowFirstColumn="0" w:lastRowLastColumn="0"/>
              <w:rPr>
                <w:rFonts w:asciiTheme="minorHAnsi" w:hAnsiTheme="minorHAnsi" w:cs="Arial"/>
                <w:szCs w:val="20"/>
              </w:rPr>
            </w:pPr>
            <w:r>
              <w:rPr>
                <w:rFonts w:asciiTheme="minorHAnsi" w:hAnsiTheme="minorHAnsi" w:cs="Arial"/>
                <w:szCs w:val="20"/>
              </w:rPr>
              <w:t>470,</w:t>
            </w:r>
            <w:r w:rsidRPr="001178F3">
              <w:rPr>
                <w:rFonts w:asciiTheme="minorHAnsi" w:hAnsiTheme="minorHAnsi" w:cs="Arial"/>
                <w:szCs w:val="20"/>
              </w:rPr>
              <w:t>815</w:t>
            </w:r>
          </w:p>
        </w:tc>
        <w:tc>
          <w:tcPr>
            <w:tcW w:w="324" w:type="pct"/>
            <w:noWrap/>
          </w:tcPr>
          <w:p w:rsidR="007D25C7" w:rsidRPr="001178F3" w:rsidRDefault="007D25C7" w:rsidP="00681E45">
            <w:pPr>
              <w:keepNext/>
              <w:spacing w:after="0"/>
              <w:jc w:val="right"/>
              <w:cnfStyle w:val="000000010000" w:firstRow="0" w:lastRow="0" w:firstColumn="0" w:lastColumn="0" w:oddVBand="0" w:evenVBand="0" w:oddHBand="0" w:evenHBand="1" w:firstRowFirstColumn="0" w:firstRowLastColumn="0" w:lastRowFirstColumn="0" w:lastRowLastColumn="0"/>
              <w:rPr>
                <w:rFonts w:asciiTheme="minorHAnsi" w:hAnsiTheme="minorHAnsi" w:cs="Arial"/>
                <w:szCs w:val="20"/>
              </w:rPr>
            </w:pPr>
            <w:r w:rsidRPr="001178F3">
              <w:rPr>
                <w:rFonts w:asciiTheme="minorHAnsi" w:hAnsiTheme="minorHAnsi" w:cs="Arial"/>
                <w:szCs w:val="20"/>
              </w:rPr>
              <w:t>8%</w:t>
            </w:r>
          </w:p>
        </w:tc>
      </w:tr>
      <w:tr w:rsidR="007D25C7" w:rsidRPr="001178F3">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48" w:type="pct"/>
            <w:noWrap/>
          </w:tcPr>
          <w:p w:rsidR="007D25C7" w:rsidRPr="001178F3" w:rsidRDefault="007D25C7" w:rsidP="00681E45">
            <w:pPr>
              <w:keepNext/>
              <w:spacing w:after="0"/>
              <w:jc w:val="left"/>
              <w:rPr>
                <w:rFonts w:asciiTheme="minorHAnsi" w:hAnsiTheme="minorHAnsi" w:cs="Arial"/>
                <w:szCs w:val="20"/>
              </w:rPr>
            </w:pPr>
            <w:r w:rsidRPr="001178F3">
              <w:rPr>
                <w:rFonts w:asciiTheme="minorHAnsi" w:hAnsiTheme="minorHAnsi" w:cs="Arial"/>
                <w:szCs w:val="20"/>
              </w:rPr>
              <w:t xml:space="preserve">Project management and administration </w:t>
            </w:r>
          </w:p>
        </w:tc>
        <w:tc>
          <w:tcPr>
            <w:tcW w:w="522" w:type="pct"/>
            <w:noWrap/>
          </w:tcPr>
          <w:p w:rsidR="007D25C7" w:rsidRPr="001178F3" w:rsidRDefault="007D25C7" w:rsidP="00681E45">
            <w:pPr>
              <w:keepNext/>
              <w:spacing w:after="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20"/>
              </w:rPr>
            </w:pPr>
            <w:r w:rsidRPr="001178F3">
              <w:rPr>
                <w:rFonts w:asciiTheme="minorHAnsi" w:hAnsiTheme="minorHAnsi" w:cs="Arial"/>
                <w:szCs w:val="20"/>
              </w:rPr>
              <w:t>170,833</w:t>
            </w:r>
          </w:p>
        </w:tc>
        <w:tc>
          <w:tcPr>
            <w:tcW w:w="373" w:type="pct"/>
            <w:noWrap/>
          </w:tcPr>
          <w:p w:rsidR="007D25C7" w:rsidRPr="001178F3" w:rsidRDefault="007D25C7" w:rsidP="00681E45">
            <w:pPr>
              <w:keepNext/>
              <w:spacing w:after="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20"/>
              </w:rPr>
            </w:pPr>
            <w:r w:rsidRPr="001178F3">
              <w:rPr>
                <w:rFonts w:asciiTheme="minorHAnsi" w:hAnsiTheme="minorHAnsi" w:cs="Arial"/>
                <w:szCs w:val="20"/>
              </w:rPr>
              <w:t>19%</w:t>
            </w:r>
          </w:p>
        </w:tc>
        <w:tc>
          <w:tcPr>
            <w:tcW w:w="595" w:type="pct"/>
            <w:noWrap/>
          </w:tcPr>
          <w:p w:rsidR="007D25C7" w:rsidRPr="001178F3" w:rsidRDefault="007D25C7" w:rsidP="00681E45">
            <w:pPr>
              <w:keepNext/>
              <w:spacing w:after="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20"/>
              </w:rPr>
            </w:pPr>
            <w:r w:rsidRPr="001178F3">
              <w:rPr>
                <w:rFonts w:asciiTheme="minorHAnsi" w:hAnsiTheme="minorHAnsi" w:cs="Arial"/>
                <w:szCs w:val="20"/>
              </w:rPr>
              <w:t>114,491</w:t>
            </w:r>
          </w:p>
        </w:tc>
        <w:tc>
          <w:tcPr>
            <w:tcW w:w="373" w:type="pct"/>
            <w:noWrap/>
          </w:tcPr>
          <w:p w:rsidR="007D25C7" w:rsidRPr="001178F3" w:rsidRDefault="007D25C7" w:rsidP="00681E45">
            <w:pPr>
              <w:keepNext/>
              <w:spacing w:after="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20"/>
              </w:rPr>
            </w:pPr>
            <w:r w:rsidRPr="001178F3">
              <w:rPr>
                <w:rFonts w:asciiTheme="minorHAnsi" w:hAnsiTheme="minorHAnsi" w:cs="Arial"/>
                <w:szCs w:val="20"/>
              </w:rPr>
              <w:t>9%</w:t>
            </w:r>
          </w:p>
        </w:tc>
        <w:tc>
          <w:tcPr>
            <w:tcW w:w="596" w:type="pct"/>
            <w:noWrap/>
          </w:tcPr>
          <w:p w:rsidR="007D25C7" w:rsidRPr="001178F3" w:rsidRDefault="007D25C7" w:rsidP="00681E45">
            <w:pPr>
              <w:keepNext/>
              <w:spacing w:after="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20"/>
              </w:rPr>
            </w:pPr>
            <w:r w:rsidRPr="001178F3">
              <w:rPr>
                <w:rFonts w:asciiTheme="minorHAnsi" w:hAnsiTheme="minorHAnsi" w:cs="Arial"/>
                <w:szCs w:val="20"/>
              </w:rPr>
              <w:t>361</w:t>
            </w:r>
            <w:r>
              <w:rPr>
                <w:rFonts w:asciiTheme="minorHAnsi" w:hAnsiTheme="minorHAnsi" w:cs="Arial"/>
                <w:szCs w:val="20"/>
              </w:rPr>
              <w:t>,</w:t>
            </w:r>
            <w:r w:rsidRPr="001178F3">
              <w:rPr>
                <w:rFonts w:asciiTheme="minorHAnsi" w:hAnsiTheme="minorHAnsi" w:cs="Arial"/>
                <w:szCs w:val="20"/>
              </w:rPr>
              <w:t>778</w:t>
            </w:r>
          </w:p>
        </w:tc>
        <w:tc>
          <w:tcPr>
            <w:tcW w:w="374" w:type="pct"/>
            <w:noWrap/>
          </w:tcPr>
          <w:p w:rsidR="007D25C7" w:rsidRPr="001178F3" w:rsidRDefault="007D25C7" w:rsidP="00681E45">
            <w:pPr>
              <w:keepNext/>
              <w:spacing w:after="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20"/>
              </w:rPr>
            </w:pPr>
            <w:r w:rsidRPr="001178F3">
              <w:rPr>
                <w:rFonts w:asciiTheme="minorHAnsi" w:hAnsiTheme="minorHAnsi" w:cs="Arial"/>
                <w:szCs w:val="20"/>
              </w:rPr>
              <w:t>25%</w:t>
            </w:r>
          </w:p>
        </w:tc>
        <w:tc>
          <w:tcPr>
            <w:tcW w:w="594" w:type="pct"/>
            <w:noWrap/>
          </w:tcPr>
          <w:p w:rsidR="007D25C7" w:rsidRPr="001178F3" w:rsidRDefault="007D25C7" w:rsidP="00681E45">
            <w:pPr>
              <w:keepNext/>
              <w:spacing w:after="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20"/>
              </w:rPr>
            </w:pPr>
            <w:r>
              <w:rPr>
                <w:rFonts w:asciiTheme="minorHAnsi" w:hAnsiTheme="minorHAnsi" w:cs="Arial"/>
                <w:szCs w:val="20"/>
              </w:rPr>
              <w:t>857,</w:t>
            </w:r>
            <w:r w:rsidRPr="001178F3">
              <w:rPr>
                <w:rFonts w:asciiTheme="minorHAnsi" w:hAnsiTheme="minorHAnsi" w:cs="Arial"/>
                <w:szCs w:val="20"/>
              </w:rPr>
              <w:t>178</w:t>
            </w:r>
          </w:p>
        </w:tc>
        <w:tc>
          <w:tcPr>
            <w:tcW w:w="324" w:type="pct"/>
            <w:noWrap/>
          </w:tcPr>
          <w:p w:rsidR="007D25C7" w:rsidRPr="001178F3" w:rsidRDefault="007D25C7" w:rsidP="00681E45">
            <w:pPr>
              <w:keepNext/>
              <w:spacing w:after="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20"/>
              </w:rPr>
            </w:pPr>
            <w:r w:rsidRPr="001178F3">
              <w:rPr>
                <w:rFonts w:asciiTheme="minorHAnsi" w:hAnsiTheme="minorHAnsi" w:cs="Arial"/>
                <w:szCs w:val="20"/>
              </w:rPr>
              <w:t>14%</w:t>
            </w:r>
          </w:p>
        </w:tc>
      </w:tr>
      <w:tr w:rsidR="007D25C7" w:rsidRPr="001178F3">
        <w:trPr>
          <w:cnfStyle w:val="000000010000" w:firstRow="0" w:lastRow="0" w:firstColumn="0" w:lastColumn="0" w:oddVBand="0" w:evenVBand="0" w:oddHBand="0" w:evenHBand="1"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48" w:type="pct"/>
            <w:noWrap/>
          </w:tcPr>
          <w:p w:rsidR="007D25C7" w:rsidRPr="001178F3" w:rsidRDefault="007D25C7" w:rsidP="00681E45">
            <w:pPr>
              <w:keepNext/>
              <w:spacing w:after="0"/>
              <w:jc w:val="left"/>
              <w:rPr>
                <w:rFonts w:asciiTheme="minorHAnsi" w:hAnsiTheme="minorHAnsi" w:cs="Arial"/>
                <w:szCs w:val="20"/>
              </w:rPr>
            </w:pPr>
            <w:r w:rsidRPr="001178F3">
              <w:rPr>
                <w:rFonts w:asciiTheme="minorHAnsi" w:hAnsiTheme="minorHAnsi" w:cs="Arial"/>
                <w:szCs w:val="20"/>
              </w:rPr>
              <w:t>TOTAL</w:t>
            </w:r>
          </w:p>
        </w:tc>
        <w:tc>
          <w:tcPr>
            <w:tcW w:w="522" w:type="pct"/>
            <w:noWrap/>
          </w:tcPr>
          <w:p w:rsidR="007D25C7" w:rsidRPr="001178F3" w:rsidRDefault="007D25C7" w:rsidP="00681E45">
            <w:pPr>
              <w:keepNext/>
              <w:spacing w:after="0"/>
              <w:jc w:val="right"/>
              <w:cnfStyle w:val="000000010000" w:firstRow="0" w:lastRow="0" w:firstColumn="0" w:lastColumn="0" w:oddVBand="0" w:evenVBand="0" w:oddHBand="0" w:evenHBand="1" w:firstRowFirstColumn="0" w:firstRowLastColumn="0" w:lastRowFirstColumn="0" w:lastRowLastColumn="0"/>
              <w:rPr>
                <w:rFonts w:asciiTheme="minorHAnsi" w:hAnsiTheme="minorHAnsi" w:cs="Arial"/>
                <w:szCs w:val="20"/>
              </w:rPr>
            </w:pPr>
            <w:r w:rsidRPr="001178F3">
              <w:rPr>
                <w:rFonts w:asciiTheme="minorHAnsi" w:hAnsiTheme="minorHAnsi" w:cs="Arial"/>
                <w:szCs w:val="20"/>
              </w:rPr>
              <w:t>882,641</w:t>
            </w:r>
          </w:p>
        </w:tc>
        <w:tc>
          <w:tcPr>
            <w:tcW w:w="373" w:type="pct"/>
            <w:noWrap/>
          </w:tcPr>
          <w:p w:rsidR="007D25C7" w:rsidRPr="001178F3" w:rsidRDefault="007D25C7" w:rsidP="00681E45">
            <w:pPr>
              <w:keepNext/>
              <w:spacing w:after="0"/>
              <w:cnfStyle w:val="000000010000" w:firstRow="0" w:lastRow="0" w:firstColumn="0" w:lastColumn="0" w:oddVBand="0" w:evenVBand="0" w:oddHBand="0" w:evenHBand="1" w:firstRowFirstColumn="0" w:firstRowLastColumn="0" w:lastRowFirstColumn="0" w:lastRowLastColumn="0"/>
              <w:rPr>
                <w:rFonts w:asciiTheme="minorHAnsi" w:hAnsiTheme="minorHAnsi" w:cs="Arial"/>
                <w:szCs w:val="20"/>
              </w:rPr>
            </w:pPr>
            <w:r w:rsidRPr="001178F3">
              <w:rPr>
                <w:rFonts w:asciiTheme="minorHAnsi" w:hAnsiTheme="minorHAnsi" w:cs="Arial"/>
                <w:szCs w:val="20"/>
              </w:rPr>
              <w:t> </w:t>
            </w:r>
          </w:p>
        </w:tc>
        <w:tc>
          <w:tcPr>
            <w:tcW w:w="595" w:type="pct"/>
            <w:noWrap/>
          </w:tcPr>
          <w:p w:rsidR="007D25C7" w:rsidRPr="001178F3" w:rsidRDefault="007D25C7" w:rsidP="00681E45">
            <w:pPr>
              <w:keepNext/>
              <w:spacing w:after="0"/>
              <w:jc w:val="right"/>
              <w:cnfStyle w:val="000000010000" w:firstRow="0" w:lastRow="0" w:firstColumn="0" w:lastColumn="0" w:oddVBand="0" w:evenVBand="0" w:oddHBand="0" w:evenHBand="1" w:firstRowFirstColumn="0" w:firstRowLastColumn="0" w:lastRowFirstColumn="0" w:lastRowLastColumn="0"/>
              <w:rPr>
                <w:rFonts w:asciiTheme="minorHAnsi" w:hAnsiTheme="minorHAnsi" w:cs="Arial"/>
                <w:szCs w:val="20"/>
              </w:rPr>
            </w:pPr>
            <w:r w:rsidRPr="001178F3">
              <w:rPr>
                <w:rFonts w:asciiTheme="minorHAnsi" w:hAnsiTheme="minorHAnsi" w:cs="Arial"/>
                <w:szCs w:val="20"/>
              </w:rPr>
              <w:t>1,300,427</w:t>
            </w:r>
          </w:p>
        </w:tc>
        <w:tc>
          <w:tcPr>
            <w:tcW w:w="373" w:type="pct"/>
            <w:noWrap/>
          </w:tcPr>
          <w:p w:rsidR="007D25C7" w:rsidRPr="001178F3" w:rsidRDefault="007D25C7" w:rsidP="00681E45">
            <w:pPr>
              <w:keepNext/>
              <w:spacing w:after="0"/>
              <w:cnfStyle w:val="000000010000" w:firstRow="0" w:lastRow="0" w:firstColumn="0" w:lastColumn="0" w:oddVBand="0" w:evenVBand="0" w:oddHBand="0" w:evenHBand="1" w:firstRowFirstColumn="0" w:firstRowLastColumn="0" w:lastRowFirstColumn="0" w:lastRowLastColumn="0"/>
              <w:rPr>
                <w:rFonts w:asciiTheme="minorHAnsi" w:hAnsiTheme="minorHAnsi" w:cs="Arial"/>
                <w:szCs w:val="20"/>
              </w:rPr>
            </w:pPr>
            <w:r w:rsidRPr="001178F3">
              <w:rPr>
                <w:rFonts w:asciiTheme="minorHAnsi" w:hAnsiTheme="minorHAnsi" w:cs="Arial"/>
                <w:szCs w:val="20"/>
              </w:rPr>
              <w:t> </w:t>
            </w:r>
          </w:p>
        </w:tc>
        <w:tc>
          <w:tcPr>
            <w:tcW w:w="596" w:type="pct"/>
            <w:noWrap/>
          </w:tcPr>
          <w:p w:rsidR="007D25C7" w:rsidRPr="001178F3" w:rsidRDefault="007D25C7" w:rsidP="00681E45">
            <w:pPr>
              <w:keepNext/>
              <w:spacing w:after="0"/>
              <w:jc w:val="right"/>
              <w:cnfStyle w:val="000000010000" w:firstRow="0" w:lastRow="0" w:firstColumn="0" w:lastColumn="0" w:oddVBand="0" w:evenVBand="0" w:oddHBand="0" w:evenHBand="1" w:firstRowFirstColumn="0" w:firstRowLastColumn="0" w:lastRowFirstColumn="0" w:lastRowLastColumn="0"/>
              <w:rPr>
                <w:rFonts w:asciiTheme="minorHAnsi" w:hAnsiTheme="minorHAnsi" w:cs="Arial"/>
                <w:szCs w:val="20"/>
              </w:rPr>
            </w:pPr>
            <w:r w:rsidRPr="001178F3">
              <w:rPr>
                <w:rFonts w:asciiTheme="minorHAnsi" w:hAnsiTheme="minorHAnsi" w:cs="Arial"/>
                <w:szCs w:val="20"/>
              </w:rPr>
              <w:t>1</w:t>
            </w:r>
            <w:r>
              <w:rPr>
                <w:rFonts w:asciiTheme="minorHAnsi" w:hAnsiTheme="minorHAnsi" w:cs="Arial"/>
                <w:szCs w:val="20"/>
              </w:rPr>
              <w:t>,</w:t>
            </w:r>
            <w:r w:rsidRPr="001178F3">
              <w:rPr>
                <w:rFonts w:asciiTheme="minorHAnsi" w:hAnsiTheme="minorHAnsi" w:cs="Arial"/>
                <w:szCs w:val="20"/>
              </w:rPr>
              <w:t>447</w:t>
            </w:r>
            <w:r>
              <w:rPr>
                <w:rFonts w:asciiTheme="minorHAnsi" w:hAnsiTheme="minorHAnsi" w:cs="Arial"/>
                <w:szCs w:val="20"/>
              </w:rPr>
              <w:t>,</w:t>
            </w:r>
            <w:r w:rsidRPr="001178F3">
              <w:rPr>
                <w:rFonts w:asciiTheme="minorHAnsi" w:hAnsiTheme="minorHAnsi" w:cs="Arial"/>
                <w:szCs w:val="20"/>
              </w:rPr>
              <w:t>780</w:t>
            </w:r>
          </w:p>
        </w:tc>
        <w:tc>
          <w:tcPr>
            <w:tcW w:w="374" w:type="pct"/>
            <w:noWrap/>
          </w:tcPr>
          <w:p w:rsidR="007D25C7" w:rsidRPr="001178F3" w:rsidRDefault="007D25C7" w:rsidP="00681E45">
            <w:pPr>
              <w:keepNext/>
              <w:spacing w:after="0"/>
              <w:cnfStyle w:val="000000010000" w:firstRow="0" w:lastRow="0" w:firstColumn="0" w:lastColumn="0" w:oddVBand="0" w:evenVBand="0" w:oddHBand="0" w:evenHBand="1" w:firstRowFirstColumn="0" w:firstRowLastColumn="0" w:lastRowFirstColumn="0" w:lastRowLastColumn="0"/>
              <w:rPr>
                <w:rFonts w:asciiTheme="minorHAnsi" w:hAnsiTheme="minorHAnsi" w:cs="Arial"/>
                <w:szCs w:val="20"/>
              </w:rPr>
            </w:pPr>
          </w:p>
        </w:tc>
        <w:tc>
          <w:tcPr>
            <w:tcW w:w="594" w:type="pct"/>
            <w:noWrap/>
          </w:tcPr>
          <w:p w:rsidR="007D25C7" w:rsidRPr="001178F3" w:rsidRDefault="007D25C7" w:rsidP="00681E45">
            <w:pPr>
              <w:keepNext/>
              <w:spacing w:after="0"/>
              <w:jc w:val="right"/>
              <w:cnfStyle w:val="000000010000" w:firstRow="0" w:lastRow="0" w:firstColumn="0" w:lastColumn="0" w:oddVBand="0" w:evenVBand="0" w:oddHBand="0" w:evenHBand="1" w:firstRowFirstColumn="0" w:firstRowLastColumn="0" w:lastRowFirstColumn="0" w:lastRowLastColumn="0"/>
              <w:rPr>
                <w:rFonts w:asciiTheme="minorHAnsi" w:hAnsiTheme="minorHAnsi" w:cs="Arial"/>
                <w:szCs w:val="20"/>
              </w:rPr>
            </w:pPr>
            <w:r>
              <w:rPr>
                <w:rFonts w:asciiTheme="minorHAnsi" w:hAnsiTheme="minorHAnsi" w:cs="Arial"/>
                <w:szCs w:val="20"/>
              </w:rPr>
              <w:t>5,951,</w:t>
            </w:r>
            <w:r w:rsidRPr="001178F3">
              <w:rPr>
                <w:rFonts w:asciiTheme="minorHAnsi" w:hAnsiTheme="minorHAnsi" w:cs="Arial"/>
                <w:szCs w:val="20"/>
              </w:rPr>
              <w:t>417</w:t>
            </w:r>
          </w:p>
        </w:tc>
        <w:tc>
          <w:tcPr>
            <w:tcW w:w="324" w:type="pct"/>
            <w:noWrap/>
          </w:tcPr>
          <w:p w:rsidR="007D25C7" w:rsidRPr="001178F3" w:rsidRDefault="007D25C7" w:rsidP="00681E45">
            <w:pPr>
              <w:keepNext/>
              <w:spacing w:after="0"/>
              <w:cnfStyle w:val="000000010000" w:firstRow="0" w:lastRow="0" w:firstColumn="0" w:lastColumn="0" w:oddVBand="0" w:evenVBand="0" w:oddHBand="0" w:evenHBand="1" w:firstRowFirstColumn="0" w:firstRowLastColumn="0" w:lastRowFirstColumn="0" w:lastRowLastColumn="0"/>
              <w:rPr>
                <w:rFonts w:asciiTheme="minorHAnsi" w:hAnsiTheme="minorHAnsi" w:cs="Arial"/>
                <w:szCs w:val="20"/>
              </w:rPr>
            </w:pPr>
          </w:p>
        </w:tc>
      </w:tr>
      <w:tr w:rsidR="007D25C7" w:rsidRPr="001178F3">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48" w:type="pct"/>
            <w:noWrap/>
          </w:tcPr>
          <w:p w:rsidR="007D25C7" w:rsidRPr="001178F3" w:rsidRDefault="007D25C7" w:rsidP="00681E45">
            <w:pPr>
              <w:keepNext/>
              <w:spacing w:after="0"/>
              <w:jc w:val="left"/>
              <w:rPr>
                <w:rFonts w:asciiTheme="minorHAnsi" w:hAnsiTheme="minorHAnsi" w:cs="Arial"/>
                <w:szCs w:val="20"/>
              </w:rPr>
            </w:pPr>
          </w:p>
        </w:tc>
        <w:tc>
          <w:tcPr>
            <w:tcW w:w="522" w:type="pct"/>
            <w:noWrap/>
          </w:tcPr>
          <w:p w:rsidR="007D25C7" w:rsidRPr="001178F3" w:rsidRDefault="007D25C7" w:rsidP="00681E45">
            <w:pPr>
              <w:keepNext/>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20"/>
              </w:rPr>
            </w:pPr>
            <w:r w:rsidRPr="001178F3">
              <w:rPr>
                <w:rFonts w:asciiTheme="minorHAnsi" w:hAnsiTheme="minorHAnsi" w:cs="Arial"/>
                <w:szCs w:val="20"/>
              </w:rPr>
              <w:t> </w:t>
            </w:r>
          </w:p>
        </w:tc>
        <w:tc>
          <w:tcPr>
            <w:tcW w:w="373" w:type="pct"/>
            <w:noWrap/>
          </w:tcPr>
          <w:p w:rsidR="007D25C7" w:rsidRPr="001178F3" w:rsidRDefault="007D25C7" w:rsidP="00681E45">
            <w:pPr>
              <w:keepNext/>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20"/>
              </w:rPr>
            </w:pPr>
            <w:r w:rsidRPr="001178F3">
              <w:rPr>
                <w:rFonts w:asciiTheme="minorHAnsi" w:hAnsiTheme="minorHAnsi" w:cs="Arial"/>
                <w:szCs w:val="20"/>
              </w:rPr>
              <w:t> </w:t>
            </w:r>
          </w:p>
        </w:tc>
        <w:tc>
          <w:tcPr>
            <w:tcW w:w="595" w:type="pct"/>
            <w:noWrap/>
          </w:tcPr>
          <w:p w:rsidR="007D25C7" w:rsidRPr="001178F3" w:rsidRDefault="007D25C7" w:rsidP="00681E45">
            <w:pPr>
              <w:keepNext/>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20"/>
              </w:rPr>
            </w:pPr>
            <w:r w:rsidRPr="001178F3">
              <w:rPr>
                <w:rFonts w:asciiTheme="minorHAnsi" w:hAnsiTheme="minorHAnsi" w:cs="Arial"/>
                <w:szCs w:val="20"/>
              </w:rPr>
              <w:t> </w:t>
            </w:r>
          </w:p>
        </w:tc>
        <w:tc>
          <w:tcPr>
            <w:tcW w:w="373" w:type="pct"/>
            <w:noWrap/>
          </w:tcPr>
          <w:p w:rsidR="007D25C7" w:rsidRPr="001178F3" w:rsidRDefault="007D25C7" w:rsidP="00681E45">
            <w:pPr>
              <w:keepNext/>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20"/>
              </w:rPr>
            </w:pPr>
            <w:r w:rsidRPr="001178F3">
              <w:rPr>
                <w:rFonts w:asciiTheme="minorHAnsi" w:hAnsiTheme="minorHAnsi" w:cs="Arial"/>
                <w:szCs w:val="20"/>
              </w:rPr>
              <w:t> </w:t>
            </w:r>
          </w:p>
        </w:tc>
        <w:tc>
          <w:tcPr>
            <w:tcW w:w="596" w:type="pct"/>
            <w:noWrap/>
          </w:tcPr>
          <w:p w:rsidR="007D25C7" w:rsidRPr="001178F3" w:rsidRDefault="007D25C7" w:rsidP="00681E45">
            <w:pPr>
              <w:keepNext/>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20"/>
              </w:rPr>
            </w:pPr>
          </w:p>
        </w:tc>
        <w:tc>
          <w:tcPr>
            <w:tcW w:w="374" w:type="pct"/>
            <w:noWrap/>
          </w:tcPr>
          <w:p w:rsidR="007D25C7" w:rsidRPr="001178F3" w:rsidRDefault="007D25C7" w:rsidP="00681E45">
            <w:pPr>
              <w:keepNext/>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20"/>
              </w:rPr>
            </w:pPr>
          </w:p>
        </w:tc>
        <w:tc>
          <w:tcPr>
            <w:tcW w:w="594" w:type="pct"/>
            <w:noWrap/>
          </w:tcPr>
          <w:p w:rsidR="007D25C7" w:rsidRPr="001178F3" w:rsidRDefault="007D25C7" w:rsidP="00681E45">
            <w:pPr>
              <w:keepNext/>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20"/>
              </w:rPr>
            </w:pPr>
          </w:p>
        </w:tc>
        <w:tc>
          <w:tcPr>
            <w:tcW w:w="324" w:type="pct"/>
            <w:noWrap/>
          </w:tcPr>
          <w:p w:rsidR="007D25C7" w:rsidRPr="001178F3" w:rsidRDefault="007D25C7" w:rsidP="00681E45">
            <w:pPr>
              <w:keepNext/>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20"/>
              </w:rPr>
            </w:pPr>
          </w:p>
        </w:tc>
      </w:tr>
      <w:tr w:rsidR="007D25C7" w:rsidRPr="001178F3">
        <w:trPr>
          <w:cnfStyle w:val="000000010000" w:firstRow="0" w:lastRow="0" w:firstColumn="0" w:lastColumn="0" w:oddVBand="0" w:evenVBand="0" w:oddHBand="0" w:evenHBand="1"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48" w:type="pct"/>
            <w:noWrap/>
          </w:tcPr>
          <w:p w:rsidR="007D25C7" w:rsidRPr="001178F3" w:rsidRDefault="007D25C7" w:rsidP="00681E45">
            <w:pPr>
              <w:keepNext/>
              <w:spacing w:after="0"/>
              <w:jc w:val="left"/>
              <w:rPr>
                <w:rFonts w:asciiTheme="minorHAnsi" w:hAnsiTheme="minorHAnsi" w:cs="Arial"/>
                <w:szCs w:val="20"/>
              </w:rPr>
            </w:pPr>
            <w:r w:rsidRPr="001178F3">
              <w:rPr>
                <w:rFonts w:asciiTheme="minorHAnsi" w:hAnsiTheme="minorHAnsi" w:cs="Arial"/>
                <w:szCs w:val="20"/>
              </w:rPr>
              <w:t>No sponsored beneficiaries</w:t>
            </w:r>
          </w:p>
        </w:tc>
        <w:tc>
          <w:tcPr>
            <w:tcW w:w="522" w:type="pct"/>
            <w:noWrap/>
          </w:tcPr>
          <w:p w:rsidR="007D25C7" w:rsidRPr="001178F3" w:rsidRDefault="007D25C7" w:rsidP="00681E45">
            <w:pPr>
              <w:keepNext/>
              <w:spacing w:after="0"/>
              <w:cnfStyle w:val="000000010000" w:firstRow="0" w:lastRow="0" w:firstColumn="0" w:lastColumn="0" w:oddVBand="0" w:evenVBand="0" w:oddHBand="0" w:evenHBand="1" w:firstRowFirstColumn="0" w:firstRowLastColumn="0" w:lastRowFirstColumn="0" w:lastRowLastColumn="0"/>
              <w:rPr>
                <w:rFonts w:asciiTheme="minorHAnsi" w:hAnsiTheme="minorHAnsi" w:cs="Arial"/>
                <w:szCs w:val="20"/>
              </w:rPr>
            </w:pPr>
            <w:r w:rsidRPr="001178F3">
              <w:rPr>
                <w:rFonts w:asciiTheme="minorHAnsi" w:hAnsiTheme="minorHAnsi" w:cs="Arial"/>
                <w:szCs w:val="20"/>
              </w:rPr>
              <w:t> </w:t>
            </w:r>
          </w:p>
        </w:tc>
        <w:tc>
          <w:tcPr>
            <w:tcW w:w="373" w:type="pct"/>
            <w:noWrap/>
          </w:tcPr>
          <w:p w:rsidR="007D25C7" w:rsidRPr="001178F3" w:rsidRDefault="007D25C7" w:rsidP="00681E45">
            <w:pPr>
              <w:keepNext/>
              <w:spacing w:after="0"/>
              <w:cnfStyle w:val="000000010000" w:firstRow="0" w:lastRow="0" w:firstColumn="0" w:lastColumn="0" w:oddVBand="0" w:evenVBand="0" w:oddHBand="0" w:evenHBand="1" w:firstRowFirstColumn="0" w:firstRowLastColumn="0" w:lastRowFirstColumn="0" w:lastRowLastColumn="0"/>
              <w:rPr>
                <w:rFonts w:asciiTheme="minorHAnsi" w:hAnsiTheme="minorHAnsi" w:cs="Arial"/>
                <w:szCs w:val="20"/>
              </w:rPr>
            </w:pPr>
            <w:r w:rsidRPr="001178F3">
              <w:rPr>
                <w:rFonts w:asciiTheme="minorHAnsi" w:hAnsiTheme="minorHAnsi" w:cs="Arial"/>
                <w:szCs w:val="20"/>
              </w:rPr>
              <w:t> </w:t>
            </w:r>
          </w:p>
        </w:tc>
        <w:tc>
          <w:tcPr>
            <w:tcW w:w="595" w:type="pct"/>
            <w:noWrap/>
          </w:tcPr>
          <w:p w:rsidR="007D25C7" w:rsidRPr="001178F3" w:rsidRDefault="007D25C7" w:rsidP="00681E45">
            <w:pPr>
              <w:keepNext/>
              <w:spacing w:after="0"/>
              <w:cnfStyle w:val="000000010000" w:firstRow="0" w:lastRow="0" w:firstColumn="0" w:lastColumn="0" w:oddVBand="0" w:evenVBand="0" w:oddHBand="0" w:evenHBand="1" w:firstRowFirstColumn="0" w:firstRowLastColumn="0" w:lastRowFirstColumn="0" w:lastRowLastColumn="0"/>
              <w:rPr>
                <w:rFonts w:asciiTheme="minorHAnsi" w:hAnsiTheme="minorHAnsi" w:cs="Arial"/>
                <w:szCs w:val="20"/>
              </w:rPr>
            </w:pPr>
            <w:r w:rsidRPr="001178F3">
              <w:rPr>
                <w:rFonts w:asciiTheme="minorHAnsi" w:hAnsiTheme="minorHAnsi" w:cs="Arial"/>
                <w:szCs w:val="20"/>
              </w:rPr>
              <w:t> </w:t>
            </w:r>
          </w:p>
        </w:tc>
        <w:tc>
          <w:tcPr>
            <w:tcW w:w="373" w:type="pct"/>
            <w:noWrap/>
          </w:tcPr>
          <w:p w:rsidR="007D25C7" w:rsidRPr="001178F3" w:rsidRDefault="007D25C7" w:rsidP="00681E45">
            <w:pPr>
              <w:keepNext/>
              <w:spacing w:after="0"/>
              <w:cnfStyle w:val="000000010000" w:firstRow="0" w:lastRow="0" w:firstColumn="0" w:lastColumn="0" w:oddVBand="0" w:evenVBand="0" w:oddHBand="0" w:evenHBand="1" w:firstRowFirstColumn="0" w:firstRowLastColumn="0" w:lastRowFirstColumn="0" w:lastRowLastColumn="0"/>
              <w:rPr>
                <w:rFonts w:asciiTheme="minorHAnsi" w:hAnsiTheme="minorHAnsi" w:cs="Arial"/>
                <w:szCs w:val="20"/>
              </w:rPr>
            </w:pPr>
            <w:r w:rsidRPr="001178F3">
              <w:rPr>
                <w:rFonts w:asciiTheme="minorHAnsi" w:hAnsiTheme="minorHAnsi" w:cs="Arial"/>
                <w:szCs w:val="20"/>
              </w:rPr>
              <w:t> </w:t>
            </w:r>
          </w:p>
        </w:tc>
        <w:tc>
          <w:tcPr>
            <w:tcW w:w="596" w:type="pct"/>
            <w:noWrap/>
          </w:tcPr>
          <w:p w:rsidR="007D25C7" w:rsidRPr="001178F3" w:rsidRDefault="007D25C7" w:rsidP="00681E45">
            <w:pPr>
              <w:keepNext/>
              <w:spacing w:after="0"/>
              <w:cnfStyle w:val="000000010000" w:firstRow="0" w:lastRow="0" w:firstColumn="0" w:lastColumn="0" w:oddVBand="0" w:evenVBand="0" w:oddHBand="0" w:evenHBand="1" w:firstRowFirstColumn="0" w:firstRowLastColumn="0" w:lastRowFirstColumn="0" w:lastRowLastColumn="0"/>
              <w:rPr>
                <w:rFonts w:asciiTheme="minorHAnsi" w:hAnsiTheme="minorHAnsi" w:cs="Arial"/>
                <w:szCs w:val="20"/>
              </w:rPr>
            </w:pPr>
          </w:p>
        </w:tc>
        <w:tc>
          <w:tcPr>
            <w:tcW w:w="374" w:type="pct"/>
            <w:noWrap/>
          </w:tcPr>
          <w:p w:rsidR="007D25C7" w:rsidRPr="001178F3" w:rsidRDefault="007D25C7" w:rsidP="00681E45">
            <w:pPr>
              <w:keepNext/>
              <w:spacing w:after="0"/>
              <w:cnfStyle w:val="000000010000" w:firstRow="0" w:lastRow="0" w:firstColumn="0" w:lastColumn="0" w:oddVBand="0" w:evenVBand="0" w:oddHBand="0" w:evenHBand="1" w:firstRowFirstColumn="0" w:firstRowLastColumn="0" w:lastRowFirstColumn="0" w:lastRowLastColumn="0"/>
              <w:rPr>
                <w:rFonts w:asciiTheme="minorHAnsi" w:hAnsiTheme="minorHAnsi" w:cs="Arial"/>
                <w:szCs w:val="20"/>
              </w:rPr>
            </w:pPr>
          </w:p>
        </w:tc>
        <w:tc>
          <w:tcPr>
            <w:tcW w:w="594" w:type="pct"/>
            <w:noWrap/>
          </w:tcPr>
          <w:p w:rsidR="007D25C7" w:rsidRPr="001178F3" w:rsidRDefault="007D25C7" w:rsidP="00681E45">
            <w:pPr>
              <w:keepNext/>
              <w:spacing w:after="0"/>
              <w:cnfStyle w:val="000000010000" w:firstRow="0" w:lastRow="0" w:firstColumn="0" w:lastColumn="0" w:oddVBand="0" w:evenVBand="0" w:oddHBand="0" w:evenHBand="1" w:firstRowFirstColumn="0" w:firstRowLastColumn="0" w:lastRowFirstColumn="0" w:lastRowLastColumn="0"/>
              <w:rPr>
                <w:rFonts w:asciiTheme="minorHAnsi" w:hAnsiTheme="minorHAnsi" w:cs="Arial"/>
                <w:szCs w:val="20"/>
              </w:rPr>
            </w:pPr>
          </w:p>
        </w:tc>
        <w:tc>
          <w:tcPr>
            <w:tcW w:w="324" w:type="pct"/>
            <w:noWrap/>
          </w:tcPr>
          <w:p w:rsidR="007D25C7" w:rsidRPr="001178F3" w:rsidRDefault="007D25C7" w:rsidP="00681E45">
            <w:pPr>
              <w:keepNext/>
              <w:spacing w:after="0"/>
              <w:cnfStyle w:val="000000010000" w:firstRow="0" w:lastRow="0" w:firstColumn="0" w:lastColumn="0" w:oddVBand="0" w:evenVBand="0" w:oddHBand="0" w:evenHBand="1" w:firstRowFirstColumn="0" w:firstRowLastColumn="0" w:lastRowFirstColumn="0" w:lastRowLastColumn="0"/>
              <w:rPr>
                <w:rFonts w:asciiTheme="minorHAnsi" w:hAnsiTheme="minorHAnsi" w:cs="Arial"/>
                <w:szCs w:val="20"/>
              </w:rPr>
            </w:pPr>
          </w:p>
        </w:tc>
      </w:tr>
      <w:tr w:rsidR="007D25C7" w:rsidRPr="001178F3">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48" w:type="pct"/>
            <w:noWrap/>
          </w:tcPr>
          <w:p w:rsidR="007D25C7" w:rsidRPr="001178F3" w:rsidRDefault="007D25C7" w:rsidP="00681E45">
            <w:pPr>
              <w:keepNext/>
              <w:spacing w:after="0"/>
              <w:jc w:val="left"/>
              <w:rPr>
                <w:rFonts w:asciiTheme="minorHAnsi" w:hAnsiTheme="minorHAnsi" w:cs="Arial"/>
                <w:b/>
                <w:szCs w:val="20"/>
                <w:lang w:val="en-US"/>
              </w:rPr>
            </w:pPr>
            <w:r w:rsidRPr="001178F3">
              <w:rPr>
                <w:rFonts w:asciiTheme="minorHAnsi" w:hAnsiTheme="minorHAnsi" w:cs="Arial"/>
                <w:b/>
                <w:szCs w:val="20"/>
                <w:lang w:val="en-US"/>
              </w:rPr>
              <w:t>Least Developed and Low Income Countries (Group 1)</w:t>
            </w:r>
          </w:p>
        </w:tc>
        <w:tc>
          <w:tcPr>
            <w:tcW w:w="522" w:type="pct"/>
            <w:noWrap/>
          </w:tcPr>
          <w:p w:rsidR="007D25C7" w:rsidRPr="001178F3" w:rsidRDefault="007D25C7" w:rsidP="00681E45">
            <w:pPr>
              <w:keepNext/>
              <w:spacing w:after="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20"/>
              </w:rPr>
            </w:pPr>
            <w:r w:rsidRPr="001178F3">
              <w:rPr>
                <w:rFonts w:asciiTheme="minorHAnsi" w:hAnsiTheme="minorHAnsi" w:cs="Arial"/>
                <w:szCs w:val="20"/>
              </w:rPr>
              <w:t>70</w:t>
            </w:r>
          </w:p>
        </w:tc>
        <w:tc>
          <w:tcPr>
            <w:tcW w:w="373" w:type="pct"/>
            <w:noWrap/>
          </w:tcPr>
          <w:p w:rsidR="007D25C7" w:rsidRPr="001178F3" w:rsidRDefault="007D25C7" w:rsidP="00681E45">
            <w:pPr>
              <w:keepNext/>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20"/>
              </w:rPr>
            </w:pPr>
            <w:r w:rsidRPr="001178F3">
              <w:rPr>
                <w:rFonts w:asciiTheme="minorHAnsi" w:hAnsiTheme="minorHAnsi" w:cs="Arial"/>
                <w:szCs w:val="20"/>
              </w:rPr>
              <w:t> </w:t>
            </w:r>
          </w:p>
        </w:tc>
        <w:tc>
          <w:tcPr>
            <w:tcW w:w="595" w:type="pct"/>
            <w:noWrap/>
          </w:tcPr>
          <w:p w:rsidR="007D25C7" w:rsidRPr="001178F3" w:rsidRDefault="007D25C7" w:rsidP="00681E45">
            <w:pPr>
              <w:keepNext/>
              <w:spacing w:after="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20"/>
              </w:rPr>
            </w:pPr>
            <w:r w:rsidRPr="001178F3">
              <w:rPr>
                <w:rFonts w:asciiTheme="minorHAnsi" w:hAnsiTheme="minorHAnsi" w:cs="Arial"/>
                <w:szCs w:val="20"/>
              </w:rPr>
              <w:t>151</w:t>
            </w:r>
          </w:p>
        </w:tc>
        <w:tc>
          <w:tcPr>
            <w:tcW w:w="373" w:type="pct"/>
            <w:noWrap/>
          </w:tcPr>
          <w:p w:rsidR="007D25C7" w:rsidRPr="001178F3" w:rsidRDefault="007D25C7" w:rsidP="00681E45">
            <w:pPr>
              <w:keepNext/>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20"/>
              </w:rPr>
            </w:pPr>
            <w:r w:rsidRPr="001178F3">
              <w:rPr>
                <w:rFonts w:asciiTheme="minorHAnsi" w:hAnsiTheme="minorHAnsi" w:cs="Arial"/>
                <w:szCs w:val="20"/>
              </w:rPr>
              <w:t> </w:t>
            </w:r>
          </w:p>
        </w:tc>
        <w:tc>
          <w:tcPr>
            <w:tcW w:w="596" w:type="pct"/>
            <w:noWrap/>
          </w:tcPr>
          <w:p w:rsidR="007D25C7" w:rsidRPr="001178F3" w:rsidRDefault="007D25C7" w:rsidP="00681E45">
            <w:pPr>
              <w:keepNext/>
              <w:spacing w:after="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20"/>
              </w:rPr>
            </w:pPr>
            <w:r w:rsidRPr="001178F3">
              <w:rPr>
                <w:rFonts w:asciiTheme="minorHAnsi" w:hAnsiTheme="minorHAnsi" w:cs="Arial"/>
                <w:szCs w:val="20"/>
              </w:rPr>
              <w:t>149</w:t>
            </w:r>
          </w:p>
        </w:tc>
        <w:tc>
          <w:tcPr>
            <w:tcW w:w="374" w:type="pct"/>
            <w:noWrap/>
          </w:tcPr>
          <w:p w:rsidR="007D25C7" w:rsidRPr="001178F3" w:rsidRDefault="007D25C7" w:rsidP="00681E45">
            <w:pPr>
              <w:keepNext/>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20"/>
              </w:rPr>
            </w:pPr>
          </w:p>
        </w:tc>
        <w:tc>
          <w:tcPr>
            <w:tcW w:w="594" w:type="pct"/>
            <w:noWrap/>
          </w:tcPr>
          <w:p w:rsidR="007D25C7" w:rsidRPr="001178F3" w:rsidRDefault="007D25C7" w:rsidP="00681E45">
            <w:pPr>
              <w:keepNext/>
              <w:spacing w:after="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20"/>
              </w:rPr>
            </w:pPr>
            <w:r w:rsidRPr="001178F3">
              <w:rPr>
                <w:rFonts w:asciiTheme="minorHAnsi" w:hAnsiTheme="minorHAnsi" w:cs="Arial"/>
                <w:szCs w:val="20"/>
              </w:rPr>
              <w:t>567</w:t>
            </w:r>
          </w:p>
        </w:tc>
        <w:tc>
          <w:tcPr>
            <w:tcW w:w="324" w:type="pct"/>
            <w:noWrap/>
          </w:tcPr>
          <w:p w:rsidR="007D25C7" w:rsidRPr="001178F3" w:rsidRDefault="007D25C7" w:rsidP="00681E45">
            <w:pPr>
              <w:keepNext/>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20"/>
              </w:rPr>
            </w:pPr>
          </w:p>
        </w:tc>
      </w:tr>
      <w:tr w:rsidR="007D25C7" w:rsidRPr="001178F3">
        <w:trPr>
          <w:cnfStyle w:val="000000010000" w:firstRow="0" w:lastRow="0" w:firstColumn="0" w:lastColumn="0" w:oddVBand="0" w:evenVBand="0" w:oddHBand="0" w:evenHBand="1"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48" w:type="pct"/>
            <w:noWrap/>
          </w:tcPr>
          <w:p w:rsidR="007D25C7" w:rsidRPr="001178F3" w:rsidRDefault="007D25C7" w:rsidP="00681E45">
            <w:pPr>
              <w:keepNext/>
              <w:spacing w:after="0"/>
              <w:jc w:val="left"/>
              <w:rPr>
                <w:rFonts w:asciiTheme="minorHAnsi" w:hAnsiTheme="minorHAnsi" w:cs="Arial"/>
                <w:b/>
                <w:szCs w:val="20"/>
                <w:lang w:val="en-US"/>
              </w:rPr>
            </w:pPr>
            <w:r w:rsidRPr="001178F3">
              <w:rPr>
                <w:rFonts w:asciiTheme="minorHAnsi" w:hAnsiTheme="minorHAnsi" w:cs="Arial"/>
                <w:b/>
                <w:szCs w:val="20"/>
                <w:lang w:val="en-US"/>
              </w:rPr>
              <w:t>Lower and Upper Middle Income Countries (Groups 2 and 3)</w:t>
            </w:r>
          </w:p>
        </w:tc>
        <w:tc>
          <w:tcPr>
            <w:tcW w:w="522" w:type="pct"/>
            <w:noWrap/>
          </w:tcPr>
          <w:p w:rsidR="007D25C7" w:rsidRPr="001178F3" w:rsidRDefault="007D25C7" w:rsidP="00681E45">
            <w:pPr>
              <w:keepNext/>
              <w:spacing w:after="0"/>
              <w:jc w:val="right"/>
              <w:cnfStyle w:val="000000010000" w:firstRow="0" w:lastRow="0" w:firstColumn="0" w:lastColumn="0" w:oddVBand="0" w:evenVBand="0" w:oddHBand="0" w:evenHBand="1" w:firstRowFirstColumn="0" w:firstRowLastColumn="0" w:lastRowFirstColumn="0" w:lastRowLastColumn="0"/>
              <w:rPr>
                <w:rFonts w:asciiTheme="minorHAnsi" w:hAnsiTheme="minorHAnsi" w:cs="Arial"/>
                <w:szCs w:val="20"/>
              </w:rPr>
            </w:pPr>
            <w:r w:rsidRPr="001178F3">
              <w:rPr>
                <w:rFonts w:asciiTheme="minorHAnsi" w:hAnsiTheme="minorHAnsi" w:cs="Arial"/>
                <w:szCs w:val="20"/>
              </w:rPr>
              <w:t>41</w:t>
            </w:r>
          </w:p>
        </w:tc>
        <w:tc>
          <w:tcPr>
            <w:tcW w:w="373" w:type="pct"/>
            <w:noWrap/>
          </w:tcPr>
          <w:p w:rsidR="007D25C7" w:rsidRPr="001178F3" w:rsidRDefault="007D25C7" w:rsidP="00681E45">
            <w:pPr>
              <w:keepNext/>
              <w:spacing w:after="0"/>
              <w:cnfStyle w:val="000000010000" w:firstRow="0" w:lastRow="0" w:firstColumn="0" w:lastColumn="0" w:oddVBand="0" w:evenVBand="0" w:oddHBand="0" w:evenHBand="1" w:firstRowFirstColumn="0" w:firstRowLastColumn="0" w:lastRowFirstColumn="0" w:lastRowLastColumn="0"/>
              <w:rPr>
                <w:rFonts w:asciiTheme="minorHAnsi" w:hAnsiTheme="minorHAnsi" w:cs="Arial"/>
                <w:szCs w:val="20"/>
              </w:rPr>
            </w:pPr>
            <w:r w:rsidRPr="001178F3">
              <w:rPr>
                <w:rFonts w:asciiTheme="minorHAnsi" w:hAnsiTheme="minorHAnsi" w:cs="Arial"/>
                <w:szCs w:val="20"/>
              </w:rPr>
              <w:t> </w:t>
            </w:r>
          </w:p>
        </w:tc>
        <w:tc>
          <w:tcPr>
            <w:tcW w:w="595" w:type="pct"/>
            <w:noWrap/>
          </w:tcPr>
          <w:p w:rsidR="007D25C7" w:rsidRPr="001178F3" w:rsidRDefault="007D25C7" w:rsidP="00681E45">
            <w:pPr>
              <w:keepNext/>
              <w:spacing w:after="0"/>
              <w:jc w:val="right"/>
              <w:cnfStyle w:val="000000010000" w:firstRow="0" w:lastRow="0" w:firstColumn="0" w:lastColumn="0" w:oddVBand="0" w:evenVBand="0" w:oddHBand="0" w:evenHBand="1" w:firstRowFirstColumn="0" w:firstRowLastColumn="0" w:lastRowFirstColumn="0" w:lastRowLastColumn="0"/>
              <w:rPr>
                <w:rFonts w:asciiTheme="minorHAnsi" w:hAnsiTheme="minorHAnsi" w:cs="Arial"/>
                <w:szCs w:val="20"/>
              </w:rPr>
            </w:pPr>
            <w:r w:rsidRPr="001178F3">
              <w:rPr>
                <w:rFonts w:asciiTheme="minorHAnsi" w:hAnsiTheme="minorHAnsi" w:cs="Arial"/>
                <w:szCs w:val="20"/>
              </w:rPr>
              <w:t>72</w:t>
            </w:r>
          </w:p>
        </w:tc>
        <w:tc>
          <w:tcPr>
            <w:tcW w:w="373" w:type="pct"/>
            <w:noWrap/>
          </w:tcPr>
          <w:p w:rsidR="007D25C7" w:rsidRPr="001178F3" w:rsidRDefault="007D25C7" w:rsidP="00681E45">
            <w:pPr>
              <w:keepNext/>
              <w:spacing w:after="0"/>
              <w:cnfStyle w:val="000000010000" w:firstRow="0" w:lastRow="0" w:firstColumn="0" w:lastColumn="0" w:oddVBand="0" w:evenVBand="0" w:oddHBand="0" w:evenHBand="1" w:firstRowFirstColumn="0" w:firstRowLastColumn="0" w:lastRowFirstColumn="0" w:lastRowLastColumn="0"/>
              <w:rPr>
                <w:rFonts w:asciiTheme="minorHAnsi" w:hAnsiTheme="minorHAnsi" w:cs="Arial"/>
                <w:szCs w:val="20"/>
              </w:rPr>
            </w:pPr>
            <w:r w:rsidRPr="001178F3">
              <w:rPr>
                <w:rFonts w:asciiTheme="minorHAnsi" w:hAnsiTheme="minorHAnsi" w:cs="Arial"/>
                <w:szCs w:val="20"/>
              </w:rPr>
              <w:t> </w:t>
            </w:r>
          </w:p>
        </w:tc>
        <w:tc>
          <w:tcPr>
            <w:tcW w:w="596" w:type="pct"/>
            <w:noWrap/>
          </w:tcPr>
          <w:p w:rsidR="007D25C7" w:rsidRPr="001178F3" w:rsidRDefault="007D25C7" w:rsidP="00681E45">
            <w:pPr>
              <w:keepNext/>
              <w:spacing w:after="0"/>
              <w:jc w:val="right"/>
              <w:cnfStyle w:val="000000010000" w:firstRow="0" w:lastRow="0" w:firstColumn="0" w:lastColumn="0" w:oddVBand="0" w:evenVBand="0" w:oddHBand="0" w:evenHBand="1" w:firstRowFirstColumn="0" w:firstRowLastColumn="0" w:lastRowFirstColumn="0" w:lastRowLastColumn="0"/>
              <w:rPr>
                <w:rFonts w:asciiTheme="minorHAnsi" w:hAnsiTheme="minorHAnsi" w:cs="Arial"/>
                <w:szCs w:val="20"/>
              </w:rPr>
            </w:pPr>
            <w:r w:rsidRPr="001178F3">
              <w:rPr>
                <w:rFonts w:asciiTheme="minorHAnsi" w:hAnsiTheme="minorHAnsi" w:cs="Arial"/>
                <w:szCs w:val="20"/>
              </w:rPr>
              <w:t>81</w:t>
            </w:r>
          </w:p>
        </w:tc>
        <w:tc>
          <w:tcPr>
            <w:tcW w:w="374" w:type="pct"/>
            <w:noWrap/>
          </w:tcPr>
          <w:p w:rsidR="007D25C7" w:rsidRPr="001178F3" w:rsidRDefault="007D25C7" w:rsidP="00681E45">
            <w:pPr>
              <w:keepNext/>
              <w:spacing w:after="0"/>
              <w:cnfStyle w:val="000000010000" w:firstRow="0" w:lastRow="0" w:firstColumn="0" w:lastColumn="0" w:oddVBand="0" w:evenVBand="0" w:oddHBand="0" w:evenHBand="1" w:firstRowFirstColumn="0" w:firstRowLastColumn="0" w:lastRowFirstColumn="0" w:lastRowLastColumn="0"/>
              <w:rPr>
                <w:rFonts w:asciiTheme="minorHAnsi" w:hAnsiTheme="minorHAnsi" w:cs="Arial"/>
                <w:szCs w:val="20"/>
              </w:rPr>
            </w:pPr>
          </w:p>
        </w:tc>
        <w:tc>
          <w:tcPr>
            <w:tcW w:w="594" w:type="pct"/>
            <w:noWrap/>
          </w:tcPr>
          <w:p w:rsidR="007D25C7" w:rsidRPr="001178F3" w:rsidRDefault="007D25C7" w:rsidP="00681E45">
            <w:pPr>
              <w:keepNext/>
              <w:spacing w:after="0"/>
              <w:jc w:val="right"/>
              <w:cnfStyle w:val="000000010000" w:firstRow="0" w:lastRow="0" w:firstColumn="0" w:lastColumn="0" w:oddVBand="0" w:evenVBand="0" w:oddHBand="0" w:evenHBand="1" w:firstRowFirstColumn="0" w:firstRowLastColumn="0" w:lastRowFirstColumn="0" w:lastRowLastColumn="0"/>
              <w:rPr>
                <w:rFonts w:asciiTheme="minorHAnsi" w:hAnsiTheme="minorHAnsi" w:cs="Arial"/>
                <w:szCs w:val="20"/>
              </w:rPr>
            </w:pPr>
            <w:r w:rsidRPr="001178F3">
              <w:rPr>
                <w:rFonts w:asciiTheme="minorHAnsi" w:hAnsiTheme="minorHAnsi" w:cs="Arial"/>
                <w:szCs w:val="20"/>
              </w:rPr>
              <w:t>316</w:t>
            </w:r>
          </w:p>
        </w:tc>
        <w:tc>
          <w:tcPr>
            <w:tcW w:w="324" w:type="pct"/>
            <w:noWrap/>
          </w:tcPr>
          <w:p w:rsidR="007D25C7" w:rsidRPr="001178F3" w:rsidRDefault="007D25C7" w:rsidP="00681E45">
            <w:pPr>
              <w:keepNext/>
              <w:spacing w:after="0"/>
              <w:cnfStyle w:val="000000010000" w:firstRow="0" w:lastRow="0" w:firstColumn="0" w:lastColumn="0" w:oddVBand="0" w:evenVBand="0" w:oddHBand="0" w:evenHBand="1" w:firstRowFirstColumn="0" w:firstRowLastColumn="0" w:lastRowFirstColumn="0" w:lastRowLastColumn="0"/>
              <w:rPr>
                <w:rFonts w:asciiTheme="minorHAnsi" w:hAnsiTheme="minorHAnsi" w:cs="Arial"/>
                <w:szCs w:val="20"/>
              </w:rPr>
            </w:pPr>
          </w:p>
        </w:tc>
      </w:tr>
      <w:tr w:rsidR="007D25C7" w:rsidRPr="001178F3">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48" w:type="pct"/>
            <w:noWrap/>
          </w:tcPr>
          <w:p w:rsidR="007D25C7" w:rsidRPr="001178F3" w:rsidRDefault="007D25C7" w:rsidP="00681E45">
            <w:pPr>
              <w:keepNext/>
              <w:spacing w:after="0"/>
              <w:jc w:val="left"/>
              <w:rPr>
                <w:rFonts w:asciiTheme="minorHAnsi" w:hAnsiTheme="minorHAnsi" w:cs="Arial"/>
                <w:b/>
                <w:szCs w:val="20"/>
              </w:rPr>
            </w:pPr>
            <w:r w:rsidRPr="001178F3">
              <w:rPr>
                <w:rFonts w:asciiTheme="minorHAnsi" w:hAnsiTheme="minorHAnsi" w:cs="Arial"/>
                <w:b/>
                <w:szCs w:val="20"/>
              </w:rPr>
              <w:t>Cost per beneficiary (Group 1)</w:t>
            </w:r>
          </w:p>
        </w:tc>
        <w:tc>
          <w:tcPr>
            <w:tcW w:w="522" w:type="pct"/>
            <w:noWrap/>
          </w:tcPr>
          <w:p w:rsidR="007D25C7" w:rsidRPr="001178F3" w:rsidRDefault="007D25C7" w:rsidP="00681E45">
            <w:pPr>
              <w:keepNext/>
              <w:spacing w:after="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20"/>
              </w:rPr>
            </w:pPr>
            <w:r w:rsidRPr="001178F3">
              <w:rPr>
                <w:rFonts w:asciiTheme="minorHAnsi" w:hAnsiTheme="minorHAnsi" w:cs="Arial"/>
                <w:szCs w:val="20"/>
              </w:rPr>
              <w:t>6,126</w:t>
            </w:r>
          </w:p>
        </w:tc>
        <w:tc>
          <w:tcPr>
            <w:tcW w:w="373" w:type="pct"/>
            <w:noWrap/>
          </w:tcPr>
          <w:p w:rsidR="007D25C7" w:rsidRPr="001178F3" w:rsidRDefault="007D25C7" w:rsidP="00681E45">
            <w:pPr>
              <w:keepNext/>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20"/>
              </w:rPr>
            </w:pPr>
            <w:r w:rsidRPr="001178F3">
              <w:rPr>
                <w:rFonts w:asciiTheme="minorHAnsi" w:hAnsiTheme="minorHAnsi" w:cs="Arial"/>
                <w:szCs w:val="20"/>
              </w:rPr>
              <w:t> </w:t>
            </w:r>
          </w:p>
        </w:tc>
        <w:tc>
          <w:tcPr>
            <w:tcW w:w="595" w:type="pct"/>
            <w:noWrap/>
          </w:tcPr>
          <w:p w:rsidR="007D25C7" w:rsidRPr="001178F3" w:rsidRDefault="007D25C7" w:rsidP="00681E45">
            <w:pPr>
              <w:keepNext/>
              <w:spacing w:after="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20"/>
              </w:rPr>
            </w:pPr>
            <w:r w:rsidRPr="001178F3">
              <w:rPr>
                <w:rFonts w:asciiTheme="minorHAnsi" w:hAnsiTheme="minorHAnsi" w:cs="Arial"/>
                <w:szCs w:val="20"/>
              </w:rPr>
              <w:t>3,870</w:t>
            </w:r>
          </w:p>
        </w:tc>
        <w:tc>
          <w:tcPr>
            <w:tcW w:w="373" w:type="pct"/>
            <w:noWrap/>
          </w:tcPr>
          <w:p w:rsidR="007D25C7" w:rsidRPr="001178F3" w:rsidRDefault="007D25C7" w:rsidP="00681E45">
            <w:pPr>
              <w:keepNext/>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20"/>
              </w:rPr>
            </w:pPr>
            <w:r w:rsidRPr="001178F3">
              <w:rPr>
                <w:rFonts w:asciiTheme="minorHAnsi" w:hAnsiTheme="minorHAnsi" w:cs="Arial"/>
                <w:szCs w:val="20"/>
              </w:rPr>
              <w:t> </w:t>
            </w:r>
          </w:p>
        </w:tc>
        <w:tc>
          <w:tcPr>
            <w:tcW w:w="596" w:type="pct"/>
            <w:noWrap/>
          </w:tcPr>
          <w:p w:rsidR="007D25C7" w:rsidRPr="001178F3" w:rsidRDefault="007D25C7" w:rsidP="00681E45">
            <w:pPr>
              <w:keepNext/>
              <w:spacing w:after="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20"/>
              </w:rPr>
            </w:pPr>
            <w:r w:rsidRPr="001178F3">
              <w:rPr>
                <w:rFonts w:asciiTheme="minorHAnsi" w:hAnsiTheme="minorHAnsi" w:cs="Arial"/>
                <w:szCs w:val="20"/>
              </w:rPr>
              <w:t>4,482</w:t>
            </w:r>
          </w:p>
        </w:tc>
        <w:tc>
          <w:tcPr>
            <w:tcW w:w="374" w:type="pct"/>
            <w:noWrap/>
          </w:tcPr>
          <w:p w:rsidR="007D25C7" w:rsidRPr="001178F3" w:rsidRDefault="007D25C7" w:rsidP="00681E45">
            <w:pPr>
              <w:keepNext/>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20"/>
              </w:rPr>
            </w:pPr>
          </w:p>
        </w:tc>
        <w:tc>
          <w:tcPr>
            <w:tcW w:w="594" w:type="pct"/>
            <w:noWrap/>
          </w:tcPr>
          <w:p w:rsidR="007D25C7" w:rsidRPr="001178F3" w:rsidRDefault="007D25C7" w:rsidP="00681E45">
            <w:pPr>
              <w:keepNext/>
              <w:spacing w:after="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20"/>
              </w:rPr>
            </w:pPr>
            <w:r w:rsidRPr="001178F3">
              <w:rPr>
                <w:rFonts w:asciiTheme="minorHAnsi" w:hAnsiTheme="minorHAnsi" w:cs="Arial"/>
                <w:szCs w:val="20"/>
              </w:rPr>
              <w:t>4,832</w:t>
            </w:r>
          </w:p>
        </w:tc>
        <w:tc>
          <w:tcPr>
            <w:tcW w:w="324" w:type="pct"/>
            <w:noWrap/>
          </w:tcPr>
          <w:p w:rsidR="007D25C7" w:rsidRPr="001178F3" w:rsidRDefault="007D25C7" w:rsidP="00681E45">
            <w:pPr>
              <w:keepNext/>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20"/>
              </w:rPr>
            </w:pPr>
          </w:p>
        </w:tc>
      </w:tr>
      <w:tr w:rsidR="007D25C7" w:rsidRPr="001178F3">
        <w:trPr>
          <w:cnfStyle w:val="000000010000" w:firstRow="0" w:lastRow="0" w:firstColumn="0" w:lastColumn="0" w:oddVBand="0" w:evenVBand="0" w:oddHBand="0" w:evenHBand="1"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48" w:type="pct"/>
            <w:noWrap/>
          </w:tcPr>
          <w:p w:rsidR="007D25C7" w:rsidRPr="001178F3" w:rsidRDefault="007D25C7" w:rsidP="00681E45">
            <w:pPr>
              <w:keepNext/>
              <w:spacing w:after="0"/>
              <w:jc w:val="left"/>
              <w:rPr>
                <w:rFonts w:asciiTheme="minorHAnsi" w:hAnsiTheme="minorHAnsi" w:cs="Arial"/>
                <w:b/>
                <w:szCs w:val="20"/>
                <w:lang w:val="en-US"/>
              </w:rPr>
            </w:pPr>
            <w:r w:rsidRPr="001178F3">
              <w:rPr>
                <w:rFonts w:asciiTheme="minorHAnsi" w:hAnsiTheme="minorHAnsi" w:cs="Arial"/>
                <w:b/>
                <w:szCs w:val="20"/>
                <w:lang w:val="en-US"/>
              </w:rPr>
              <w:t>Cost per beneficiary (Groups 2 and 3)</w:t>
            </w:r>
          </w:p>
        </w:tc>
        <w:tc>
          <w:tcPr>
            <w:tcW w:w="522" w:type="pct"/>
            <w:noWrap/>
          </w:tcPr>
          <w:p w:rsidR="007D25C7" w:rsidRPr="001178F3" w:rsidRDefault="007D25C7" w:rsidP="00681E45">
            <w:pPr>
              <w:keepNext/>
              <w:spacing w:after="0"/>
              <w:jc w:val="right"/>
              <w:cnfStyle w:val="000000010000" w:firstRow="0" w:lastRow="0" w:firstColumn="0" w:lastColumn="0" w:oddVBand="0" w:evenVBand="0" w:oddHBand="0" w:evenHBand="1" w:firstRowFirstColumn="0" w:firstRowLastColumn="0" w:lastRowFirstColumn="0" w:lastRowLastColumn="0"/>
              <w:rPr>
                <w:rFonts w:asciiTheme="minorHAnsi" w:hAnsiTheme="minorHAnsi" w:cs="Arial"/>
                <w:szCs w:val="20"/>
              </w:rPr>
            </w:pPr>
            <w:r w:rsidRPr="001178F3">
              <w:rPr>
                <w:rFonts w:asciiTheme="minorHAnsi" w:hAnsiTheme="minorHAnsi" w:cs="Arial"/>
                <w:szCs w:val="20"/>
              </w:rPr>
              <w:t>7,858</w:t>
            </w:r>
          </w:p>
        </w:tc>
        <w:tc>
          <w:tcPr>
            <w:tcW w:w="373" w:type="pct"/>
            <w:noWrap/>
          </w:tcPr>
          <w:p w:rsidR="007D25C7" w:rsidRPr="001178F3" w:rsidRDefault="007D25C7" w:rsidP="00681E45">
            <w:pPr>
              <w:keepNext/>
              <w:spacing w:after="0"/>
              <w:cnfStyle w:val="000000010000" w:firstRow="0" w:lastRow="0" w:firstColumn="0" w:lastColumn="0" w:oddVBand="0" w:evenVBand="0" w:oddHBand="0" w:evenHBand="1" w:firstRowFirstColumn="0" w:firstRowLastColumn="0" w:lastRowFirstColumn="0" w:lastRowLastColumn="0"/>
              <w:rPr>
                <w:rFonts w:asciiTheme="minorHAnsi" w:hAnsiTheme="minorHAnsi" w:cs="Arial"/>
                <w:szCs w:val="20"/>
              </w:rPr>
            </w:pPr>
            <w:r w:rsidRPr="001178F3">
              <w:rPr>
                <w:rFonts w:asciiTheme="minorHAnsi" w:hAnsiTheme="minorHAnsi" w:cs="Arial"/>
                <w:szCs w:val="20"/>
              </w:rPr>
              <w:t> </w:t>
            </w:r>
          </w:p>
        </w:tc>
        <w:tc>
          <w:tcPr>
            <w:tcW w:w="595" w:type="pct"/>
            <w:noWrap/>
          </w:tcPr>
          <w:p w:rsidR="007D25C7" w:rsidRPr="001178F3" w:rsidRDefault="007D25C7" w:rsidP="00681E45">
            <w:pPr>
              <w:keepNext/>
              <w:spacing w:after="0"/>
              <w:jc w:val="right"/>
              <w:cnfStyle w:val="000000010000" w:firstRow="0" w:lastRow="0" w:firstColumn="0" w:lastColumn="0" w:oddVBand="0" w:evenVBand="0" w:oddHBand="0" w:evenHBand="1" w:firstRowFirstColumn="0" w:firstRowLastColumn="0" w:lastRowFirstColumn="0" w:lastRowLastColumn="0"/>
              <w:rPr>
                <w:rFonts w:asciiTheme="minorHAnsi" w:hAnsiTheme="minorHAnsi" w:cs="Arial"/>
                <w:szCs w:val="20"/>
              </w:rPr>
            </w:pPr>
            <w:r w:rsidRPr="001178F3">
              <w:rPr>
                <w:rFonts w:asciiTheme="minorHAnsi" w:hAnsiTheme="minorHAnsi" w:cs="Arial"/>
                <w:szCs w:val="20"/>
              </w:rPr>
              <w:t>6,753</w:t>
            </w:r>
          </w:p>
        </w:tc>
        <w:tc>
          <w:tcPr>
            <w:tcW w:w="373" w:type="pct"/>
            <w:noWrap/>
          </w:tcPr>
          <w:p w:rsidR="007D25C7" w:rsidRPr="001178F3" w:rsidRDefault="007D25C7" w:rsidP="00681E45">
            <w:pPr>
              <w:keepNext/>
              <w:spacing w:after="0"/>
              <w:cnfStyle w:val="000000010000" w:firstRow="0" w:lastRow="0" w:firstColumn="0" w:lastColumn="0" w:oddVBand="0" w:evenVBand="0" w:oddHBand="0" w:evenHBand="1" w:firstRowFirstColumn="0" w:firstRowLastColumn="0" w:lastRowFirstColumn="0" w:lastRowLastColumn="0"/>
              <w:rPr>
                <w:rFonts w:asciiTheme="minorHAnsi" w:hAnsiTheme="minorHAnsi" w:cs="Arial"/>
                <w:szCs w:val="20"/>
              </w:rPr>
            </w:pPr>
            <w:r w:rsidRPr="001178F3">
              <w:rPr>
                <w:rFonts w:asciiTheme="minorHAnsi" w:hAnsiTheme="minorHAnsi" w:cs="Arial"/>
                <w:szCs w:val="20"/>
              </w:rPr>
              <w:t> </w:t>
            </w:r>
          </w:p>
        </w:tc>
        <w:tc>
          <w:tcPr>
            <w:tcW w:w="596" w:type="pct"/>
            <w:noWrap/>
          </w:tcPr>
          <w:p w:rsidR="007D25C7" w:rsidRPr="001178F3" w:rsidRDefault="007D25C7" w:rsidP="00681E45">
            <w:pPr>
              <w:keepNext/>
              <w:spacing w:after="0"/>
              <w:jc w:val="right"/>
              <w:cnfStyle w:val="000000010000" w:firstRow="0" w:lastRow="0" w:firstColumn="0" w:lastColumn="0" w:oddVBand="0" w:evenVBand="0" w:oddHBand="0" w:evenHBand="1" w:firstRowFirstColumn="0" w:firstRowLastColumn="0" w:lastRowFirstColumn="0" w:lastRowLastColumn="0"/>
              <w:rPr>
                <w:rFonts w:asciiTheme="minorHAnsi" w:hAnsiTheme="minorHAnsi" w:cs="Arial"/>
                <w:szCs w:val="20"/>
              </w:rPr>
            </w:pPr>
            <w:r w:rsidRPr="001178F3">
              <w:rPr>
                <w:rFonts w:asciiTheme="minorHAnsi" w:hAnsiTheme="minorHAnsi" w:cs="Arial"/>
                <w:szCs w:val="20"/>
              </w:rPr>
              <w:t>3,799</w:t>
            </w:r>
          </w:p>
        </w:tc>
        <w:tc>
          <w:tcPr>
            <w:tcW w:w="374" w:type="pct"/>
            <w:noWrap/>
          </w:tcPr>
          <w:p w:rsidR="007D25C7" w:rsidRPr="001178F3" w:rsidRDefault="007D25C7" w:rsidP="00681E45">
            <w:pPr>
              <w:keepNext/>
              <w:spacing w:after="0"/>
              <w:cnfStyle w:val="000000010000" w:firstRow="0" w:lastRow="0" w:firstColumn="0" w:lastColumn="0" w:oddVBand="0" w:evenVBand="0" w:oddHBand="0" w:evenHBand="1" w:firstRowFirstColumn="0" w:firstRowLastColumn="0" w:lastRowFirstColumn="0" w:lastRowLastColumn="0"/>
              <w:rPr>
                <w:rFonts w:asciiTheme="minorHAnsi" w:hAnsiTheme="minorHAnsi" w:cs="Arial"/>
                <w:szCs w:val="20"/>
              </w:rPr>
            </w:pPr>
          </w:p>
        </w:tc>
        <w:tc>
          <w:tcPr>
            <w:tcW w:w="594" w:type="pct"/>
            <w:noWrap/>
          </w:tcPr>
          <w:p w:rsidR="007D25C7" w:rsidRPr="001178F3" w:rsidRDefault="007D25C7" w:rsidP="00681E45">
            <w:pPr>
              <w:keepNext/>
              <w:spacing w:after="0"/>
              <w:jc w:val="right"/>
              <w:cnfStyle w:val="000000010000" w:firstRow="0" w:lastRow="0" w:firstColumn="0" w:lastColumn="0" w:oddVBand="0" w:evenVBand="0" w:oddHBand="0" w:evenHBand="1" w:firstRowFirstColumn="0" w:firstRowLastColumn="0" w:lastRowFirstColumn="0" w:lastRowLastColumn="0"/>
              <w:rPr>
                <w:rFonts w:asciiTheme="minorHAnsi" w:hAnsiTheme="minorHAnsi" w:cs="Arial"/>
                <w:szCs w:val="20"/>
              </w:rPr>
            </w:pPr>
            <w:r w:rsidRPr="001178F3">
              <w:rPr>
                <w:rFonts w:asciiTheme="minorHAnsi" w:hAnsiTheme="minorHAnsi" w:cs="Arial"/>
                <w:szCs w:val="20"/>
              </w:rPr>
              <w:t>5,962</w:t>
            </w:r>
          </w:p>
        </w:tc>
        <w:tc>
          <w:tcPr>
            <w:tcW w:w="324" w:type="pct"/>
            <w:noWrap/>
          </w:tcPr>
          <w:p w:rsidR="007D25C7" w:rsidRPr="001178F3" w:rsidRDefault="007D25C7" w:rsidP="00681E45">
            <w:pPr>
              <w:keepNext/>
              <w:spacing w:after="0"/>
              <w:cnfStyle w:val="000000010000" w:firstRow="0" w:lastRow="0" w:firstColumn="0" w:lastColumn="0" w:oddVBand="0" w:evenVBand="0" w:oddHBand="0" w:evenHBand="1" w:firstRowFirstColumn="0" w:firstRowLastColumn="0" w:lastRowFirstColumn="0" w:lastRowLastColumn="0"/>
              <w:rPr>
                <w:rFonts w:asciiTheme="minorHAnsi" w:hAnsiTheme="minorHAnsi" w:cs="Arial"/>
                <w:szCs w:val="20"/>
              </w:rPr>
            </w:pPr>
          </w:p>
        </w:tc>
      </w:tr>
    </w:tbl>
    <w:p w:rsidR="007D25C7" w:rsidRDefault="007D25C7" w:rsidP="00493A69">
      <w:pPr>
        <w:spacing w:after="100" w:afterAutospacing="1"/>
        <w:rPr>
          <w:lang w:val="en-GB"/>
        </w:rPr>
      </w:pPr>
    </w:p>
    <w:p w:rsidR="00493A69" w:rsidRDefault="00493A69" w:rsidP="00493A69">
      <w:pPr>
        <w:spacing w:after="100" w:afterAutospacing="1"/>
        <w:rPr>
          <w:lang w:val="en-GB"/>
        </w:rPr>
      </w:pPr>
      <w:r>
        <w:rPr>
          <w:lang w:val="en-GB"/>
        </w:rPr>
        <w:t xml:space="preserve">The information provided on expenditures in the financial section is highly aggregated and covers the whole period of the existence of the CTF, making annual comparisons difficult to make. There is </w:t>
      </w:r>
      <w:r w:rsidR="0074368A">
        <w:rPr>
          <w:lang w:val="en-GB"/>
        </w:rPr>
        <w:t xml:space="preserve">no </w:t>
      </w:r>
      <w:r>
        <w:rPr>
          <w:lang w:val="en-GB"/>
        </w:rPr>
        <w:t>break-down per activity and no reference to the 12% benchmark</w:t>
      </w:r>
      <w:r w:rsidR="00B447DB">
        <w:rPr>
          <w:lang w:val="en-GB"/>
        </w:rPr>
        <w:t xml:space="preserve"> stipulated by one donor</w:t>
      </w:r>
      <w:r>
        <w:rPr>
          <w:lang w:val="en-GB"/>
        </w:rPr>
        <w:t>. Moreover, for planning purposes, CTF uses a flat rate per beneficiary</w:t>
      </w:r>
      <w:r w:rsidR="00B447DB">
        <w:rPr>
          <w:lang w:val="en-GB"/>
        </w:rPr>
        <w:t xml:space="preserve"> (USD 4,500 in 2010)</w:t>
      </w:r>
      <w:r>
        <w:rPr>
          <w:lang w:val="en-GB"/>
        </w:rPr>
        <w:t xml:space="preserve">, but the financial section does not compare this amount to actual costs. </w:t>
      </w:r>
    </w:p>
    <w:p w:rsidR="00493A69" w:rsidRDefault="00493A69" w:rsidP="00493A69">
      <w:pPr>
        <w:rPr>
          <w:lang w:val="en-GB"/>
        </w:rPr>
      </w:pPr>
      <w:r>
        <w:rPr>
          <w:lang w:val="en-GB"/>
        </w:rPr>
        <w:t xml:space="preserve">When asked about cost-effectiveness of the Secretariat the responses indicate that donors do not have sufficient information to have a clear judgement, even though some appeared to be satisfied and they are on general happy with </w:t>
      </w:r>
      <w:r w:rsidR="00B30B05">
        <w:rPr>
          <w:lang w:val="en-GB"/>
        </w:rPr>
        <w:t xml:space="preserve">the </w:t>
      </w:r>
      <w:r w:rsidR="00B447DB">
        <w:rPr>
          <w:lang w:val="en-GB"/>
        </w:rPr>
        <w:t>o</w:t>
      </w:r>
      <w:r w:rsidR="00B30B05">
        <w:rPr>
          <w:lang w:val="en-GB"/>
        </w:rPr>
        <w:t xml:space="preserve">verall </w:t>
      </w:r>
      <w:r>
        <w:rPr>
          <w:lang w:val="en-GB"/>
        </w:rPr>
        <w:t>performance</w:t>
      </w:r>
      <w:r w:rsidR="00B30B05">
        <w:rPr>
          <w:lang w:val="en-GB"/>
        </w:rPr>
        <w:t xml:space="preserve"> of CTF</w:t>
      </w:r>
      <w:r>
        <w:rPr>
          <w:lang w:val="en-GB"/>
        </w:rPr>
        <w:t>. Two donors reflected critically on the appropriate level of overhead costs, in the words of one donor: “</w:t>
      </w:r>
      <w:r w:rsidRPr="005A7507">
        <w:rPr>
          <w:i/>
          <w:lang w:val="en-GB"/>
        </w:rPr>
        <w:t xml:space="preserve">The progress </w:t>
      </w:r>
      <w:r w:rsidRPr="005A7507">
        <w:rPr>
          <w:i/>
          <w:lang w:val="en-GB"/>
        </w:rPr>
        <w:lastRenderedPageBreak/>
        <w:t>reports state that aroun</w:t>
      </w:r>
      <w:r>
        <w:rPr>
          <w:i/>
          <w:lang w:val="en-GB"/>
        </w:rPr>
        <w:t>d 10-15% go to administration. This is p</w:t>
      </w:r>
      <w:r w:rsidRPr="005A7507">
        <w:rPr>
          <w:i/>
          <w:lang w:val="en-GB"/>
        </w:rPr>
        <w:t>robably in line with most funds, but we are not sure where the money is going, because it is intransparent. More information is needed</w:t>
      </w:r>
      <w:r w:rsidRPr="008F1016">
        <w:rPr>
          <w:lang w:val="en-GB"/>
        </w:rPr>
        <w:t>.</w:t>
      </w:r>
      <w:r>
        <w:rPr>
          <w:lang w:val="en-GB"/>
        </w:rPr>
        <w:t xml:space="preserve">” </w:t>
      </w:r>
    </w:p>
    <w:p w:rsidR="007D25C7" w:rsidRDefault="007D25C7" w:rsidP="007D25C7">
      <w:pPr>
        <w:rPr>
          <w:lang w:val="en-GB"/>
        </w:rPr>
      </w:pPr>
      <w:r>
        <w:rPr>
          <w:lang w:val="en-GB"/>
        </w:rPr>
        <w:t>One possible approach to gauge efficiency is to look at the travel cost per participant. As can be seen from the table it fell dramatically between 2006 and 2007, and even more in 2008. This is probably because the CTF started issuing only economy class tickets in the beginning of 2007, a move that was greatly supported by Slorach (2007). One problem when discussing the efficiency of the CTF is that no information on the cost of individual capacity building activities is available. The cost of training activities that take place in relation to committee participation (essentially additional per-diem) is included under the Support to beneficiary countries heading, while the cost of stand-alone training events are included in Training and technical support.</w:t>
      </w:r>
    </w:p>
    <w:p w:rsidR="007D25C7" w:rsidRDefault="007D25C7" w:rsidP="007D25C7">
      <w:pPr>
        <w:rPr>
          <w:lang w:val="en-GB"/>
        </w:rPr>
      </w:pPr>
      <w:r>
        <w:rPr>
          <w:lang w:val="en-GB"/>
        </w:rPr>
        <w:t xml:space="preserve">There seems to be limitations as to the type of financial reporting that can be produced in the WHO systems. According to the Secretariat it is a time consuming manual exercise to revise and compile the raw financial data provided by the WHO system. The final financial information also has to be cleared with internal budget and financial control before they are published in the Annual Report. In addition, the </w:t>
      </w:r>
      <w:r w:rsidRPr="00D67D36">
        <w:rPr>
          <w:lang w:val="en-GB"/>
        </w:rPr>
        <w:t xml:space="preserve">figures given in the Annual Report for each year are based on the information snapshot that is available to </w:t>
      </w:r>
      <w:r>
        <w:rPr>
          <w:lang w:val="en-GB"/>
        </w:rPr>
        <w:t>the CTF Secretariat</w:t>
      </w:r>
      <w:r w:rsidRPr="00D67D36">
        <w:rPr>
          <w:lang w:val="en-GB"/>
        </w:rPr>
        <w:t xml:space="preserve"> in the WHO financial system at the time that </w:t>
      </w:r>
      <w:r>
        <w:rPr>
          <w:lang w:val="en-GB"/>
        </w:rPr>
        <w:t>the</w:t>
      </w:r>
      <w:r w:rsidRPr="00D67D36">
        <w:rPr>
          <w:lang w:val="en-GB"/>
        </w:rPr>
        <w:t xml:space="preserve"> Annual Reports </w:t>
      </w:r>
      <w:r>
        <w:rPr>
          <w:lang w:val="en-GB"/>
        </w:rPr>
        <w:t>are written (around March)</w:t>
      </w:r>
      <w:r w:rsidRPr="00D67D36">
        <w:rPr>
          <w:lang w:val="en-GB"/>
        </w:rPr>
        <w:t>. There are outstanding and unliquidated obligations from the previous year that may not yet be showing as expenditures</w:t>
      </w:r>
      <w:r>
        <w:rPr>
          <w:lang w:val="en-GB"/>
        </w:rPr>
        <w:t xml:space="preserve"> and that are </w:t>
      </w:r>
      <w:r w:rsidRPr="00D67D36">
        <w:rPr>
          <w:lang w:val="en-GB"/>
        </w:rPr>
        <w:t>reconciled little by little throughout the year</w:t>
      </w:r>
      <w:r>
        <w:rPr>
          <w:lang w:val="en-GB"/>
        </w:rPr>
        <w:t xml:space="preserve">. Consequently the CTF Secretariat is </w:t>
      </w:r>
      <w:r w:rsidRPr="00D67D36">
        <w:rPr>
          <w:lang w:val="en-GB"/>
        </w:rPr>
        <w:t xml:space="preserve">never </w:t>
      </w:r>
      <w:r>
        <w:rPr>
          <w:lang w:val="en-GB"/>
        </w:rPr>
        <w:t xml:space="preserve">able to “close its books” and </w:t>
      </w:r>
      <w:r w:rsidRPr="00D67D36">
        <w:rPr>
          <w:lang w:val="en-GB"/>
        </w:rPr>
        <w:t xml:space="preserve">expenditure figures will show adjustments from one Annual Report to the next.  </w:t>
      </w:r>
    </w:p>
    <w:p w:rsidR="000F6792" w:rsidRDefault="007D25C7" w:rsidP="007D25C7">
      <w:pPr>
        <w:rPr>
          <w:lang w:val="en-GB"/>
        </w:rPr>
      </w:pPr>
      <w:r>
        <w:rPr>
          <w:lang w:val="en-GB"/>
        </w:rPr>
        <w:t>Nevertheless, in principle it should be possible for the CTF Secretariat to provide more disaggregated data than is currently being done. It should also be part of procedures to save the underlying files containing the disaggregated data and individual entries for the Annual Report. Overall, there is clear room for improvement both in terms of the presentation, the level of detail and the analysis of expenditures in order to enhance transparency and allow for better analysis of efficiency.</w:t>
      </w:r>
    </w:p>
    <w:p w:rsidR="00493A69" w:rsidRDefault="00493A69" w:rsidP="00493A69">
      <w:pPr>
        <w:pStyle w:val="Heading2"/>
        <w:rPr>
          <w:lang w:val="en-GB"/>
        </w:rPr>
      </w:pPr>
      <w:bookmarkStart w:id="97" w:name="_Toc260389737"/>
      <w:r>
        <w:rPr>
          <w:lang w:val="en-GB"/>
        </w:rPr>
        <w:t>S</w:t>
      </w:r>
      <w:r w:rsidRPr="001E3D43">
        <w:rPr>
          <w:lang w:val="en-GB"/>
        </w:rPr>
        <w:t>election of participants</w:t>
      </w:r>
      <w:r>
        <w:rPr>
          <w:lang w:val="en-GB"/>
        </w:rPr>
        <w:t xml:space="preserve"> and travel arrangements</w:t>
      </w:r>
      <w:bookmarkEnd w:id="97"/>
    </w:p>
    <w:p w:rsidR="00493A69" w:rsidRDefault="00493A69" w:rsidP="00493A69">
      <w:pPr>
        <w:rPr>
          <w:lang w:val="en-GB"/>
        </w:rPr>
      </w:pPr>
      <w:r>
        <w:rPr>
          <w:lang w:val="en-GB"/>
        </w:rPr>
        <w:t xml:space="preserve">As </w:t>
      </w:r>
      <w:r w:rsidR="00B447DB">
        <w:rPr>
          <w:lang w:val="en-GB"/>
        </w:rPr>
        <w:t>discussed</w:t>
      </w:r>
      <w:r>
        <w:rPr>
          <w:lang w:val="en-GB"/>
        </w:rPr>
        <w:t xml:space="preserve"> in previous </w:t>
      </w:r>
      <w:r w:rsidR="00A84844">
        <w:rPr>
          <w:lang w:val="en-GB"/>
        </w:rPr>
        <w:t>Chapter</w:t>
      </w:r>
      <w:r>
        <w:rPr>
          <w:lang w:val="en-GB"/>
        </w:rPr>
        <w:t xml:space="preserve">s, one key criticism of the CTF is based on the perception (real or not) that the selection of participants and meetings are not optimal. At the same time the selection process </w:t>
      </w:r>
      <w:r w:rsidR="00B447DB">
        <w:rPr>
          <w:lang w:val="en-GB"/>
        </w:rPr>
        <w:t xml:space="preserve">is a key tool for </w:t>
      </w:r>
      <w:r>
        <w:rPr>
          <w:lang w:val="en-GB"/>
        </w:rPr>
        <w:t xml:space="preserve">the CTF </w:t>
      </w:r>
      <w:r w:rsidR="00B447DB">
        <w:rPr>
          <w:lang w:val="en-GB"/>
        </w:rPr>
        <w:t>to have an</w:t>
      </w:r>
      <w:r w:rsidR="006C1B45">
        <w:rPr>
          <w:lang w:val="en-GB"/>
        </w:rPr>
        <w:t xml:space="preserve"> impact at country level</w:t>
      </w:r>
      <w:r>
        <w:rPr>
          <w:lang w:val="en-GB"/>
        </w:rPr>
        <w:t xml:space="preserve">. There seems to be a lack of awareness among stakeholders what the CTF selection procedures </w:t>
      </w:r>
      <w:r w:rsidR="00B447DB">
        <w:rPr>
          <w:lang w:val="en-GB"/>
        </w:rPr>
        <w:t xml:space="preserve">actually </w:t>
      </w:r>
      <w:r>
        <w:rPr>
          <w:lang w:val="en-GB"/>
        </w:rPr>
        <w:t xml:space="preserve">look like. Beneficiaries, in turn, have been frustrated by administrative issues and delays as has already been mentioned above. Consequently, there are many reasons to review the whole selection and administrative cycle of the CTF in some detail. There is an annual administrative cycle which is outlined in </w:t>
      </w:r>
      <w:r w:rsidR="00AE227F">
        <w:rPr>
          <w:lang w:val="en-GB"/>
        </w:rPr>
        <w:fldChar w:fldCharType="begin"/>
      </w:r>
      <w:r w:rsidR="008E09B6">
        <w:rPr>
          <w:lang w:val="en-GB"/>
        </w:rPr>
        <w:instrText xml:space="preserve"> REF _Ref256669794 \h </w:instrText>
      </w:r>
      <w:r w:rsidR="00AE227F">
        <w:rPr>
          <w:lang w:val="en-GB"/>
        </w:rPr>
      </w:r>
      <w:r w:rsidR="00AE227F">
        <w:rPr>
          <w:lang w:val="en-GB"/>
        </w:rPr>
        <w:fldChar w:fldCharType="separate"/>
      </w:r>
      <w:r w:rsidR="004F08A8" w:rsidRPr="00332D84">
        <w:rPr>
          <w:lang w:val="en-US"/>
        </w:rPr>
        <w:t xml:space="preserve">Table </w:t>
      </w:r>
      <w:r w:rsidR="004F08A8">
        <w:rPr>
          <w:noProof/>
          <w:lang w:val="en-US"/>
        </w:rPr>
        <w:t>13</w:t>
      </w:r>
      <w:r w:rsidR="00AE227F">
        <w:rPr>
          <w:lang w:val="en-GB"/>
        </w:rPr>
        <w:fldChar w:fldCharType="end"/>
      </w:r>
      <w:r w:rsidR="008E09B6">
        <w:rPr>
          <w:lang w:val="en-GB"/>
        </w:rPr>
        <w:t xml:space="preserve"> </w:t>
      </w:r>
      <w:r>
        <w:rPr>
          <w:lang w:val="en-GB"/>
        </w:rPr>
        <w:t>together with the division of responsibilities.</w:t>
      </w:r>
    </w:p>
    <w:p w:rsidR="007D25C7" w:rsidRDefault="007D25C7" w:rsidP="007D25C7">
      <w:pPr>
        <w:rPr>
          <w:lang w:val="en-GB"/>
        </w:rPr>
      </w:pPr>
      <w:r>
        <w:rPr>
          <w:lang w:val="en-GB"/>
        </w:rPr>
        <w:t>As can be seen in the table, there are four main phases in the CTF administrative cycle: application, review and decision making, travel arrangements and reporting (which is dealt with below).</w:t>
      </w:r>
    </w:p>
    <w:p w:rsidR="007D25C7" w:rsidRDefault="007D25C7" w:rsidP="007D25C7">
      <w:pPr>
        <w:rPr>
          <w:lang w:val="en-GB"/>
        </w:rPr>
      </w:pPr>
      <w:r>
        <w:rPr>
          <w:lang w:val="en-GB"/>
        </w:rPr>
        <w:t xml:space="preserve">As a matter of national sovereignty the CTF Secretariat leaves to the applicant country to nominate and decide on which meetings and participants to support. However, in the application form there are several requirements to ensure that this process is as transparent and inclusive as possible, something that was enhanced in the application for 2010. Each box in the application form has to be completed and the final application has to be signed by the CCP, the designated participants to meetings, those involved in completing the application form, and the local WHO and FAO representatives. In addition all participants from countries that </w:t>
      </w:r>
      <w:r w:rsidRPr="000E09F7">
        <w:rPr>
          <w:lang w:val="en-GB"/>
        </w:rPr>
        <w:t xml:space="preserve">received </w:t>
      </w:r>
      <w:r>
        <w:rPr>
          <w:lang w:val="en-GB"/>
        </w:rPr>
        <w:t xml:space="preserve">support during </w:t>
      </w:r>
      <w:r>
        <w:rPr>
          <w:lang w:val="en-GB"/>
        </w:rPr>
        <w:lastRenderedPageBreak/>
        <w:t xml:space="preserve">the previous reporting period (e.g. the reporting period is August 2008-July 2009 for countries requesting support in 2010) </w:t>
      </w:r>
      <w:r w:rsidRPr="000E09F7">
        <w:rPr>
          <w:lang w:val="en-GB"/>
        </w:rPr>
        <w:t xml:space="preserve">must have submitted a report on the </w:t>
      </w:r>
      <w:r>
        <w:rPr>
          <w:lang w:val="en-GB"/>
        </w:rPr>
        <w:t>supported participation in order for the country to be considered for funding. The application contains the following boxes:</w:t>
      </w:r>
    </w:p>
    <w:p w:rsidR="007D25C7" w:rsidRDefault="007D25C7" w:rsidP="007D25C7">
      <w:pPr>
        <w:pStyle w:val="ListParagraph"/>
        <w:numPr>
          <w:ilvl w:val="0"/>
          <w:numId w:val="5"/>
        </w:numPr>
        <w:rPr>
          <w:lang w:val="en-GB"/>
        </w:rPr>
      </w:pPr>
      <w:r w:rsidRPr="000E09F7">
        <w:rPr>
          <w:lang w:val="en-GB"/>
        </w:rPr>
        <w:t>CCP contact data</w:t>
      </w:r>
    </w:p>
    <w:p w:rsidR="007D25C7" w:rsidRPr="00597F77" w:rsidRDefault="007D25C7" w:rsidP="007D25C7">
      <w:pPr>
        <w:pStyle w:val="ListParagraph"/>
        <w:numPr>
          <w:ilvl w:val="0"/>
          <w:numId w:val="5"/>
        </w:numPr>
        <w:rPr>
          <w:lang w:val="en-GB"/>
        </w:rPr>
      </w:pPr>
      <w:r w:rsidRPr="000E09F7">
        <w:rPr>
          <w:lang w:val="en-GB"/>
        </w:rPr>
        <w:t xml:space="preserve">Description of the NCC or equivalent structure, including </w:t>
      </w:r>
      <w:r w:rsidRPr="000E09F7">
        <w:rPr>
          <w:bCs/>
          <w:lang w:val="en-US"/>
        </w:rPr>
        <w:t xml:space="preserve">the information on </w:t>
      </w:r>
      <w:r>
        <w:rPr>
          <w:bCs/>
          <w:lang w:val="en-US"/>
        </w:rPr>
        <w:t>members, meetings, structure, other stakeholder consultations, activities and obstacles.</w:t>
      </w:r>
    </w:p>
    <w:p w:rsidR="007D25C7" w:rsidRPr="00597F77" w:rsidRDefault="007D25C7" w:rsidP="007D25C7">
      <w:pPr>
        <w:pStyle w:val="ListParagraph"/>
        <w:numPr>
          <w:ilvl w:val="0"/>
          <w:numId w:val="5"/>
        </w:numPr>
        <w:rPr>
          <w:lang w:val="en-US"/>
        </w:rPr>
      </w:pPr>
      <w:r>
        <w:rPr>
          <w:lang w:val="en-US"/>
        </w:rPr>
        <w:t>A</w:t>
      </w:r>
      <w:r w:rsidRPr="00597F77">
        <w:rPr>
          <w:lang w:val="en-US"/>
        </w:rPr>
        <w:t xml:space="preserve"> list, in order of priority, </w:t>
      </w:r>
      <w:r>
        <w:rPr>
          <w:lang w:val="en-US"/>
        </w:rPr>
        <w:t xml:space="preserve">of </w:t>
      </w:r>
      <w:r w:rsidRPr="00597F77">
        <w:rPr>
          <w:lang w:val="en-US"/>
        </w:rPr>
        <w:t xml:space="preserve">up to five Codex meetings at which </w:t>
      </w:r>
      <w:r>
        <w:rPr>
          <w:lang w:val="en-US"/>
        </w:rPr>
        <w:t>a country would like to be</w:t>
      </w:r>
      <w:r w:rsidRPr="00597F77">
        <w:rPr>
          <w:lang w:val="en-US"/>
        </w:rPr>
        <w:t xml:space="preserve"> represented in </w:t>
      </w:r>
      <w:r>
        <w:rPr>
          <w:lang w:val="en-US"/>
        </w:rPr>
        <w:t xml:space="preserve">the following year </w:t>
      </w:r>
      <w:r w:rsidRPr="00597F77">
        <w:rPr>
          <w:lang w:val="en-US"/>
        </w:rPr>
        <w:t xml:space="preserve">2010, </w:t>
      </w:r>
      <w:r>
        <w:rPr>
          <w:lang w:val="en-US"/>
        </w:rPr>
        <w:t>including th</w:t>
      </w:r>
      <w:r w:rsidRPr="00597F77">
        <w:rPr>
          <w:lang w:val="en-US"/>
        </w:rPr>
        <w:t>e names, positions, and signatures</w:t>
      </w:r>
      <w:r>
        <w:rPr>
          <w:lang w:val="en-US"/>
        </w:rPr>
        <w:t xml:space="preserve"> of delegates to be funded</w:t>
      </w:r>
    </w:p>
    <w:p w:rsidR="007D25C7" w:rsidRDefault="007D25C7" w:rsidP="007D25C7">
      <w:pPr>
        <w:pStyle w:val="ListParagraph"/>
        <w:numPr>
          <w:ilvl w:val="0"/>
          <w:numId w:val="5"/>
        </w:numPr>
        <w:rPr>
          <w:lang w:val="en-GB"/>
        </w:rPr>
      </w:pPr>
      <w:r w:rsidRPr="001C5866">
        <w:rPr>
          <w:lang w:val="en-GB"/>
        </w:rPr>
        <w:t>A description of the process and rationale for priority-setting, including the process and criteria used at the national level to select priority meetings and reference to how the priority meetings fit into the objectives of the country’s Cod</w:t>
      </w:r>
      <w:r>
        <w:rPr>
          <w:lang w:val="en-GB"/>
        </w:rPr>
        <w:t>ex programme</w:t>
      </w:r>
    </w:p>
    <w:p w:rsidR="007D25C7" w:rsidRPr="001C5866" w:rsidRDefault="007D25C7" w:rsidP="007D25C7">
      <w:pPr>
        <w:pStyle w:val="ListParagraph"/>
        <w:numPr>
          <w:ilvl w:val="0"/>
          <w:numId w:val="5"/>
        </w:numPr>
        <w:rPr>
          <w:lang w:val="en-GB"/>
        </w:rPr>
      </w:pPr>
      <w:r>
        <w:rPr>
          <w:lang w:val="en-GB"/>
        </w:rPr>
        <w:t>A description of how the applicant country prepares delegates for Codex meetings and ensures information sharing</w:t>
      </w:r>
      <w:r w:rsidRPr="001C5866">
        <w:rPr>
          <w:lang w:val="en-GB"/>
        </w:rPr>
        <w:t xml:space="preserve"> after meetings</w:t>
      </w:r>
    </w:p>
    <w:p w:rsidR="007D25C7" w:rsidRDefault="007D25C7" w:rsidP="007D25C7">
      <w:pPr>
        <w:pStyle w:val="ListParagraph"/>
        <w:numPr>
          <w:ilvl w:val="0"/>
          <w:numId w:val="5"/>
        </w:numPr>
        <w:rPr>
          <w:lang w:val="en-GB"/>
        </w:rPr>
      </w:pPr>
      <w:r>
        <w:rPr>
          <w:lang w:val="en-GB"/>
        </w:rPr>
        <w:t>The possibility to request support to activities other than participation</w:t>
      </w:r>
    </w:p>
    <w:p w:rsidR="007D25C7" w:rsidRDefault="007D25C7" w:rsidP="007D25C7">
      <w:pPr>
        <w:pStyle w:val="ListParagraph"/>
        <w:numPr>
          <w:ilvl w:val="0"/>
          <w:numId w:val="5"/>
        </w:numPr>
        <w:rPr>
          <w:lang w:val="en-GB"/>
        </w:rPr>
      </w:pPr>
      <w:r w:rsidRPr="001C5866">
        <w:rPr>
          <w:lang w:val="en-GB"/>
        </w:rPr>
        <w:t>Other sources of support and technical assistance</w:t>
      </w:r>
    </w:p>
    <w:p w:rsidR="007D25C7" w:rsidRDefault="007D25C7" w:rsidP="007D25C7">
      <w:pPr>
        <w:pStyle w:val="ListParagraph"/>
        <w:numPr>
          <w:ilvl w:val="0"/>
          <w:numId w:val="5"/>
        </w:numPr>
        <w:rPr>
          <w:lang w:val="en-GB"/>
        </w:rPr>
      </w:pPr>
      <w:r>
        <w:rPr>
          <w:lang w:val="en-GB"/>
        </w:rPr>
        <w:t xml:space="preserve">Names, positions and signatures of national authorities involved in completing the application and </w:t>
      </w:r>
      <w:r w:rsidRPr="001C5866">
        <w:rPr>
          <w:lang w:val="en-GB"/>
        </w:rPr>
        <w:t xml:space="preserve">of FAO and WHO country representatives consulted during </w:t>
      </w:r>
      <w:r>
        <w:rPr>
          <w:lang w:val="en-GB"/>
        </w:rPr>
        <w:t>its preparation</w:t>
      </w:r>
    </w:p>
    <w:p w:rsidR="007D25C7" w:rsidRPr="00BB21D8" w:rsidRDefault="007D25C7" w:rsidP="007D25C7">
      <w:pPr>
        <w:rPr>
          <w:lang w:val="en-GB"/>
        </w:rPr>
      </w:pPr>
      <w:r>
        <w:rPr>
          <w:lang w:val="en-GB"/>
        </w:rPr>
        <w:t>The beneficiary participants are obliged to</w:t>
      </w:r>
      <w:r w:rsidRPr="00BB21D8">
        <w:rPr>
          <w:lang w:val="en-GB"/>
        </w:rPr>
        <w:t xml:space="preserve"> undertake relevant country-level consultations, discussions and research </w:t>
      </w:r>
      <w:r>
        <w:rPr>
          <w:lang w:val="en-GB"/>
        </w:rPr>
        <w:t>p</w:t>
      </w:r>
      <w:r w:rsidRPr="00BB21D8">
        <w:rPr>
          <w:lang w:val="en-GB"/>
        </w:rPr>
        <w:t>rior to the meeting</w:t>
      </w:r>
      <w:r>
        <w:rPr>
          <w:lang w:val="en-GB"/>
        </w:rPr>
        <w:t>s, b</w:t>
      </w:r>
      <w:r w:rsidRPr="00BB21D8">
        <w:rPr>
          <w:lang w:val="en-GB"/>
        </w:rPr>
        <w:t>e present at the opening session and remain and pa</w:t>
      </w:r>
      <w:r>
        <w:rPr>
          <w:lang w:val="en-GB"/>
        </w:rPr>
        <w:t xml:space="preserve">rticipate for the full duration, debrief </w:t>
      </w:r>
      <w:r w:rsidRPr="00BB21D8">
        <w:rPr>
          <w:lang w:val="en-GB"/>
        </w:rPr>
        <w:t>interested parties at country level</w:t>
      </w:r>
      <w:r>
        <w:rPr>
          <w:lang w:val="en-GB"/>
        </w:rPr>
        <w:t xml:space="preserve"> and </w:t>
      </w:r>
      <w:r w:rsidRPr="00BB21D8">
        <w:rPr>
          <w:lang w:val="en-GB"/>
        </w:rPr>
        <w:t xml:space="preserve">complete the online report form in conjunction with the </w:t>
      </w:r>
      <w:r>
        <w:rPr>
          <w:lang w:val="en-GB"/>
        </w:rPr>
        <w:t xml:space="preserve">CCP and </w:t>
      </w:r>
      <w:r w:rsidRPr="00BB21D8">
        <w:rPr>
          <w:lang w:val="en-GB"/>
        </w:rPr>
        <w:t xml:space="preserve">interested parties. </w:t>
      </w:r>
      <w:r>
        <w:rPr>
          <w:lang w:val="en-GB"/>
        </w:rPr>
        <w:t xml:space="preserve">According to the CTF Secretariat, much time and effort is needed to work with applicants to ensure that the applications are complete. This was particularly the case in the most recent round of applications, possibly caused by a more demanding application format, i.a. requiring signatures from all parties involved. At the time of writing three applications are still not complete. The CTF Secretariat believes the efforts are worthwhile, that the requirement for national consultations will bring results and that there is an educational process taking place. In addition, the interaction allows the Secretariat to identify and address weaknesses in national Codex systems in collaboration with regional/national WHO/FAO offices and staff. </w:t>
      </w:r>
    </w:p>
    <w:p w:rsidR="007D25C7" w:rsidRDefault="007D25C7" w:rsidP="007D25C7">
      <w:pPr>
        <w:spacing w:after="100" w:afterAutospacing="1"/>
        <w:rPr>
          <w:lang w:val="en-US"/>
        </w:rPr>
      </w:pPr>
      <w:r>
        <w:rPr>
          <w:lang w:val="en-US"/>
        </w:rPr>
        <w:t>An alternative approach would be for the CTF Secretariat directly or through intermediaries to start getting deeper involved in the selection process itself in order to guide countries in making the ‘right’ choices in terms of participants and meetings. Initial steps in this direction have already been taken through the application requirements and the involvement of local FAO and WHO offices. Varying local circumstances and the aim to keep transaction costs low makes it difficult to imagine an efficient way to centrally guide the whole selection process. There are indeed strong ownership, sovereignty and learning-by-doing arguments for applicant authorities, with involvement of regional and local FAO and WHO offices and strong signals through the application requirements, to take the main responsibility for the selection process.</w:t>
      </w:r>
    </w:p>
    <w:p w:rsidR="00D85203" w:rsidRDefault="00332D84">
      <w:pPr>
        <w:pStyle w:val="Caption"/>
        <w:keepNext/>
        <w:rPr>
          <w:lang w:val="en-US"/>
        </w:rPr>
      </w:pPr>
      <w:bookmarkStart w:id="98" w:name="_Ref256669794"/>
      <w:bookmarkStart w:id="99" w:name="_Toc260036748"/>
      <w:r w:rsidRPr="00332D84">
        <w:rPr>
          <w:lang w:val="en-US"/>
        </w:rPr>
        <w:lastRenderedPageBreak/>
        <w:t xml:space="preserve">Table </w:t>
      </w:r>
      <w:r w:rsidR="00AE227F">
        <w:fldChar w:fldCharType="begin"/>
      </w:r>
      <w:r w:rsidRPr="00332D84">
        <w:rPr>
          <w:lang w:val="en-US"/>
        </w:rPr>
        <w:instrText xml:space="preserve"> SEQ Table \* ARABIC </w:instrText>
      </w:r>
      <w:r w:rsidR="00AE227F">
        <w:fldChar w:fldCharType="separate"/>
      </w:r>
      <w:r w:rsidR="004F08A8">
        <w:rPr>
          <w:noProof/>
          <w:lang w:val="en-US"/>
        </w:rPr>
        <w:t>13</w:t>
      </w:r>
      <w:r w:rsidR="00AE227F">
        <w:fldChar w:fldCharType="end"/>
      </w:r>
      <w:bookmarkEnd w:id="98"/>
      <w:r w:rsidRPr="00332D84">
        <w:rPr>
          <w:lang w:val="en-US"/>
        </w:rPr>
        <w:t xml:space="preserve"> Administrative cycle of the CTF</w:t>
      </w:r>
      <w:bookmarkEnd w:id="99"/>
    </w:p>
    <w:tbl>
      <w:tblPr>
        <w:tblStyle w:val="MediumGrid3-Accent1"/>
        <w:tblW w:w="0" w:type="auto"/>
        <w:tblLook w:val="04A0" w:firstRow="1" w:lastRow="0" w:firstColumn="1" w:lastColumn="0" w:noHBand="0" w:noVBand="1"/>
      </w:tblPr>
      <w:tblGrid>
        <w:gridCol w:w="3652"/>
        <w:gridCol w:w="2552"/>
        <w:gridCol w:w="3076"/>
      </w:tblGrid>
      <w:tr w:rsidR="00493A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rsidR="00493A69" w:rsidRPr="001178F3" w:rsidRDefault="00493A69" w:rsidP="00493A69">
            <w:pPr>
              <w:spacing w:after="0"/>
              <w:rPr>
                <w:rFonts w:asciiTheme="minorHAnsi" w:hAnsiTheme="minorHAnsi"/>
                <w:lang w:val="en-GB"/>
              </w:rPr>
            </w:pPr>
            <w:r w:rsidRPr="001178F3">
              <w:rPr>
                <w:rFonts w:asciiTheme="minorHAnsi" w:hAnsiTheme="minorHAnsi"/>
                <w:lang w:val="en-GB"/>
              </w:rPr>
              <w:t>Step</w:t>
            </w:r>
          </w:p>
        </w:tc>
        <w:tc>
          <w:tcPr>
            <w:tcW w:w="2552" w:type="dxa"/>
          </w:tcPr>
          <w:p w:rsidR="00493A69" w:rsidRPr="001178F3" w:rsidRDefault="00493A69" w:rsidP="00493A69">
            <w:pPr>
              <w:spacing w:after="0"/>
              <w:cnfStyle w:val="100000000000" w:firstRow="1" w:lastRow="0" w:firstColumn="0" w:lastColumn="0" w:oddVBand="0" w:evenVBand="0" w:oddHBand="0" w:evenHBand="0" w:firstRowFirstColumn="0" w:firstRowLastColumn="0" w:lastRowFirstColumn="0" w:lastRowLastColumn="0"/>
              <w:rPr>
                <w:rFonts w:asciiTheme="minorHAnsi" w:hAnsiTheme="minorHAnsi"/>
                <w:lang w:val="en-GB"/>
              </w:rPr>
            </w:pPr>
            <w:r w:rsidRPr="001178F3">
              <w:rPr>
                <w:rFonts w:asciiTheme="minorHAnsi" w:hAnsiTheme="minorHAnsi"/>
                <w:lang w:val="en-GB"/>
              </w:rPr>
              <w:t>Timing</w:t>
            </w:r>
          </w:p>
        </w:tc>
        <w:tc>
          <w:tcPr>
            <w:tcW w:w="3076" w:type="dxa"/>
          </w:tcPr>
          <w:p w:rsidR="00493A69" w:rsidRPr="001178F3" w:rsidRDefault="00493A69" w:rsidP="00493A69">
            <w:pPr>
              <w:spacing w:after="0"/>
              <w:cnfStyle w:val="100000000000" w:firstRow="1" w:lastRow="0" w:firstColumn="0" w:lastColumn="0" w:oddVBand="0" w:evenVBand="0" w:oddHBand="0" w:evenHBand="0" w:firstRowFirstColumn="0" w:firstRowLastColumn="0" w:lastRowFirstColumn="0" w:lastRowLastColumn="0"/>
              <w:rPr>
                <w:rFonts w:asciiTheme="minorHAnsi" w:hAnsiTheme="minorHAnsi"/>
                <w:lang w:val="en-GB"/>
              </w:rPr>
            </w:pPr>
            <w:r w:rsidRPr="001178F3">
              <w:rPr>
                <w:rFonts w:asciiTheme="minorHAnsi" w:hAnsiTheme="minorHAnsi"/>
                <w:lang w:val="en-GB"/>
              </w:rPr>
              <w:t>Responsibility</w:t>
            </w:r>
          </w:p>
        </w:tc>
      </w:tr>
      <w:tr w:rsidR="00493A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rsidR="00493A69" w:rsidRPr="001178F3" w:rsidRDefault="00493A69" w:rsidP="00493A69">
            <w:pPr>
              <w:spacing w:after="0"/>
              <w:rPr>
                <w:rFonts w:asciiTheme="minorHAnsi" w:hAnsiTheme="minorHAnsi"/>
                <w:lang w:val="en-GB"/>
              </w:rPr>
            </w:pPr>
            <w:r w:rsidRPr="001178F3">
              <w:rPr>
                <w:rFonts w:asciiTheme="minorHAnsi" w:hAnsiTheme="minorHAnsi"/>
                <w:lang w:val="en-GB"/>
              </w:rPr>
              <w:t>Application sent in using application form available on CTF Website</w:t>
            </w:r>
          </w:p>
        </w:tc>
        <w:tc>
          <w:tcPr>
            <w:tcW w:w="2552" w:type="dxa"/>
          </w:tcPr>
          <w:p w:rsidR="00493A69" w:rsidRPr="001178F3" w:rsidRDefault="00493A69" w:rsidP="00493A69">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lang w:val="en-GB"/>
              </w:rPr>
            </w:pPr>
            <w:r w:rsidRPr="001178F3">
              <w:rPr>
                <w:rFonts w:asciiTheme="minorHAnsi" w:hAnsiTheme="minorHAnsi"/>
                <w:lang w:val="en-GB"/>
              </w:rPr>
              <w:t>Deadline: 31 October</w:t>
            </w:r>
          </w:p>
        </w:tc>
        <w:tc>
          <w:tcPr>
            <w:tcW w:w="3076" w:type="dxa"/>
          </w:tcPr>
          <w:p w:rsidR="00493A69" w:rsidRPr="001178F3" w:rsidRDefault="00493A69" w:rsidP="00493A69">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lang w:val="en-GB"/>
              </w:rPr>
            </w:pPr>
            <w:r w:rsidRPr="001178F3">
              <w:rPr>
                <w:rFonts w:asciiTheme="minorHAnsi" w:hAnsiTheme="minorHAnsi"/>
                <w:lang w:val="en-GB"/>
              </w:rPr>
              <w:t>CCP</w:t>
            </w:r>
          </w:p>
        </w:tc>
      </w:tr>
      <w:tr w:rsidR="00493A6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rsidR="00493A69" w:rsidRPr="001178F3" w:rsidRDefault="00493A69" w:rsidP="00493A69">
            <w:pPr>
              <w:spacing w:after="0"/>
              <w:rPr>
                <w:rFonts w:asciiTheme="minorHAnsi" w:hAnsiTheme="minorHAnsi"/>
                <w:lang w:val="en-GB"/>
              </w:rPr>
            </w:pPr>
            <w:r w:rsidRPr="001178F3">
              <w:rPr>
                <w:rFonts w:asciiTheme="minorHAnsi" w:hAnsiTheme="minorHAnsi"/>
                <w:lang w:val="en-GB"/>
              </w:rPr>
              <w:t>Review of applications</w:t>
            </w:r>
          </w:p>
        </w:tc>
        <w:tc>
          <w:tcPr>
            <w:tcW w:w="2552" w:type="dxa"/>
          </w:tcPr>
          <w:p w:rsidR="00493A69" w:rsidRPr="001178F3" w:rsidRDefault="00493A69" w:rsidP="00493A69">
            <w:pPr>
              <w:spacing w:after="0"/>
              <w:cnfStyle w:val="000000010000" w:firstRow="0" w:lastRow="0" w:firstColumn="0" w:lastColumn="0" w:oddVBand="0" w:evenVBand="0" w:oddHBand="0" w:evenHBand="1" w:firstRowFirstColumn="0" w:firstRowLastColumn="0" w:lastRowFirstColumn="0" w:lastRowLastColumn="0"/>
              <w:rPr>
                <w:rFonts w:asciiTheme="minorHAnsi" w:hAnsiTheme="minorHAnsi"/>
                <w:lang w:val="en-GB"/>
              </w:rPr>
            </w:pPr>
            <w:r w:rsidRPr="001178F3">
              <w:rPr>
                <w:rFonts w:asciiTheme="minorHAnsi" w:hAnsiTheme="minorHAnsi"/>
                <w:lang w:val="en-GB"/>
              </w:rPr>
              <w:t>November – December</w:t>
            </w:r>
          </w:p>
        </w:tc>
        <w:tc>
          <w:tcPr>
            <w:tcW w:w="3076" w:type="dxa"/>
          </w:tcPr>
          <w:p w:rsidR="00493A69" w:rsidRPr="001178F3" w:rsidRDefault="00493A69" w:rsidP="00493A69">
            <w:pPr>
              <w:spacing w:after="0"/>
              <w:cnfStyle w:val="000000010000" w:firstRow="0" w:lastRow="0" w:firstColumn="0" w:lastColumn="0" w:oddVBand="0" w:evenVBand="0" w:oddHBand="0" w:evenHBand="1" w:firstRowFirstColumn="0" w:firstRowLastColumn="0" w:lastRowFirstColumn="0" w:lastRowLastColumn="0"/>
              <w:rPr>
                <w:rFonts w:asciiTheme="minorHAnsi" w:hAnsiTheme="minorHAnsi"/>
                <w:lang w:val="en-GB"/>
              </w:rPr>
            </w:pPr>
            <w:r w:rsidRPr="001178F3">
              <w:rPr>
                <w:rFonts w:asciiTheme="minorHAnsi" w:hAnsiTheme="minorHAnsi"/>
                <w:lang w:val="en-GB"/>
              </w:rPr>
              <w:t>CTF Secretariat</w:t>
            </w:r>
          </w:p>
        </w:tc>
      </w:tr>
      <w:tr w:rsidR="00493A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rsidR="00493A69" w:rsidRPr="001178F3" w:rsidRDefault="00493A69" w:rsidP="00493A69">
            <w:pPr>
              <w:spacing w:after="0"/>
              <w:rPr>
                <w:rFonts w:asciiTheme="minorHAnsi" w:hAnsiTheme="minorHAnsi"/>
                <w:lang w:val="en-GB"/>
              </w:rPr>
            </w:pPr>
            <w:r w:rsidRPr="001178F3">
              <w:rPr>
                <w:rFonts w:asciiTheme="minorHAnsi" w:hAnsiTheme="minorHAnsi"/>
                <w:lang w:val="en-GB"/>
              </w:rPr>
              <w:t xml:space="preserve">Scenario planning </w:t>
            </w:r>
          </w:p>
        </w:tc>
        <w:tc>
          <w:tcPr>
            <w:tcW w:w="2552" w:type="dxa"/>
          </w:tcPr>
          <w:p w:rsidR="00493A69" w:rsidRPr="001178F3" w:rsidRDefault="00493A69" w:rsidP="00493A69">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lang w:val="en-GB"/>
              </w:rPr>
            </w:pPr>
            <w:r w:rsidRPr="001178F3">
              <w:rPr>
                <w:rFonts w:asciiTheme="minorHAnsi" w:hAnsiTheme="minorHAnsi"/>
                <w:lang w:val="en-GB"/>
              </w:rPr>
              <w:t>November – December</w:t>
            </w:r>
          </w:p>
        </w:tc>
        <w:tc>
          <w:tcPr>
            <w:tcW w:w="3076" w:type="dxa"/>
          </w:tcPr>
          <w:p w:rsidR="00493A69" w:rsidRPr="001178F3" w:rsidRDefault="00493A69" w:rsidP="00493A69">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lang w:val="en-GB"/>
              </w:rPr>
            </w:pPr>
            <w:r w:rsidRPr="001178F3">
              <w:rPr>
                <w:rFonts w:asciiTheme="minorHAnsi" w:hAnsiTheme="minorHAnsi"/>
                <w:lang w:val="en-GB"/>
              </w:rPr>
              <w:t>CTF Secretariat</w:t>
            </w:r>
          </w:p>
        </w:tc>
      </w:tr>
      <w:tr w:rsidR="00493A6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rsidR="00493A69" w:rsidRPr="001178F3" w:rsidRDefault="00493A69" w:rsidP="00493A69">
            <w:pPr>
              <w:spacing w:after="0"/>
              <w:rPr>
                <w:rFonts w:asciiTheme="minorHAnsi" w:hAnsiTheme="minorHAnsi"/>
                <w:lang w:val="en-GB"/>
              </w:rPr>
            </w:pPr>
            <w:r w:rsidRPr="001178F3">
              <w:rPr>
                <w:rFonts w:asciiTheme="minorHAnsi" w:hAnsiTheme="minorHAnsi"/>
                <w:lang w:val="en-GB"/>
              </w:rPr>
              <w:t>Decision on support levels</w:t>
            </w:r>
          </w:p>
        </w:tc>
        <w:tc>
          <w:tcPr>
            <w:tcW w:w="2552" w:type="dxa"/>
          </w:tcPr>
          <w:p w:rsidR="00493A69" w:rsidRPr="001178F3" w:rsidRDefault="00493A69" w:rsidP="00493A69">
            <w:pPr>
              <w:spacing w:after="0"/>
              <w:cnfStyle w:val="000000010000" w:firstRow="0" w:lastRow="0" w:firstColumn="0" w:lastColumn="0" w:oddVBand="0" w:evenVBand="0" w:oddHBand="0" w:evenHBand="1" w:firstRowFirstColumn="0" w:firstRowLastColumn="0" w:lastRowFirstColumn="0" w:lastRowLastColumn="0"/>
              <w:rPr>
                <w:rFonts w:asciiTheme="minorHAnsi" w:hAnsiTheme="minorHAnsi"/>
                <w:lang w:val="en-GB"/>
              </w:rPr>
            </w:pPr>
            <w:r w:rsidRPr="001178F3">
              <w:rPr>
                <w:rFonts w:asciiTheme="minorHAnsi" w:hAnsiTheme="minorHAnsi"/>
                <w:lang w:val="en-GB"/>
              </w:rPr>
              <w:t>December</w:t>
            </w:r>
          </w:p>
        </w:tc>
        <w:tc>
          <w:tcPr>
            <w:tcW w:w="3076" w:type="dxa"/>
          </w:tcPr>
          <w:p w:rsidR="00493A69" w:rsidRPr="001178F3" w:rsidRDefault="00493A69" w:rsidP="00493A69">
            <w:pPr>
              <w:spacing w:after="0"/>
              <w:cnfStyle w:val="000000010000" w:firstRow="0" w:lastRow="0" w:firstColumn="0" w:lastColumn="0" w:oddVBand="0" w:evenVBand="0" w:oddHBand="0" w:evenHBand="1" w:firstRowFirstColumn="0" w:firstRowLastColumn="0" w:lastRowFirstColumn="0" w:lastRowLastColumn="0"/>
              <w:rPr>
                <w:rFonts w:asciiTheme="minorHAnsi" w:hAnsiTheme="minorHAnsi"/>
                <w:lang w:val="en-GB"/>
              </w:rPr>
            </w:pPr>
            <w:r w:rsidRPr="001178F3">
              <w:rPr>
                <w:rFonts w:asciiTheme="minorHAnsi" w:hAnsiTheme="minorHAnsi"/>
                <w:lang w:val="en-GB"/>
              </w:rPr>
              <w:t>Consultative Group</w:t>
            </w:r>
          </w:p>
        </w:tc>
      </w:tr>
      <w:tr w:rsidR="00493A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rsidR="00493A69" w:rsidRPr="001178F3" w:rsidRDefault="00493A69" w:rsidP="00493A69">
            <w:pPr>
              <w:spacing w:after="0"/>
              <w:rPr>
                <w:rFonts w:asciiTheme="minorHAnsi" w:hAnsiTheme="minorHAnsi"/>
                <w:lang w:val="en-GB"/>
              </w:rPr>
            </w:pPr>
            <w:r w:rsidRPr="001178F3">
              <w:rPr>
                <w:rFonts w:asciiTheme="minorHAnsi" w:hAnsiTheme="minorHAnsi"/>
                <w:lang w:val="en-GB"/>
              </w:rPr>
              <w:t>Response to CCPs with decision and instructions</w:t>
            </w:r>
          </w:p>
        </w:tc>
        <w:tc>
          <w:tcPr>
            <w:tcW w:w="2552" w:type="dxa"/>
          </w:tcPr>
          <w:p w:rsidR="00493A69" w:rsidRPr="001178F3" w:rsidRDefault="00493A69" w:rsidP="00493A69">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lang w:val="en-GB"/>
              </w:rPr>
            </w:pPr>
            <w:r w:rsidRPr="001178F3">
              <w:rPr>
                <w:rFonts w:asciiTheme="minorHAnsi" w:hAnsiTheme="minorHAnsi"/>
                <w:lang w:val="en-GB"/>
              </w:rPr>
              <w:t>January</w:t>
            </w:r>
          </w:p>
        </w:tc>
        <w:tc>
          <w:tcPr>
            <w:tcW w:w="3076" w:type="dxa"/>
          </w:tcPr>
          <w:p w:rsidR="00493A69" w:rsidRPr="001178F3" w:rsidRDefault="00493A69" w:rsidP="00493A69">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lang w:val="en-GB"/>
              </w:rPr>
            </w:pPr>
            <w:r w:rsidRPr="001178F3">
              <w:rPr>
                <w:rFonts w:asciiTheme="minorHAnsi" w:hAnsiTheme="minorHAnsi"/>
                <w:lang w:val="en-GB"/>
              </w:rPr>
              <w:t>CTF Secretariat</w:t>
            </w:r>
          </w:p>
        </w:tc>
      </w:tr>
      <w:tr w:rsidR="00493A6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rsidR="00493A69" w:rsidRPr="001178F3" w:rsidRDefault="00493A69" w:rsidP="00493A69">
            <w:pPr>
              <w:spacing w:after="0"/>
              <w:rPr>
                <w:rFonts w:asciiTheme="minorHAnsi" w:hAnsiTheme="minorHAnsi"/>
                <w:lang w:val="en-GB"/>
              </w:rPr>
            </w:pPr>
            <w:r w:rsidRPr="001178F3">
              <w:rPr>
                <w:rFonts w:asciiTheme="minorHAnsi" w:hAnsiTheme="minorHAnsi"/>
                <w:lang w:val="en-GB"/>
              </w:rPr>
              <w:t>Registration form and bank details to the CTF</w:t>
            </w:r>
          </w:p>
        </w:tc>
        <w:tc>
          <w:tcPr>
            <w:tcW w:w="2552" w:type="dxa"/>
          </w:tcPr>
          <w:p w:rsidR="00493A69" w:rsidRPr="001178F3" w:rsidRDefault="00493A69" w:rsidP="00493A69">
            <w:pPr>
              <w:spacing w:after="0"/>
              <w:cnfStyle w:val="000000010000" w:firstRow="0" w:lastRow="0" w:firstColumn="0" w:lastColumn="0" w:oddVBand="0" w:evenVBand="0" w:oddHBand="0" w:evenHBand="1" w:firstRowFirstColumn="0" w:firstRowLastColumn="0" w:lastRowFirstColumn="0" w:lastRowLastColumn="0"/>
              <w:rPr>
                <w:rFonts w:asciiTheme="minorHAnsi" w:hAnsiTheme="minorHAnsi"/>
                <w:lang w:val="en-GB"/>
              </w:rPr>
            </w:pPr>
            <w:r w:rsidRPr="001178F3">
              <w:rPr>
                <w:rFonts w:asciiTheme="minorHAnsi" w:hAnsiTheme="minorHAnsi"/>
                <w:lang w:val="en-GB"/>
              </w:rPr>
              <w:t>January</w:t>
            </w:r>
          </w:p>
        </w:tc>
        <w:tc>
          <w:tcPr>
            <w:tcW w:w="3076" w:type="dxa"/>
          </w:tcPr>
          <w:p w:rsidR="00493A69" w:rsidRPr="001178F3" w:rsidRDefault="00493A69" w:rsidP="00493A69">
            <w:pPr>
              <w:spacing w:after="0"/>
              <w:cnfStyle w:val="000000010000" w:firstRow="0" w:lastRow="0" w:firstColumn="0" w:lastColumn="0" w:oddVBand="0" w:evenVBand="0" w:oddHBand="0" w:evenHBand="1" w:firstRowFirstColumn="0" w:firstRowLastColumn="0" w:lastRowFirstColumn="0" w:lastRowLastColumn="0"/>
              <w:rPr>
                <w:rFonts w:asciiTheme="minorHAnsi" w:hAnsiTheme="minorHAnsi"/>
                <w:lang w:val="en-GB"/>
              </w:rPr>
            </w:pPr>
            <w:r w:rsidRPr="001178F3">
              <w:rPr>
                <w:rFonts w:asciiTheme="minorHAnsi" w:hAnsiTheme="minorHAnsi"/>
                <w:lang w:val="en-GB"/>
              </w:rPr>
              <w:t>Beneficiaries</w:t>
            </w:r>
          </w:p>
        </w:tc>
      </w:tr>
      <w:tr w:rsidR="00493A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rsidR="00493A69" w:rsidRPr="001178F3" w:rsidRDefault="00493A69" w:rsidP="00493A69">
            <w:pPr>
              <w:spacing w:after="0"/>
              <w:rPr>
                <w:rFonts w:asciiTheme="minorHAnsi" w:hAnsiTheme="minorHAnsi"/>
                <w:lang w:val="en-GB"/>
              </w:rPr>
            </w:pPr>
            <w:r w:rsidRPr="001178F3">
              <w:rPr>
                <w:rFonts w:asciiTheme="minorHAnsi" w:hAnsiTheme="minorHAnsi"/>
                <w:lang w:val="en-GB"/>
              </w:rPr>
              <w:t>Invitation to meetings</w:t>
            </w:r>
          </w:p>
        </w:tc>
        <w:tc>
          <w:tcPr>
            <w:tcW w:w="2552" w:type="dxa"/>
          </w:tcPr>
          <w:p w:rsidR="00493A69" w:rsidRPr="001178F3" w:rsidRDefault="00493A69" w:rsidP="00493A69">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lang w:val="en-GB"/>
              </w:rPr>
            </w:pPr>
            <w:r w:rsidRPr="001178F3">
              <w:rPr>
                <w:rFonts w:asciiTheme="minorHAnsi" w:hAnsiTheme="minorHAnsi"/>
                <w:lang w:val="en-GB"/>
              </w:rPr>
              <w:t>2-3 months in advance of meetings</w:t>
            </w:r>
          </w:p>
        </w:tc>
        <w:tc>
          <w:tcPr>
            <w:tcW w:w="3076" w:type="dxa"/>
          </w:tcPr>
          <w:p w:rsidR="00493A69" w:rsidRPr="001178F3" w:rsidRDefault="00493A69" w:rsidP="00493A69">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lang w:val="en-GB"/>
              </w:rPr>
            </w:pPr>
            <w:r w:rsidRPr="001178F3">
              <w:rPr>
                <w:rFonts w:asciiTheme="minorHAnsi" w:hAnsiTheme="minorHAnsi"/>
                <w:lang w:val="en-GB"/>
              </w:rPr>
              <w:t>Codex Secretariat</w:t>
            </w:r>
          </w:p>
        </w:tc>
      </w:tr>
      <w:tr w:rsidR="00493A6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rsidR="00493A69" w:rsidRPr="001178F3" w:rsidRDefault="00493A69" w:rsidP="00493A69">
            <w:pPr>
              <w:spacing w:after="0"/>
              <w:rPr>
                <w:rFonts w:asciiTheme="minorHAnsi" w:hAnsiTheme="minorHAnsi"/>
                <w:lang w:val="en-GB"/>
              </w:rPr>
            </w:pPr>
            <w:r w:rsidRPr="001178F3">
              <w:rPr>
                <w:rFonts w:asciiTheme="minorHAnsi" w:hAnsiTheme="minorHAnsi"/>
                <w:lang w:val="en-GB"/>
              </w:rPr>
              <w:t>Registration for meeting; visa and travel arrangements*</w:t>
            </w:r>
          </w:p>
        </w:tc>
        <w:tc>
          <w:tcPr>
            <w:tcW w:w="2552" w:type="dxa"/>
          </w:tcPr>
          <w:p w:rsidR="00493A69" w:rsidRPr="001178F3" w:rsidRDefault="00493A69" w:rsidP="00493A69">
            <w:pPr>
              <w:spacing w:after="0"/>
              <w:cnfStyle w:val="000000010000" w:firstRow="0" w:lastRow="0" w:firstColumn="0" w:lastColumn="0" w:oddVBand="0" w:evenVBand="0" w:oddHBand="0" w:evenHBand="1" w:firstRowFirstColumn="0" w:firstRowLastColumn="0" w:lastRowFirstColumn="0" w:lastRowLastColumn="0"/>
              <w:rPr>
                <w:rFonts w:asciiTheme="minorHAnsi" w:hAnsiTheme="minorHAnsi"/>
                <w:lang w:val="en-GB"/>
              </w:rPr>
            </w:pPr>
            <w:r w:rsidRPr="001178F3">
              <w:rPr>
                <w:rFonts w:asciiTheme="minorHAnsi" w:hAnsiTheme="minorHAnsi"/>
                <w:lang w:val="en-GB"/>
              </w:rPr>
              <w:t>One month before each meeting</w:t>
            </w:r>
          </w:p>
        </w:tc>
        <w:tc>
          <w:tcPr>
            <w:tcW w:w="3076" w:type="dxa"/>
          </w:tcPr>
          <w:p w:rsidR="00493A69" w:rsidRPr="001178F3" w:rsidRDefault="00493A69" w:rsidP="00493A69">
            <w:pPr>
              <w:spacing w:after="0"/>
              <w:cnfStyle w:val="000000010000" w:firstRow="0" w:lastRow="0" w:firstColumn="0" w:lastColumn="0" w:oddVBand="0" w:evenVBand="0" w:oddHBand="0" w:evenHBand="1" w:firstRowFirstColumn="0" w:firstRowLastColumn="0" w:lastRowFirstColumn="0" w:lastRowLastColumn="0"/>
              <w:rPr>
                <w:rFonts w:asciiTheme="minorHAnsi" w:hAnsiTheme="minorHAnsi"/>
                <w:lang w:val="en-GB"/>
              </w:rPr>
            </w:pPr>
            <w:r w:rsidRPr="001178F3">
              <w:rPr>
                <w:rFonts w:asciiTheme="minorHAnsi" w:hAnsiTheme="minorHAnsi"/>
                <w:lang w:val="en-GB"/>
              </w:rPr>
              <w:t>Beneficiaries</w:t>
            </w:r>
          </w:p>
        </w:tc>
      </w:tr>
      <w:tr w:rsidR="00493A69" w:rsidRPr="00B75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rsidR="00493A69" w:rsidRPr="001178F3" w:rsidRDefault="00493A69" w:rsidP="00493A69">
            <w:pPr>
              <w:spacing w:after="0"/>
              <w:rPr>
                <w:rFonts w:asciiTheme="minorHAnsi" w:hAnsiTheme="minorHAnsi"/>
                <w:lang w:val="en-GB"/>
              </w:rPr>
            </w:pPr>
            <w:r w:rsidRPr="001178F3">
              <w:rPr>
                <w:rFonts w:asciiTheme="minorHAnsi" w:hAnsiTheme="minorHAnsi"/>
                <w:lang w:val="en-GB"/>
              </w:rPr>
              <w:t xml:space="preserve">Travel request upon confirmation of receipt of travel itinerary and visa </w:t>
            </w:r>
          </w:p>
        </w:tc>
        <w:tc>
          <w:tcPr>
            <w:tcW w:w="2552" w:type="dxa"/>
          </w:tcPr>
          <w:p w:rsidR="00493A69" w:rsidRPr="001178F3" w:rsidRDefault="00493A69" w:rsidP="00493A69">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lang w:val="en-GB"/>
              </w:rPr>
            </w:pPr>
            <w:r w:rsidRPr="001178F3">
              <w:rPr>
                <w:rFonts w:asciiTheme="minorHAnsi" w:hAnsiTheme="minorHAnsi"/>
                <w:lang w:val="en-GB"/>
              </w:rPr>
              <w:t>At least 10 days before the travel date</w:t>
            </w:r>
          </w:p>
        </w:tc>
        <w:tc>
          <w:tcPr>
            <w:tcW w:w="3076" w:type="dxa"/>
          </w:tcPr>
          <w:p w:rsidR="00493A69" w:rsidRPr="001178F3" w:rsidRDefault="00493A69" w:rsidP="00493A69">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lang w:val="en-GB"/>
              </w:rPr>
            </w:pPr>
            <w:r w:rsidRPr="001178F3">
              <w:rPr>
                <w:rFonts w:asciiTheme="minorHAnsi" w:hAnsiTheme="minorHAnsi"/>
                <w:lang w:val="en-GB"/>
              </w:rPr>
              <w:t>CTF Secretariat for countries in regions who are not yet on GSM (Africa and Lat Am), WHO offices for countries in regions who are on GSM and who can pay per diems from WR's imprest account and WHO administration in Kuala Lumpur</w:t>
            </w:r>
          </w:p>
        </w:tc>
      </w:tr>
      <w:tr w:rsidR="001178F3" w:rsidRPr="00B75C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rsidR="001178F3" w:rsidRPr="001178F3" w:rsidRDefault="001178F3" w:rsidP="00493A69">
            <w:pPr>
              <w:spacing w:after="0"/>
              <w:rPr>
                <w:rFonts w:asciiTheme="minorHAnsi" w:hAnsiTheme="minorHAnsi"/>
                <w:lang w:val="en-GB"/>
              </w:rPr>
            </w:pPr>
            <w:r w:rsidRPr="001178F3">
              <w:rPr>
                <w:rFonts w:asciiTheme="minorHAnsi" w:hAnsiTheme="minorHAnsi"/>
                <w:bCs w:val="0"/>
                <w:lang w:val="en-GB"/>
              </w:rPr>
              <w:t>Travel authorisation to travel agency that releases ticket to beneficiary</w:t>
            </w:r>
          </w:p>
        </w:tc>
        <w:tc>
          <w:tcPr>
            <w:tcW w:w="2552" w:type="dxa"/>
          </w:tcPr>
          <w:p w:rsidR="001178F3" w:rsidRPr="001178F3" w:rsidRDefault="001178F3" w:rsidP="00493A69">
            <w:pPr>
              <w:spacing w:after="0"/>
              <w:cnfStyle w:val="000000010000" w:firstRow="0" w:lastRow="0" w:firstColumn="0" w:lastColumn="0" w:oddVBand="0" w:evenVBand="0" w:oddHBand="0" w:evenHBand="1" w:firstRowFirstColumn="0" w:firstRowLastColumn="0" w:lastRowFirstColumn="0" w:lastRowLastColumn="0"/>
              <w:rPr>
                <w:rFonts w:asciiTheme="minorHAnsi" w:hAnsiTheme="minorHAnsi"/>
                <w:lang w:val="en-GB"/>
              </w:rPr>
            </w:pPr>
            <w:r w:rsidRPr="001178F3">
              <w:rPr>
                <w:rFonts w:asciiTheme="minorHAnsi" w:hAnsiTheme="minorHAnsi"/>
                <w:lang w:val="en-GB"/>
              </w:rPr>
              <w:t>8 days before travel date</w:t>
            </w:r>
          </w:p>
        </w:tc>
        <w:tc>
          <w:tcPr>
            <w:tcW w:w="3076" w:type="dxa"/>
          </w:tcPr>
          <w:p w:rsidR="001178F3" w:rsidRPr="001178F3" w:rsidRDefault="001178F3" w:rsidP="00493A69">
            <w:pPr>
              <w:spacing w:after="0"/>
              <w:cnfStyle w:val="000000010000" w:firstRow="0" w:lastRow="0" w:firstColumn="0" w:lastColumn="0" w:oddVBand="0" w:evenVBand="0" w:oddHBand="0" w:evenHBand="1" w:firstRowFirstColumn="0" w:firstRowLastColumn="0" w:lastRowFirstColumn="0" w:lastRowLastColumn="0"/>
              <w:rPr>
                <w:rFonts w:asciiTheme="minorHAnsi" w:hAnsiTheme="minorHAnsi"/>
                <w:lang w:val="en-GB"/>
              </w:rPr>
            </w:pPr>
            <w:r w:rsidRPr="001178F3">
              <w:rPr>
                <w:rFonts w:asciiTheme="minorHAnsi" w:hAnsiTheme="minorHAnsi"/>
                <w:lang w:val="en-GB"/>
              </w:rPr>
              <w:t>Amex and WHO admin in Kuala Lumpur</w:t>
            </w:r>
          </w:p>
        </w:tc>
      </w:tr>
      <w:tr w:rsidR="001178F3" w:rsidRPr="00B75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rsidR="001178F3" w:rsidRPr="001178F3" w:rsidRDefault="001178F3" w:rsidP="00493A69">
            <w:pPr>
              <w:spacing w:after="0"/>
              <w:rPr>
                <w:rFonts w:asciiTheme="minorHAnsi" w:hAnsiTheme="minorHAnsi"/>
                <w:lang w:val="en-GB"/>
              </w:rPr>
            </w:pPr>
            <w:r w:rsidRPr="001178F3">
              <w:rPr>
                <w:rFonts w:asciiTheme="minorHAnsi" w:hAnsiTheme="minorHAnsi"/>
                <w:bCs w:val="0"/>
                <w:lang w:val="en-GB"/>
              </w:rPr>
              <w:t>Per-diem is transferred to bank account of the beneficiary or disbursed locally</w:t>
            </w:r>
          </w:p>
        </w:tc>
        <w:tc>
          <w:tcPr>
            <w:tcW w:w="2552" w:type="dxa"/>
          </w:tcPr>
          <w:p w:rsidR="001178F3" w:rsidRPr="001178F3" w:rsidRDefault="001178F3" w:rsidP="00493A69">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lang w:val="en-GB"/>
              </w:rPr>
            </w:pPr>
            <w:r w:rsidRPr="001178F3">
              <w:rPr>
                <w:rFonts w:asciiTheme="minorHAnsi" w:hAnsiTheme="minorHAnsi"/>
                <w:lang w:val="en-GB"/>
              </w:rPr>
              <w:t>8 days before travel date</w:t>
            </w:r>
          </w:p>
        </w:tc>
        <w:tc>
          <w:tcPr>
            <w:tcW w:w="3076" w:type="dxa"/>
          </w:tcPr>
          <w:p w:rsidR="001178F3" w:rsidRPr="001178F3" w:rsidRDefault="001178F3" w:rsidP="00493A69">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lang w:val="en-GB"/>
              </w:rPr>
            </w:pPr>
            <w:r w:rsidRPr="001178F3">
              <w:rPr>
                <w:rFonts w:asciiTheme="minorHAnsi" w:hAnsiTheme="minorHAnsi"/>
                <w:lang w:val="en-GB"/>
              </w:rPr>
              <w:t>WHO admin in Kuala Lumpur (automatically send instructions for payment 8 days before travel) and local WHO Office when necessary</w:t>
            </w:r>
          </w:p>
        </w:tc>
      </w:tr>
      <w:tr w:rsidR="001178F3" w:rsidRPr="00A6725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rsidR="001178F3" w:rsidRPr="001178F3" w:rsidRDefault="001178F3" w:rsidP="00493A69">
            <w:pPr>
              <w:spacing w:after="0"/>
              <w:rPr>
                <w:rFonts w:asciiTheme="minorHAnsi" w:hAnsiTheme="minorHAnsi"/>
                <w:lang w:val="en-GB"/>
              </w:rPr>
            </w:pPr>
            <w:r w:rsidRPr="001178F3">
              <w:rPr>
                <w:rFonts w:asciiTheme="minorHAnsi" w:hAnsiTheme="minorHAnsi"/>
                <w:lang w:val="en-GB"/>
              </w:rPr>
              <w:t>Reporting to CTF Secretariat</w:t>
            </w:r>
          </w:p>
        </w:tc>
        <w:tc>
          <w:tcPr>
            <w:tcW w:w="2552" w:type="dxa"/>
          </w:tcPr>
          <w:p w:rsidR="001178F3" w:rsidRPr="001178F3" w:rsidRDefault="00B447DB" w:rsidP="00493A69">
            <w:pPr>
              <w:spacing w:after="0"/>
              <w:cnfStyle w:val="000000010000" w:firstRow="0" w:lastRow="0" w:firstColumn="0" w:lastColumn="0" w:oddVBand="0" w:evenVBand="0" w:oddHBand="0" w:evenHBand="1" w:firstRowFirstColumn="0" w:firstRowLastColumn="0" w:lastRowFirstColumn="0" w:lastRowLastColumn="0"/>
              <w:rPr>
                <w:rFonts w:asciiTheme="minorHAnsi" w:hAnsiTheme="minorHAnsi"/>
                <w:lang w:val="en-GB"/>
              </w:rPr>
            </w:pPr>
            <w:r>
              <w:rPr>
                <w:rFonts w:asciiTheme="minorHAnsi" w:hAnsiTheme="minorHAnsi"/>
                <w:lang w:val="en-GB"/>
              </w:rPr>
              <w:t>Three</w:t>
            </w:r>
            <w:r w:rsidRPr="001178F3">
              <w:rPr>
                <w:rFonts w:asciiTheme="minorHAnsi" w:hAnsiTheme="minorHAnsi"/>
                <w:lang w:val="en-GB"/>
              </w:rPr>
              <w:t xml:space="preserve"> </w:t>
            </w:r>
            <w:r w:rsidR="001178F3" w:rsidRPr="001178F3">
              <w:rPr>
                <w:rFonts w:asciiTheme="minorHAnsi" w:hAnsiTheme="minorHAnsi"/>
                <w:lang w:val="en-GB"/>
              </w:rPr>
              <w:t>month</w:t>
            </w:r>
            <w:r>
              <w:rPr>
                <w:rFonts w:asciiTheme="minorHAnsi" w:hAnsiTheme="minorHAnsi"/>
                <w:lang w:val="en-GB"/>
              </w:rPr>
              <w:t>s</w:t>
            </w:r>
            <w:r w:rsidR="001178F3" w:rsidRPr="001178F3">
              <w:rPr>
                <w:rFonts w:asciiTheme="minorHAnsi" w:hAnsiTheme="minorHAnsi"/>
                <w:lang w:val="en-GB"/>
              </w:rPr>
              <w:t xml:space="preserve"> after meeting</w:t>
            </w:r>
          </w:p>
        </w:tc>
        <w:tc>
          <w:tcPr>
            <w:tcW w:w="3076" w:type="dxa"/>
          </w:tcPr>
          <w:p w:rsidR="001178F3" w:rsidRPr="001178F3" w:rsidRDefault="001178F3" w:rsidP="00493A69">
            <w:pPr>
              <w:spacing w:after="0"/>
              <w:cnfStyle w:val="000000010000" w:firstRow="0" w:lastRow="0" w:firstColumn="0" w:lastColumn="0" w:oddVBand="0" w:evenVBand="0" w:oddHBand="0" w:evenHBand="1" w:firstRowFirstColumn="0" w:firstRowLastColumn="0" w:lastRowFirstColumn="0" w:lastRowLastColumn="0"/>
              <w:rPr>
                <w:rFonts w:asciiTheme="minorHAnsi" w:hAnsiTheme="minorHAnsi"/>
                <w:lang w:val="en-GB"/>
              </w:rPr>
            </w:pPr>
            <w:r w:rsidRPr="001178F3">
              <w:rPr>
                <w:rFonts w:asciiTheme="minorHAnsi" w:hAnsiTheme="minorHAnsi"/>
                <w:lang w:val="en-GB"/>
              </w:rPr>
              <w:t>Beneficiaries</w:t>
            </w:r>
          </w:p>
        </w:tc>
      </w:tr>
    </w:tbl>
    <w:p w:rsidR="00493A69" w:rsidRDefault="00493A69" w:rsidP="00493A69">
      <w:pPr>
        <w:spacing w:after="0"/>
        <w:rPr>
          <w:i/>
          <w:lang w:val="en-GB"/>
        </w:rPr>
      </w:pPr>
      <w:r w:rsidRPr="00FA7C93">
        <w:rPr>
          <w:i/>
          <w:lang w:val="en-GB"/>
        </w:rPr>
        <w:t xml:space="preserve">* If there is travel agency authorised by WHO in a country, participants book their tickets locally; if not the CTF Secretariat takes care of ticket reservations from Geneva. </w:t>
      </w:r>
    </w:p>
    <w:p w:rsidR="00493A69" w:rsidRPr="00FA7C93" w:rsidRDefault="00493A69" w:rsidP="00493A69">
      <w:pPr>
        <w:spacing w:after="0"/>
        <w:rPr>
          <w:i/>
          <w:lang w:val="en-GB"/>
        </w:rPr>
      </w:pPr>
    </w:p>
    <w:p w:rsidR="00493A69" w:rsidRDefault="00493A69" w:rsidP="00493A69">
      <w:pPr>
        <w:spacing w:after="0"/>
        <w:rPr>
          <w:lang w:val="en-GB"/>
        </w:rPr>
      </w:pPr>
    </w:p>
    <w:p w:rsidR="00493A69" w:rsidRDefault="00493A69" w:rsidP="00493A69">
      <w:pPr>
        <w:spacing w:after="100" w:afterAutospacing="1"/>
        <w:rPr>
          <w:lang w:val="en-US"/>
        </w:rPr>
      </w:pPr>
      <w:r>
        <w:rPr>
          <w:lang w:val="en-US"/>
        </w:rPr>
        <w:t>Another decisive issue is the administrative and travel arrangements that follow on a successful application. As can be seen in the table above, there are a number of procedural steps, all of which may be delayed or misinterpreted for various reasons. In order to facilitate this process the response letter sent out to successful applicants in January contains information about registration for Codex meetings (</w:t>
      </w:r>
      <w:r w:rsidR="00F62EEA">
        <w:rPr>
          <w:lang w:val="en-US"/>
        </w:rPr>
        <w:t xml:space="preserve">to be sent </w:t>
      </w:r>
      <w:r>
        <w:rPr>
          <w:lang w:val="en-US"/>
        </w:rPr>
        <w:t xml:space="preserve">directly </w:t>
      </w:r>
      <w:r w:rsidR="00F62EEA">
        <w:rPr>
          <w:lang w:val="en-US"/>
        </w:rPr>
        <w:t xml:space="preserve">to </w:t>
      </w:r>
      <w:r>
        <w:rPr>
          <w:lang w:val="en-US"/>
        </w:rPr>
        <w:t xml:space="preserve">the Codex </w:t>
      </w:r>
      <w:r w:rsidR="00F62EEA">
        <w:rPr>
          <w:lang w:val="en-US"/>
        </w:rPr>
        <w:t>committee of the hosting/co-hosting country</w:t>
      </w:r>
      <w:r>
        <w:rPr>
          <w:lang w:val="en-US"/>
        </w:rPr>
        <w:t xml:space="preserve">), travel and per diem. In addition, a document named </w:t>
      </w:r>
      <w:r w:rsidRPr="00E50731">
        <w:rPr>
          <w:lang w:val="en-US"/>
        </w:rPr>
        <w:t>Codex Trust Fund policies and administrative procedures</w:t>
      </w:r>
      <w:r>
        <w:rPr>
          <w:lang w:val="en-US"/>
        </w:rPr>
        <w:t xml:space="preserve"> is published on the CTF website. </w:t>
      </w:r>
    </w:p>
    <w:p w:rsidR="00493A69" w:rsidRDefault="00B67CA2" w:rsidP="00493A69">
      <w:pPr>
        <w:spacing w:after="100" w:afterAutospacing="1"/>
        <w:rPr>
          <w:lang w:val="en-US"/>
        </w:rPr>
      </w:pPr>
      <w:r>
        <w:rPr>
          <w:lang w:val="en-US"/>
        </w:rPr>
        <w:t xml:space="preserve">Previously, the CTF Secretariat sent out individual e-mail invitations to beneficiaries before meetings, but this procedure proved cumbersome and ineffective </w:t>
      </w:r>
      <w:r w:rsidR="00F62EEA">
        <w:rPr>
          <w:lang w:val="en-US"/>
        </w:rPr>
        <w:t xml:space="preserve">which is </w:t>
      </w:r>
      <w:r>
        <w:rPr>
          <w:lang w:val="en-US"/>
        </w:rPr>
        <w:t xml:space="preserve">why it was discontinued. Beneficiaries can now start preparing for travel after the </w:t>
      </w:r>
      <w:r w:rsidR="00F62EEA">
        <w:rPr>
          <w:lang w:val="en-US"/>
        </w:rPr>
        <w:t xml:space="preserve">application </w:t>
      </w:r>
      <w:r>
        <w:rPr>
          <w:lang w:val="en-US"/>
        </w:rPr>
        <w:t xml:space="preserve">response mail </w:t>
      </w:r>
      <w:r w:rsidR="00F62EEA">
        <w:rPr>
          <w:lang w:val="en-US"/>
        </w:rPr>
        <w:t xml:space="preserve">to </w:t>
      </w:r>
      <w:r>
        <w:rPr>
          <w:lang w:val="en-US"/>
        </w:rPr>
        <w:t xml:space="preserve">CCPs in January. </w:t>
      </w:r>
      <w:r w:rsidR="00493A69">
        <w:rPr>
          <w:lang w:val="en-US"/>
        </w:rPr>
        <w:t xml:space="preserve">During country visits and surveys issues were reported on all steps of the administrative process: e-mail invitations arriving late, problems with travel agents, delays in receiving visa and non-reception of per-diem. In one of the visited countries, the interviewees were frustrated by difficulties to get response from the CTF Secretariat and invitations arriving very late, which made it difficult to plan ahead and get flight tickets at low cost. In some cases participants had been forced to travel at their own expense and had not been reimbursed several months after the meeting. </w:t>
      </w:r>
    </w:p>
    <w:p w:rsidR="00B67CA2" w:rsidRDefault="00332D84" w:rsidP="00493A69">
      <w:pPr>
        <w:spacing w:after="100" w:afterAutospacing="1"/>
        <w:rPr>
          <w:lang w:val="en-GB"/>
        </w:rPr>
      </w:pPr>
      <w:r w:rsidRPr="00332D84">
        <w:rPr>
          <w:lang w:val="en-GB"/>
        </w:rPr>
        <w:lastRenderedPageBreak/>
        <w:t>In addition to capacity constraints</w:t>
      </w:r>
      <w:r w:rsidR="00B67CA2">
        <w:rPr>
          <w:lang w:val="en-GB"/>
        </w:rPr>
        <w:t xml:space="preserve"> within the CTF Secretariat</w:t>
      </w:r>
      <w:r w:rsidRPr="00332D84">
        <w:rPr>
          <w:lang w:val="en-GB"/>
        </w:rPr>
        <w:t xml:space="preserve">, administrative issues may have been caused by the fact that WHO switched to a new administrative system in the summer of 2008, which was outsourced to Kuala Lumpur in Malaysia. According to the </w:t>
      </w:r>
      <w:r>
        <w:rPr>
          <w:lang w:val="en-GB"/>
        </w:rPr>
        <w:t>CTF Secretariat, the instructions for payment of</w:t>
      </w:r>
      <w:r w:rsidR="00B67CA2">
        <w:rPr>
          <w:lang w:val="en-GB"/>
        </w:rPr>
        <w:t xml:space="preserve"> per-diem </w:t>
      </w:r>
      <w:r w:rsidR="00B67CA2" w:rsidRPr="00012339">
        <w:rPr>
          <w:lang w:val="en-GB"/>
        </w:rPr>
        <w:t xml:space="preserve">are automatically sent </w:t>
      </w:r>
      <w:r w:rsidR="00B67CA2">
        <w:rPr>
          <w:lang w:val="en-GB"/>
        </w:rPr>
        <w:t>from Kuala Lumpur</w:t>
      </w:r>
      <w:r w:rsidR="00B67CA2" w:rsidRPr="00012339">
        <w:rPr>
          <w:lang w:val="en-GB"/>
        </w:rPr>
        <w:t xml:space="preserve"> 8 days before the date of travel</w:t>
      </w:r>
      <w:r w:rsidR="00B67CA2">
        <w:rPr>
          <w:lang w:val="en-GB"/>
        </w:rPr>
        <w:t>,</w:t>
      </w:r>
      <w:r w:rsidR="00B67CA2" w:rsidRPr="00012339">
        <w:rPr>
          <w:lang w:val="en-GB"/>
        </w:rPr>
        <w:t xml:space="preserve"> which is often not enough time for the payment to be processed and for the participant to get the money in their bank account or to get thei</w:t>
      </w:r>
      <w:r w:rsidR="00B67CA2">
        <w:rPr>
          <w:lang w:val="en-GB"/>
        </w:rPr>
        <w:t xml:space="preserve">r per diem from the local WHO office before travelling. </w:t>
      </w:r>
    </w:p>
    <w:p w:rsidR="00493A69" w:rsidRDefault="00332D84" w:rsidP="00493A69">
      <w:pPr>
        <w:spacing w:after="100" w:afterAutospacing="1"/>
        <w:rPr>
          <w:sz w:val="22"/>
          <w:lang w:val="en-GB"/>
        </w:rPr>
      </w:pPr>
      <w:r w:rsidRPr="00332D84">
        <w:rPr>
          <w:lang w:val="en-GB"/>
        </w:rPr>
        <w:t>There are also factors external to the CTF, which affect travel arrangements. Visa problems is a major issue for beneficiaries, in particular when there are no embassies of meeting host countries in their countries. The CTF Secretariat states clearly in its instructions that procuring visas is the responsibility of the beneficiary country. Another issue is that some participants have travelled to meetings without having received their per-diems, which is against the explicit instructions of the CTF. With the new administrative system per-diems cannot be provided on site.</w:t>
      </w:r>
      <w:r w:rsidR="00B67CA2">
        <w:rPr>
          <w:lang w:val="en-GB"/>
        </w:rPr>
        <w:t xml:space="preserve">   </w:t>
      </w:r>
    </w:p>
    <w:p w:rsidR="00293887" w:rsidRPr="00293887" w:rsidRDefault="00293887" w:rsidP="00293887">
      <w:pPr>
        <w:pStyle w:val="Heading2"/>
        <w:rPr>
          <w:lang w:val="en-US"/>
        </w:rPr>
      </w:pPr>
      <w:bookmarkStart w:id="100" w:name="_Toc260389738"/>
      <w:r w:rsidRPr="00293887">
        <w:rPr>
          <w:lang w:val="en-US"/>
        </w:rPr>
        <w:t xml:space="preserve">Coordination </w:t>
      </w:r>
      <w:r w:rsidR="002C1EFE">
        <w:rPr>
          <w:lang w:val="en-US"/>
        </w:rPr>
        <w:t>with other stakeholders</w:t>
      </w:r>
      <w:bookmarkEnd w:id="100"/>
    </w:p>
    <w:p w:rsidR="008543B2" w:rsidRPr="009B767E" w:rsidRDefault="008543B2" w:rsidP="008543B2">
      <w:pPr>
        <w:rPr>
          <w:lang w:val="en-GB"/>
        </w:rPr>
      </w:pPr>
      <w:r w:rsidRPr="001D622D">
        <w:rPr>
          <w:lang w:val="en-GB"/>
        </w:rPr>
        <w:t>In previous chapters we have brought up the topic of coordination with other stakeholders, in particular in the context of various capacity-building programmes. However, one should not forget that division of labour is also a coordination instrument – and often the most effective one. The process of coordination through meetings, joint decision-making structures,   informal and ad-hoc exchanges, etc. can often be very costly. It is always important to consider how much coordination is actually needed in order to get a job done, and to keep coordination at a minimum.</w:t>
      </w:r>
    </w:p>
    <w:p w:rsidR="008543B2" w:rsidRPr="009B767E" w:rsidRDefault="008543B2" w:rsidP="008543B2">
      <w:pPr>
        <w:rPr>
          <w:lang w:val="en-GB"/>
        </w:rPr>
      </w:pPr>
      <w:r w:rsidRPr="001D622D">
        <w:rPr>
          <w:lang w:val="en-GB"/>
        </w:rPr>
        <w:t xml:space="preserve">The coordination issues that we have brought up are largely ones where there is an additional benefit to be gained from considering what others are doing and how that could serve the overall purpose of the CTF. We have not seen any examples of how CTF activities duplicate efforts, collide with and create problems for other programs, and thus lead to an inefficient use of resources.  The division of labour, that is, the clear and distinct purpose and activities of the CTF, has </w:t>
      </w:r>
      <w:r>
        <w:rPr>
          <w:lang w:val="en-GB"/>
        </w:rPr>
        <w:t xml:space="preserve">in itself </w:t>
      </w:r>
      <w:r w:rsidRPr="001D622D">
        <w:rPr>
          <w:lang w:val="en-GB"/>
        </w:rPr>
        <w:t>been an eff</w:t>
      </w:r>
      <w:r>
        <w:rPr>
          <w:lang w:val="en-GB"/>
        </w:rPr>
        <w:t>ective coordination mechanism. Those working with the c</w:t>
      </w:r>
      <w:r w:rsidRPr="001D622D">
        <w:rPr>
          <w:lang w:val="en-GB"/>
        </w:rPr>
        <w:t xml:space="preserve">apacity building activities of other organisations </w:t>
      </w:r>
      <w:r>
        <w:rPr>
          <w:lang w:val="en-GB"/>
        </w:rPr>
        <w:t>can</w:t>
      </w:r>
      <w:r w:rsidRPr="001D622D">
        <w:rPr>
          <w:lang w:val="en-GB"/>
        </w:rPr>
        <w:t xml:space="preserve"> see what the CTF does and how its activities may fit into their programmes. </w:t>
      </w:r>
    </w:p>
    <w:p w:rsidR="008543B2" w:rsidRPr="009B767E" w:rsidRDefault="008543B2" w:rsidP="008543B2">
      <w:pPr>
        <w:rPr>
          <w:lang w:val="en-GB"/>
        </w:rPr>
      </w:pPr>
      <w:r w:rsidRPr="001D622D">
        <w:rPr>
          <w:lang w:val="en-GB"/>
        </w:rPr>
        <w:t xml:space="preserve">The problem, as it is identified in this report, is rather that it seems as if the participation in Codex meetings have been most useful when participants have come from an environment where Codex institutions are relatively well developed already, or where there is a process of change. The latter is then often a result of bilateral and multilateral technical cooperation projects. </w:t>
      </w:r>
    </w:p>
    <w:p w:rsidR="008543B2" w:rsidRDefault="008543B2" w:rsidP="008543B2">
      <w:pPr>
        <w:rPr>
          <w:lang w:val="en-GB"/>
        </w:rPr>
      </w:pPr>
      <w:r w:rsidRPr="001D622D">
        <w:rPr>
          <w:lang w:val="en-GB"/>
        </w:rPr>
        <w:t xml:space="preserve">In particular, the FAO’s mandate calls for “raising levels of nutrition and standards of living … and contributing toward an expanding world economy and ensuring humanity’s freedom from hunger” (FAO Constitution). Developing the capacities of member countries to effectively manage food safety and quality is key to that objective. FAO consequently has capacity development in food safety and food quality as a core activity. In chapter 2 there were many examples of how FAO-financed technical assistance had played a role in the development of the Codex institutions in the countries visited in the course of the review. </w:t>
      </w:r>
    </w:p>
    <w:p w:rsidR="008543B2" w:rsidRPr="00221D09" w:rsidRDefault="008543B2" w:rsidP="008543B2">
      <w:pPr>
        <w:rPr>
          <w:lang w:val="en-GB"/>
        </w:rPr>
      </w:pPr>
      <w:r w:rsidRPr="00221D09">
        <w:rPr>
          <w:lang w:val="en-GB"/>
        </w:rPr>
        <w:t>The FAO activities are i</w:t>
      </w:r>
      <w:r>
        <w:rPr>
          <w:lang w:val="en-GB"/>
        </w:rPr>
        <w:t>nten</w:t>
      </w:r>
      <w:r w:rsidRPr="00221D09">
        <w:rPr>
          <w:lang w:val="en-GB"/>
        </w:rPr>
        <w:t xml:space="preserve">ded to enhance effective participation in Codex – input into the Codex process and application of Codex norms – in three ways.  These approaches are closely </w:t>
      </w:r>
      <w:r w:rsidRPr="00221D09">
        <w:rPr>
          <w:lang w:val="en-GB"/>
        </w:rPr>
        <w:lastRenderedPageBreak/>
        <w:t>linked; rarely is one element isolated from the other two.  A strong national Codex programme is an integral part of any well managed system for food safety, and vice versa</w:t>
      </w:r>
      <w:r>
        <w:rPr>
          <w:rStyle w:val="FootnoteReference"/>
          <w:lang w:val="en-GB"/>
        </w:rPr>
        <w:footnoteReference w:id="16"/>
      </w:r>
      <w:r w:rsidRPr="00221D09">
        <w:rPr>
          <w:lang w:val="en-GB"/>
        </w:rPr>
        <w:t>.</w:t>
      </w:r>
    </w:p>
    <w:p w:rsidR="008543B2" w:rsidRPr="00221D09" w:rsidRDefault="008543B2" w:rsidP="008543B2">
      <w:pPr>
        <w:rPr>
          <w:lang w:val="en-GB"/>
        </w:rPr>
      </w:pPr>
      <w:r w:rsidRPr="00221D09">
        <w:rPr>
          <w:lang w:val="en-GB"/>
        </w:rPr>
        <w:t>First, Codex capacity is strengthened whenever FAO helps members improve their technical and scientific ability to asses, monitor and control food safety in any aspect of the food chain:  production, harvest, post-harvest handling, storage, transport, processing and distribution.  Providing resources and training to enable countries to strengthen their laboratories, employ best practices, conduct risk analyses, and both monitor and control food quality makes them more informed and effective participants in Codex.  It increases their preparedness for the scientific deliberations involved in the drafting of international standards and guidelines on commodities and food safety.</w:t>
      </w:r>
    </w:p>
    <w:p w:rsidR="008543B2" w:rsidRPr="00221D09" w:rsidRDefault="008543B2" w:rsidP="008543B2">
      <w:pPr>
        <w:rPr>
          <w:lang w:val="en-GB"/>
        </w:rPr>
      </w:pPr>
      <w:r w:rsidRPr="00221D09">
        <w:rPr>
          <w:lang w:val="en-GB"/>
        </w:rPr>
        <w:t>Second, FAO helps members create national food standards – or harmonize existing ones – in agreement with the international norms established by Codex.  This involves identifying the gaps between national and international norms to establish a prioritized work plan for bringing them into accord.  New food legislation is often drafted, codifying the new standards and regulations, and clarifying the responsibilities of various government bodies involved in food safety, including the CCP and the NCC.</w:t>
      </w:r>
    </w:p>
    <w:p w:rsidR="008543B2" w:rsidRPr="00221D09" w:rsidRDefault="008543B2" w:rsidP="008543B2">
      <w:pPr>
        <w:rPr>
          <w:lang w:val="en-GB"/>
        </w:rPr>
      </w:pPr>
      <w:r w:rsidRPr="00221D09">
        <w:rPr>
          <w:lang w:val="en-GB"/>
        </w:rPr>
        <w:t>Third, FAO works with countries to immediately enhance their participation in Codex.  The goals are to create, fortify or reform CCPs and NCCs; encourage political and financial support for their work; and provide ongoing education about Codex to improve a Member’s ability to navigate the standard-setting process</w:t>
      </w:r>
    </w:p>
    <w:p w:rsidR="008543B2" w:rsidRPr="009B767E" w:rsidRDefault="008543B2" w:rsidP="008543B2">
      <w:pPr>
        <w:rPr>
          <w:lang w:val="en-GB"/>
        </w:rPr>
      </w:pPr>
      <w:r>
        <w:rPr>
          <w:lang w:val="en-GB"/>
        </w:rPr>
        <w:t xml:space="preserve">There is </w:t>
      </w:r>
      <w:r w:rsidR="007D326C">
        <w:rPr>
          <w:lang w:val="en-GB"/>
        </w:rPr>
        <w:t xml:space="preserve">thus </w:t>
      </w:r>
      <w:r>
        <w:rPr>
          <w:lang w:val="en-GB"/>
        </w:rPr>
        <w:t xml:space="preserve">a clear division of labour between the FAO activities and the CTF, but it is also clear that the activities are closely related and that there are opportunities for synergies as well risks of duplicating efforts. </w:t>
      </w:r>
      <w:r w:rsidRPr="001D622D">
        <w:rPr>
          <w:lang w:val="en-GB"/>
        </w:rPr>
        <w:t xml:space="preserve">The coordination between the CTF Secretariat and FAO follows two main venues. First, FAO staff members are part of the Consultative Group of the CTF, and thus part of the strategic decision-making of the CTF. </w:t>
      </w:r>
      <w:r>
        <w:rPr>
          <w:lang w:val="en-GB"/>
        </w:rPr>
        <w:t>This arrangement provides the FAO Food Quality and Standards Service with direct access to all the information that would be necessary to coordinate effectively with CTF. This</w:t>
      </w:r>
      <w:r w:rsidRPr="001D622D">
        <w:rPr>
          <w:lang w:val="en-GB"/>
        </w:rPr>
        <w:t xml:space="preserve"> venue for joint decision-making that should provide for well coordinated decisions. Second, there is also an informal and decentralised consultation process between staff members of the CTF Secretariat and the FAO (Food Quality and Standards Service). </w:t>
      </w:r>
    </w:p>
    <w:p w:rsidR="008543B2" w:rsidRPr="009B767E" w:rsidRDefault="008543B2" w:rsidP="008543B2">
      <w:pPr>
        <w:rPr>
          <w:lang w:val="en-GB"/>
        </w:rPr>
      </w:pPr>
      <w:r w:rsidRPr="001D622D">
        <w:rPr>
          <w:lang w:val="en-GB"/>
        </w:rPr>
        <w:t xml:space="preserve">One of the prerequisites for coordination is that the partners who are to coordinate activities have adequate information on each other’s activities. So, for example, the CTF Secretariat would need to know if the FAO finances a programme in Malawi and, if so, what that project is doing right now, if that would influence a Secretariat decision. Vice versa, the FAO staff needs to understand the decision process of CTF in order to plan capacity building activities that could match the participation in meetings. The FAO has recently completed an inventory of </w:t>
      </w:r>
      <w:r w:rsidR="003C1B51">
        <w:rPr>
          <w:lang w:val="en-GB"/>
        </w:rPr>
        <w:t xml:space="preserve">its </w:t>
      </w:r>
      <w:r w:rsidRPr="001D622D">
        <w:rPr>
          <w:lang w:val="en-GB"/>
        </w:rPr>
        <w:t>technical assistance activities and that should facilitate more effective coordination in the future</w:t>
      </w:r>
      <w:r>
        <w:rPr>
          <w:rStyle w:val="FootnoteReference"/>
          <w:lang w:val="en-GB"/>
        </w:rPr>
        <w:footnoteReference w:id="17"/>
      </w:r>
      <w:r w:rsidRPr="001D622D">
        <w:rPr>
          <w:lang w:val="en-GB"/>
        </w:rPr>
        <w:t xml:space="preserve">.  </w:t>
      </w:r>
    </w:p>
    <w:p w:rsidR="002C1EFE" w:rsidRPr="008543B2" w:rsidRDefault="008543B2" w:rsidP="00293887">
      <w:pPr>
        <w:rPr>
          <w:lang w:val="en-GB"/>
        </w:rPr>
      </w:pPr>
      <w:r w:rsidRPr="001D622D">
        <w:rPr>
          <w:lang w:val="en-GB"/>
        </w:rPr>
        <w:t xml:space="preserve">As was mentioned above there are other actors with whom the CTF could consider developing and/or strengthening coordination, in particular when expanding activities to address the second and third objectives – but also if less universal approaches to allocation of funds were to be developed. The STDF as well as IBAN, SACAU, IICA and several bilateral donors have activities that are of interest. However, it is important to remember that coordination could be mutually reinforcing effects, but it is probably more important for other agencies to coordinate </w:t>
      </w:r>
      <w:r w:rsidRPr="001D622D">
        <w:rPr>
          <w:lang w:val="en-GB"/>
        </w:rPr>
        <w:lastRenderedPageBreak/>
        <w:t xml:space="preserve">their activities with the CTF than vice versa. To date, the other agencies have tailor made projects where the timing and content of activities could be adjusted to also make use of the CTF. The CTF has a universal approach that does not yet allow for much of local consideration and context. The challenge to coordinate is more with other organizations than with </w:t>
      </w:r>
      <w:r w:rsidR="003C1B51">
        <w:rPr>
          <w:lang w:val="en-GB"/>
        </w:rPr>
        <w:t xml:space="preserve">the </w:t>
      </w:r>
      <w:r w:rsidRPr="001D622D">
        <w:rPr>
          <w:lang w:val="en-GB"/>
        </w:rPr>
        <w:t>CTF.</w:t>
      </w:r>
    </w:p>
    <w:p w:rsidR="00493A69" w:rsidRPr="001E3D43" w:rsidRDefault="00493A69" w:rsidP="00493A69">
      <w:pPr>
        <w:pStyle w:val="Heading2"/>
        <w:rPr>
          <w:lang w:val="en-GB"/>
        </w:rPr>
      </w:pPr>
      <w:bookmarkStart w:id="101" w:name="_Toc260389739"/>
      <w:r>
        <w:rPr>
          <w:lang w:val="en-GB"/>
        </w:rPr>
        <w:t>Funding and donor relations</w:t>
      </w:r>
      <w:bookmarkEnd w:id="101"/>
    </w:p>
    <w:p w:rsidR="00D85203" w:rsidRDefault="00493A69">
      <w:pPr>
        <w:rPr>
          <w:lang w:val="en-GB"/>
        </w:rPr>
      </w:pPr>
      <w:r>
        <w:rPr>
          <w:lang w:val="en-GB"/>
        </w:rPr>
        <w:t xml:space="preserve">At the time of writing, Sweden is the largest donor to the CTF, followed by the EC and the US. The contribution of Malaysia should be noted, as the first emerging </w:t>
      </w:r>
      <w:r w:rsidR="00F62EEA">
        <w:rPr>
          <w:lang w:val="en-GB"/>
        </w:rPr>
        <w:t xml:space="preserve">country </w:t>
      </w:r>
      <w:r>
        <w:rPr>
          <w:lang w:val="en-GB"/>
        </w:rPr>
        <w:t xml:space="preserve">donor. When Slorach (2007) wrote his report, the financial outlook for 2008 was bleak. </w:t>
      </w:r>
      <w:r w:rsidR="003C1B51">
        <w:rPr>
          <w:lang w:val="en-GB"/>
        </w:rPr>
        <w:t xml:space="preserve">The </w:t>
      </w:r>
      <w:r>
        <w:rPr>
          <w:lang w:val="en-GB"/>
        </w:rPr>
        <w:t xml:space="preserve">CTF enters 2010 with a much more comfortable situation. After </w:t>
      </w:r>
      <w:r w:rsidR="003C1B51">
        <w:rPr>
          <w:lang w:val="en-GB"/>
        </w:rPr>
        <w:t xml:space="preserve">closing </w:t>
      </w:r>
      <w:r>
        <w:rPr>
          <w:lang w:val="en-GB"/>
        </w:rPr>
        <w:t>two major funding agreements (Sweden and the Netherlands) in December 2009, the main worry of the Secretariat is currently its absorptive capacity. For the first time there is no funding gap in the beginning of the year.</w:t>
      </w:r>
    </w:p>
    <w:p w:rsidR="00D85203" w:rsidRDefault="00493A69">
      <w:pPr>
        <w:rPr>
          <w:lang w:val="en-GB"/>
        </w:rPr>
      </w:pPr>
      <w:r>
        <w:rPr>
          <w:lang w:val="en-GB"/>
        </w:rPr>
        <w:t>One interesting aspect of the CTF is that it gets funding both from develop</w:t>
      </w:r>
      <w:r w:rsidR="003C1B51">
        <w:rPr>
          <w:lang w:val="en-GB"/>
        </w:rPr>
        <w:t>ment</w:t>
      </w:r>
      <w:r>
        <w:rPr>
          <w:lang w:val="en-GB"/>
        </w:rPr>
        <w:t xml:space="preserve"> agencies (such as Swedish Sida) and technical ministries/agencies (such as Japan) depending on the donating country. </w:t>
      </w:r>
      <w:r w:rsidR="00F72633">
        <w:rPr>
          <w:lang w:val="en-GB"/>
        </w:rPr>
        <w:t xml:space="preserve">A donor like Sida provides its contributions to the CTF under an umbrella agreement with WHO, other follow a more decentralised approach. </w:t>
      </w:r>
      <w:r>
        <w:rPr>
          <w:lang w:val="en-GB"/>
        </w:rPr>
        <w:t xml:space="preserve">In addition, also depending on the </w:t>
      </w:r>
      <w:r w:rsidR="00F72633">
        <w:rPr>
          <w:lang w:val="en-GB"/>
        </w:rPr>
        <w:t xml:space="preserve">donor </w:t>
      </w:r>
      <w:r>
        <w:rPr>
          <w:lang w:val="en-GB"/>
        </w:rPr>
        <w:t>country, there is a dynamic between the Codex and the development sides. In some countries the development community is rather sceptical (“</w:t>
      </w:r>
      <w:r w:rsidR="00332D84" w:rsidRPr="00332D84">
        <w:rPr>
          <w:i/>
          <w:lang w:val="en-GB"/>
        </w:rPr>
        <w:t>There is a general scepticism vis-à-vis Codex and they believe it is about food trade without link to development</w:t>
      </w:r>
      <w:r>
        <w:rPr>
          <w:lang w:val="en-GB"/>
        </w:rPr>
        <w:t xml:space="preserve">” as one Codex responsible described it), while in others it </w:t>
      </w:r>
      <w:r w:rsidR="003C1B51">
        <w:rPr>
          <w:lang w:val="en-GB"/>
        </w:rPr>
        <w:t>has limited involvement</w:t>
      </w:r>
      <w:r>
        <w:rPr>
          <w:lang w:val="en-GB"/>
        </w:rPr>
        <w:t xml:space="preserve">. </w:t>
      </w:r>
    </w:p>
    <w:p w:rsidR="00D85203" w:rsidRDefault="00332D84">
      <w:pPr>
        <w:pStyle w:val="Caption"/>
        <w:keepNext/>
        <w:rPr>
          <w:lang w:val="en-US"/>
        </w:rPr>
      </w:pPr>
      <w:bookmarkStart w:id="102" w:name="_Toc260036749"/>
      <w:r w:rsidRPr="00332D84">
        <w:rPr>
          <w:lang w:val="en-US"/>
        </w:rPr>
        <w:t xml:space="preserve">Table </w:t>
      </w:r>
      <w:r w:rsidR="00AE227F">
        <w:fldChar w:fldCharType="begin"/>
      </w:r>
      <w:r w:rsidRPr="00332D84">
        <w:rPr>
          <w:lang w:val="en-US"/>
        </w:rPr>
        <w:instrText xml:space="preserve"> SEQ Table \* ARABIC </w:instrText>
      </w:r>
      <w:r w:rsidR="00AE227F">
        <w:fldChar w:fldCharType="separate"/>
      </w:r>
      <w:r w:rsidR="004F08A8">
        <w:rPr>
          <w:noProof/>
          <w:lang w:val="en-US"/>
        </w:rPr>
        <w:t>14</w:t>
      </w:r>
      <w:r w:rsidR="00AE227F">
        <w:fldChar w:fldCharType="end"/>
      </w:r>
      <w:r w:rsidRPr="00332D84">
        <w:rPr>
          <w:lang w:val="en-US"/>
        </w:rPr>
        <w:t xml:space="preserve"> Donor contributions to the CTF 2003-2010</w:t>
      </w:r>
      <w:bookmarkEnd w:id="102"/>
    </w:p>
    <w:tbl>
      <w:tblPr>
        <w:tblStyle w:val="MediumGrid3-Accent1"/>
        <w:tblW w:w="9180" w:type="dxa"/>
        <w:tblLook w:val="04A0" w:firstRow="1" w:lastRow="0" w:firstColumn="1" w:lastColumn="0" w:noHBand="0" w:noVBand="1"/>
      </w:tblPr>
      <w:tblGrid>
        <w:gridCol w:w="1530"/>
        <w:gridCol w:w="1530"/>
        <w:gridCol w:w="1530"/>
        <w:gridCol w:w="1530"/>
        <w:gridCol w:w="1530"/>
        <w:gridCol w:w="1530"/>
      </w:tblGrid>
      <w:tr w:rsidR="00AE24BC" w:rsidRPr="00AE24BC">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30" w:type="dxa"/>
            <w:noWrap/>
          </w:tcPr>
          <w:p w:rsidR="00AE24BC" w:rsidRPr="00AE24BC" w:rsidRDefault="00AE24BC" w:rsidP="00493A69">
            <w:pPr>
              <w:spacing w:after="0"/>
              <w:rPr>
                <w:rFonts w:asciiTheme="minorHAnsi" w:hAnsiTheme="minorHAnsi" w:cs="Arial"/>
                <w:szCs w:val="20"/>
              </w:rPr>
            </w:pPr>
            <w:r w:rsidRPr="00AE24BC">
              <w:rPr>
                <w:rFonts w:asciiTheme="minorHAnsi" w:hAnsiTheme="minorHAnsi" w:cs="Arial"/>
                <w:szCs w:val="20"/>
              </w:rPr>
              <w:t>Donor</w:t>
            </w:r>
          </w:p>
        </w:tc>
        <w:tc>
          <w:tcPr>
            <w:tcW w:w="1530" w:type="dxa"/>
            <w:noWrap/>
          </w:tcPr>
          <w:p w:rsidR="00AE24BC" w:rsidRPr="00AE24BC" w:rsidRDefault="00AE24BC" w:rsidP="00493A69">
            <w:pPr>
              <w:spacing w:after="0"/>
              <w:jc w:val="right"/>
              <w:cnfStyle w:val="100000000000" w:firstRow="1" w:lastRow="0" w:firstColumn="0" w:lastColumn="0" w:oddVBand="0" w:evenVBand="0" w:oddHBand="0" w:evenHBand="0" w:firstRowFirstColumn="0" w:firstRowLastColumn="0" w:lastRowFirstColumn="0" w:lastRowLastColumn="0"/>
              <w:rPr>
                <w:rFonts w:asciiTheme="minorHAnsi" w:hAnsiTheme="minorHAnsi" w:cs="Arial"/>
                <w:szCs w:val="20"/>
              </w:rPr>
            </w:pPr>
            <w:r w:rsidRPr="00AE24BC">
              <w:rPr>
                <w:rFonts w:asciiTheme="minorHAnsi" w:hAnsiTheme="minorHAnsi" w:cs="Arial"/>
                <w:szCs w:val="20"/>
              </w:rPr>
              <w:t>USD</w:t>
            </w:r>
          </w:p>
        </w:tc>
        <w:tc>
          <w:tcPr>
            <w:tcW w:w="1530" w:type="dxa"/>
          </w:tcPr>
          <w:p w:rsidR="00AE24BC" w:rsidRPr="00AE24BC" w:rsidRDefault="00AE24BC" w:rsidP="00231C30">
            <w:pPr>
              <w:spacing w:after="0"/>
              <w:cnfStyle w:val="100000000000" w:firstRow="1" w:lastRow="0" w:firstColumn="0" w:lastColumn="0" w:oddVBand="0" w:evenVBand="0" w:oddHBand="0" w:evenHBand="0" w:firstRowFirstColumn="0" w:firstRowLastColumn="0" w:lastRowFirstColumn="0" w:lastRowLastColumn="0"/>
              <w:rPr>
                <w:rFonts w:asciiTheme="minorHAnsi" w:hAnsiTheme="minorHAnsi" w:cs="Arial"/>
                <w:szCs w:val="20"/>
              </w:rPr>
            </w:pPr>
            <w:r w:rsidRPr="00AE24BC">
              <w:rPr>
                <w:rFonts w:asciiTheme="minorHAnsi" w:hAnsiTheme="minorHAnsi" w:cs="Arial"/>
                <w:szCs w:val="20"/>
              </w:rPr>
              <w:t>Donor</w:t>
            </w:r>
          </w:p>
        </w:tc>
        <w:tc>
          <w:tcPr>
            <w:tcW w:w="1530" w:type="dxa"/>
          </w:tcPr>
          <w:p w:rsidR="00AE24BC" w:rsidRPr="00AE24BC" w:rsidRDefault="00AE24BC" w:rsidP="00231C30">
            <w:pPr>
              <w:spacing w:after="0"/>
              <w:jc w:val="right"/>
              <w:cnfStyle w:val="100000000000" w:firstRow="1" w:lastRow="0" w:firstColumn="0" w:lastColumn="0" w:oddVBand="0" w:evenVBand="0" w:oddHBand="0" w:evenHBand="0" w:firstRowFirstColumn="0" w:firstRowLastColumn="0" w:lastRowFirstColumn="0" w:lastRowLastColumn="0"/>
              <w:rPr>
                <w:rFonts w:asciiTheme="minorHAnsi" w:hAnsiTheme="minorHAnsi" w:cs="Arial"/>
                <w:szCs w:val="20"/>
              </w:rPr>
            </w:pPr>
            <w:r w:rsidRPr="00AE24BC">
              <w:rPr>
                <w:rFonts w:asciiTheme="minorHAnsi" w:hAnsiTheme="minorHAnsi" w:cs="Arial"/>
                <w:szCs w:val="20"/>
              </w:rPr>
              <w:t>USD</w:t>
            </w:r>
          </w:p>
        </w:tc>
        <w:tc>
          <w:tcPr>
            <w:tcW w:w="1530" w:type="dxa"/>
          </w:tcPr>
          <w:p w:rsidR="00AE24BC" w:rsidRPr="00AE24BC" w:rsidRDefault="00AE24BC" w:rsidP="00231C30">
            <w:pPr>
              <w:spacing w:after="0"/>
              <w:cnfStyle w:val="100000000000" w:firstRow="1" w:lastRow="0" w:firstColumn="0" w:lastColumn="0" w:oddVBand="0" w:evenVBand="0" w:oddHBand="0" w:evenHBand="0" w:firstRowFirstColumn="0" w:firstRowLastColumn="0" w:lastRowFirstColumn="0" w:lastRowLastColumn="0"/>
              <w:rPr>
                <w:rFonts w:asciiTheme="minorHAnsi" w:hAnsiTheme="minorHAnsi" w:cs="Arial"/>
                <w:szCs w:val="20"/>
              </w:rPr>
            </w:pPr>
            <w:r w:rsidRPr="00AE24BC">
              <w:rPr>
                <w:rFonts w:asciiTheme="minorHAnsi" w:hAnsiTheme="minorHAnsi" w:cs="Arial"/>
                <w:szCs w:val="20"/>
              </w:rPr>
              <w:t>Donor</w:t>
            </w:r>
          </w:p>
        </w:tc>
        <w:tc>
          <w:tcPr>
            <w:tcW w:w="1530" w:type="dxa"/>
          </w:tcPr>
          <w:p w:rsidR="00AE24BC" w:rsidRPr="00AE24BC" w:rsidRDefault="00AE24BC" w:rsidP="00231C30">
            <w:pPr>
              <w:spacing w:after="0"/>
              <w:jc w:val="right"/>
              <w:cnfStyle w:val="100000000000" w:firstRow="1" w:lastRow="0" w:firstColumn="0" w:lastColumn="0" w:oddVBand="0" w:evenVBand="0" w:oddHBand="0" w:evenHBand="0" w:firstRowFirstColumn="0" w:firstRowLastColumn="0" w:lastRowFirstColumn="0" w:lastRowLastColumn="0"/>
              <w:rPr>
                <w:rFonts w:asciiTheme="minorHAnsi" w:hAnsiTheme="minorHAnsi" w:cs="Arial"/>
                <w:szCs w:val="20"/>
              </w:rPr>
            </w:pPr>
            <w:r w:rsidRPr="00AE24BC">
              <w:rPr>
                <w:rFonts w:asciiTheme="minorHAnsi" w:hAnsiTheme="minorHAnsi" w:cs="Arial"/>
                <w:szCs w:val="20"/>
              </w:rPr>
              <w:t>USD</w:t>
            </w:r>
          </w:p>
        </w:tc>
      </w:tr>
      <w:tr w:rsidR="00AE24BC" w:rsidRPr="00AE24BC">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30" w:type="dxa"/>
            <w:noWrap/>
          </w:tcPr>
          <w:p w:rsidR="00AE24BC" w:rsidRPr="00AE24BC" w:rsidRDefault="00AE24BC" w:rsidP="00493A69">
            <w:pPr>
              <w:spacing w:after="0"/>
              <w:rPr>
                <w:rFonts w:asciiTheme="minorHAnsi" w:hAnsiTheme="minorHAnsi" w:cs="Arial"/>
                <w:szCs w:val="20"/>
              </w:rPr>
            </w:pPr>
            <w:r w:rsidRPr="00AE24BC">
              <w:rPr>
                <w:rFonts w:asciiTheme="minorHAnsi" w:hAnsiTheme="minorHAnsi" w:cs="Arial"/>
                <w:szCs w:val="20"/>
              </w:rPr>
              <w:t>Sweden</w:t>
            </w:r>
          </w:p>
        </w:tc>
        <w:tc>
          <w:tcPr>
            <w:tcW w:w="1530" w:type="dxa"/>
            <w:noWrap/>
          </w:tcPr>
          <w:p w:rsidR="00AE24BC" w:rsidRPr="00AE24BC" w:rsidRDefault="00F62EEA" w:rsidP="00493A69">
            <w:pPr>
              <w:spacing w:after="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20"/>
              </w:rPr>
            </w:pPr>
            <w:r w:rsidRPr="00C63664">
              <w:rPr>
                <w:rFonts w:ascii="Cambria" w:hAnsi="Cambria" w:cs="Arial"/>
                <w:szCs w:val="20"/>
              </w:rPr>
              <w:t>2,6</w:t>
            </w:r>
            <w:r>
              <w:rPr>
                <w:rFonts w:ascii="Cambria" w:hAnsi="Cambria" w:cs="Arial"/>
                <w:szCs w:val="20"/>
              </w:rPr>
              <w:t>99</w:t>
            </w:r>
            <w:r w:rsidRPr="00C63664">
              <w:rPr>
                <w:rFonts w:ascii="Cambria" w:hAnsi="Cambria" w:cs="Arial"/>
                <w:szCs w:val="20"/>
              </w:rPr>
              <w:t>,</w:t>
            </w:r>
            <w:r>
              <w:rPr>
                <w:rFonts w:ascii="Cambria" w:hAnsi="Cambria" w:cs="Arial"/>
                <w:szCs w:val="20"/>
              </w:rPr>
              <w:t>142</w:t>
            </w:r>
          </w:p>
        </w:tc>
        <w:tc>
          <w:tcPr>
            <w:tcW w:w="1530" w:type="dxa"/>
          </w:tcPr>
          <w:p w:rsidR="00AE24BC" w:rsidRPr="00AE24BC" w:rsidRDefault="00AE24BC" w:rsidP="001178F3">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20"/>
              </w:rPr>
            </w:pPr>
            <w:r w:rsidRPr="00AE24BC">
              <w:rPr>
                <w:rFonts w:asciiTheme="minorHAnsi" w:hAnsiTheme="minorHAnsi" w:cs="Arial"/>
                <w:szCs w:val="20"/>
              </w:rPr>
              <w:t>Norway</w:t>
            </w:r>
          </w:p>
        </w:tc>
        <w:tc>
          <w:tcPr>
            <w:tcW w:w="1530" w:type="dxa"/>
          </w:tcPr>
          <w:p w:rsidR="00AE24BC" w:rsidRPr="00AE24BC" w:rsidRDefault="00AE24BC" w:rsidP="001178F3">
            <w:pPr>
              <w:spacing w:after="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20"/>
              </w:rPr>
            </w:pPr>
            <w:r w:rsidRPr="00AE24BC">
              <w:rPr>
                <w:rFonts w:asciiTheme="minorHAnsi" w:hAnsiTheme="minorHAnsi" w:cs="Arial"/>
                <w:szCs w:val="20"/>
              </w:rPr>
              <w:t>500,125</w:t>
            </w:r>
          </w:p>
        </w:tc>
        <w:tc>
          <w:tcPr>
            <w:tcW w:w="1530" w:type="dxa"/>
          </w:tcPr>
          <w:p w:rsidR="00AE24BC" w:rsidRPr="00AE24BC" w:rsidRDefault="00AE24BC" w:rsidP="001178F3">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20"/>
              </w:rPr>
            </w:pPr>
            <w:r w:rsidRPr="00AE24BC">
              <w:rPr>
                <w:rFonts w:asciiTheme="minorHAnsi" w:hAnsiTheme="minorHAnsi" w:cs="Arial"/>
                <w:szCs w:val="20"/>
              </w:rPr>
              <w:t xml:space="preserve">New </w:t>
            </w:r>
            <w:r>
              <w:rPr>
                <w:rFonts w:asciiTheme="minorHAnsi" w:hAnsiTheme="minorHAnsi" w:cs="Arial"/>
                <w:szCs w:val="20"/>
              </w:rPr>
              <w:t>Zea</w:t>
            </w:r>
            <w:r w:rsidRPr="00AE24BC">
              <w:rPr>
                <w:rFonts w:asciiTheme="minorHAnsi" w:hAnsiTheme="minorHAnsi" w:cs="Arial"/>
                <w:szCs w:val="20"/>
              </w:rPr>
              <w:t>land</w:t>
            </w:r>
          </w:p>
        </w:tc>
        <w:tc>
          <w:tcPr>
            <w:tcW w:w="1530" w:type="dxa"/>
          </w:tcPr>
          <w:p w:rsidR="00AE24BC" w:rsidRPr="00AE24BC" w:rsidRDefault="00AE24BC" w:rsidP="001178F3">
            <w:pPr>
              <w:spacing w:after="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20"/>
              </w:rPr>
            </w:pPr>
            <w:r w:rsidRPr="00AE24BC">
              <w:rPr>
                <w:rFonts w:asciiTheme="minorHAnsi" w:hAnsiTheme="minorHAnsi" w:cs="Arial"/>
                <w:szCs w:val="20"/>
              </w:rPr>
              <w:t>136,063</w:t>
            </w:r>
          </w:p>
        </w:tc>
      </w:tr>
      <w:tr w:rsidR="00AE24BC" w:rsidRPr="00AE24BC">
        <w:trPr>
          <w:cnfStyle w:val="000000010000" w:firstRow="0" w:lastRow="0" w:firstColumn="0" w:lastColumn="0" w:oddVBand="0" w:evenVBand="0" w:oddHBand="0" w:evenHBand="1"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30" w:type="dxa"/>
            <w:noWrap/>
          </w:tcPr>
          <w:p w:rsidR="00AE24BC" w:rsidRPr="00AE24BC" w:rsidRDefault="00AE24BC" w:rsidP="00493A69">
            <w:pPr>
              <w:spacing w:after="0"/>
              <w:rPr>
                <w:rFonts w:asciiTheme="minorHAnsi" w:hAnsiTheme="minorHAnsi" w:cs="Arial"/>
                <w:szCs w:val="20"/>
              </w:rPr>
            </w:pPr>
            <w:r w:rsidRPr="00AE24BC">
              <w:rPr>
                <w:rFonts w:asciiTheme="minorHAnsi" w:hAnsiTheme="minorHAnsi" w:cs="Arial"/>
                <w:szCs w:val="20"/>
              </w:rPr>
              <w:t>EC</w:t>
            </w:r>
          </w:p>
        </w:tc>
        <w:tc>
          <w:tcPr>
            <w:tcW w:w="1530" w:type="dxa"/>
            <w:noWrap/>
          </w:tcPr>
          <w:p w:rsidR="00AE24BC" w:rsidRPr="00AE24BC" w:rsidRDefault="00F62EEA" w:rsidP="00493A69">
            <w:pPr>
              <w:spacing w:after="0"/>
              <w:jc w:val="right"/>
              <w:cnfStyle w:val="000000010000" w:firstRow="0" w:lastRow="0" w:firstColumn="0" w:lastColumn="0" w:oddVBand="0" w:evenVBand="0" w:oddHBand="0" w:evenHBand="1" w:firstRowFirstColumn="0" w:firstRowLastColumn="0" w:lastRowFirstColumn="0" w:lastRowLastColumn="0"/>
              <w:rPr>
                <w:rFonts w:asciiTheme="minorHAnsi" w:hAnsiTheme="minorHAnsi" w:cs="Arial"/>
                <w:szCs w:val="20"/>
              </w:rPr>
            </w:pPr>
            <w:r w:rsidRPr="00C63664">
              <w:rPr>
                <w:rFonts w:ascii="Cambria" w:hAnsi="Cambria" w:cs="Arial"/>
                <w:szCs w:val="20"/>
              </w:rPr>
              <w:t>2,</w:t>
            </w:r>
            <w:r>
              <w:rPr>
                <w:rFonts w:ascii="Cambria" w:hAnsi="Cambria" w:cs="Arial"/>
                <w:szCs w:val="20"/>
              </w:rPr>
              <w:t>156</w:t>
            </w:r>
            <w:r w:rsidRPr="00C63664">
              <w:rPr>
                <w:rFonts w:ascii="Cambria" w:hAnsi="Cambria" w:cs="Arial"/>
                <w:szCs w:val="20"/>
              </w:rPr>
              <w:t>,</w:t>
            </w:r>
            <w:r>
              <w:rPr>
                <w:rFonts w:ascii="Cambria" w:hAnsi="Cambria" w:cs="Arial"/>
                <w:szCs w:val="20"/>
              </w:rPr>
              <w:t>606</w:t>
            </w:r>
          </w:p>
        </w:tc>
        <w:tc>
          <w:tcPr>
            <w:tcW w:w="1530" w:type="dxa"/>
          </w:tcPr>
          <w:p w:rsidR="00AE24BC" w:rsidRPr="00AE24BC" w:rsidRDefault="00AE24BC" w:rsidP="001178F3">
            <w:pPr>
              <w:spacing w:after="0"/>
              <w:cnfStyle w:val="000000010000" w:firstRow="0" w:lastRow="0" w:firstColumn="0" w:lastColumn="0" w:oddVBand="0" w:evenVBand="0" w:oddHBand="0" w:evenHBand="1" w:firstRowFirstColumn="0" w:firstRowLastColumn="0" w:lastRowFirstColumn="0" w:lastRowLastColumn="0"/>
              <w:rPr>
                <w:rFonts w:asciiTheme="minorHAnsi" w:hAnsiTheme="minorHAnsi" w:cs="Arial"/>
                <w:szCs w:val="20"/>
              </w:rPr>
            </w:pPr>
            <w:r w:rsidRPr="00AE24BC">
              <w:rPr>
                <w:rFonts w:asciiTheme="minorHAnsi" w:hAnsiTheme="minorHAnsi" w:cs="Arial"/>
                <w:szCs w:val="20"/>
              </w:rPr>
              <w:t xml:space="preserve">Japan </w:t>
            </w:r>
          </w:p>
        </w:tc>
        <w:tc>
          <w:tcPr>
            <w:tcW w:w="1530" w:type="dxa"/>
          </w:tcPr>
          <w:p w:rsidR="00AE24BC" w:rsidRPr="00AE24BC" w:rsidRDefault="00F62EEA" w:rsidP="001178F3">
            <w:pPr>
              <w:spacing w:after="0"/>
              <w:jc w:val="right"/>
              <w:cnfStyle w:val="000000010000" w:firstRow="0" w:lastRow="0" w:firstColumn="0" w:lastColumn="0" w:oddVBand="0" w:evenVBand="0" w:oddHBand="0" w:evenHBand="1" w:firstRowFirstColumn="0" w:firstRowLastColumn="0" w:lastRowFirstColumn="0" w:lastRowLastColumn="0"/>
              <w:rPr>
                <w:rFonts w:asciiTheme="minorHAnsi" w:hAnsiTheme="minorHAnsi" w:cs="Arial"/>
                <w:szCs w:val="20"/>
              </w:rPr>
            </w:pPr>
            <w:r>
              <w:rPr>
                <w:rFonts w:asciiTheme="minorHAnsi" w:hAnsiTheme="minorHAnsi" w:cs="Arial"/>
                <w:szCs w:val="20"/>
              </w:rPr>
              <w:t>550</w:t>
            </w:r>
            <w:r w:rsidR="00AE24BC" w:rsidRPr="00AE24BC">
              <w:rPr>
                <w:rFonts w:asciiTheme="minorHAnsi" w:hAnsiTheme="minorHAnsi" w:cs="Arial"/>
                <w:szCs w:val="20"/>
              </w:rPr>
              <w:t>,000</w:t>
            </w:r>
          </w:p>
        </w:tc>
        <w:tc>
          <w:tcPr>
            <w:tcW w:w="1530" w:type="dxa"/>
          </w:tcPr>
          <w:p w:rsidR="00AE24BC" w:rsidRPr="00AE24BC" w:rsidRDefault="00AE24BC" w:rsidP="001178F3">
            <w:pPr>
              <w:spacing w:after="0"/>
              <w:cnfStyle w:val="000000010000" w:firstRow="0" w:lastRow="0" w:firstColumn="0" w:lastColumn="0" w:oddVBand="0" w:evenVBand="0" w:oddHBand="0" w:evenHBand="1" w:firstRowFirstColumn="0" w:firstRowLastColumn="0" w:lastRowFirstColumn="0" w:lastRowLastColumn="0"/>
              <w:rPr>
                <w:rFonts w:asciiTheme="minorHAnsi" w:hAnsiTheme="minorHAnsi" w:cs="Arial"/>
                <w:szCs w:val="20"/>
              </w:rPr>
            </w:pPr>
            <w:r w:rsidRPr="00AE24BC">
              <w:rPr>
                <w:rFonts w:asciiTheme="minorHAnsi" w:hAnsiTheme="minorHAnsi" w:cs="Arial"/>
                <w:szCs w:val="20"/>
              </w:rPr>
              <w:t>France</w:t>
            </w:r>
          </w:p>
        </w:tc>
        <w:tc>
          <w:tcPr>
            <w:tcW w:w="1530" w:type="dxa"/>
          </w:tcPr>
          <w:p w:rsidR="00AE24BC" w:rsidRPr="00AE24BC" w:rsidRDefault="00AE24BC" w:rsidP="001178F3">
            <w:pPr>
              <w:spacing w:after="0"/>
              <w:jc w:val="right"/>
              <w:cnfStyle w:val="000000010000" w:firstRow="0" w:lastRow="0" w:firstColumn="0" w:lastColumn="0" w:oddVBand="0" w:evenVBand="0" w:oddHBand="0" w:evenHBand="1" w:firstRowFirstColumn="0" w:firstRowLastColumn="0" w:lastRowFirstColumn="0" w:lastRowLastColumn="0"/>
              <w:rPr>
                <w:rFonts w:asciiTheme="minorHAnsi" w:hAnsiTheme="minorHAnsi" w:cs="Arial"/>
                <w:szCs w:val="20"/>
              </w:rPr>
            </w:pPr>
            <w:r w:rsidRPr="00AE24BC">
              <w:rPr>
                <w:rFonts w:asciiTheme="minorHAnsi" w:hAnsiTheme="minorHAnsi" w:cs="Arial"/>
                <w:szCs w:val="20"/>
              </w:rPr>
              <w:t>100,000</w:t>
            </w:r>
          </w:p>
        </w:tc>
      </w:tr>
      <w:tr w:rsidR="00AE24BC" w:rsidRPr="00AE24BC">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30" w:type="dxa"/>
            <w:noWrap/>
          </w:tcPr>
          <w:p w:rsidR="00AE24BC" w:rsidRPr="00AE24BC" w:rsidRDefault="00AE24BC" w:rsidP="00493A69">
            <w:pPr>
              <w:spacing w:after="0"/>
              <w:rPr>
                <w:rFonts w:asciiTheme="minorHAnsi" w:hAnsiTheme="minorHAnsi" w:cs="Arial"/>
                <w:szCs w:val="20"/>
              </w:rPr>
            </w:pPr>
            <w:r w:rsidRPr="00AE24BC">
              <w:rPr>
                <w:rFonts w:asciiTheme="minorHAnsi" w:hAnsiTheme="minorHAnsi" w:cs="Arial"/>
                <w:szCs w:val="20"/>
              </w:rPr>
              <w:t>USA</w:t>
            </w:r>
          </w:p>
        </w:tc>
        <w:tc>
          <w:tcPr>
            <w:tcW w:w="1530" w:type="dxa"/>
            <w:noWrap/>
          </w:tcPr>
          <w:p w:rsidR="00AE24BC" w:rsidRPr="00AE24BC" w:rsidRDefault="00AE24BC" w:rsidP="00493A69">
            <w:pPr>
              <w:spacing w:after="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20"/>
              </w:rPr>
            </w:pPr>
            <w:r w:rsidRPr="00AE24BC">
              <w:rPr>
                <w:rFonts w:asciiTheme="minorHAnsi" w:hAnsiTheme="minorHAnsi" w:cs="Arial"/>
                <w:szCs w:val="20"/>
              </w:rPr>
              <w:t>1,762,406</w:t>
            </w:r>
          </w:p>
        </w:tc>
        <w:tc>
          <w:tcPr>
            <w:tcW w:w="1530" w:type="dxa"/>
          </w:tcPr>
          <w:p w:rsidR="00AE24BC" w:rsidRPr="00AE24BC" w:rsidRDefault="00AE24BC" w:rsidP="001178F3">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20"/>
              </w:rPr>
            </w:pPr>
            <w:r w:rsidRPr="00AE24BC">
              <w:rPr>
                <w:rFonts w:asciiTheme="minorHAnsi" w:hAnsiTheme="minorHAnsi" w:cs="Arial"/>
                <w:szCs w:val="20"/>
              </w:rPr>
              <w:t>Ireland</w:t>
            </w:r>
          </w:p>
        </w:tc>
        <w:tc>
          <w:tcPr>
            <w:tcW w:w="1530" w:type="dxa"/>
          </w:tcPr>
          <w:p w:rsidR="00AE24BC" w:rsidRPr="00AE24BC" w:rsidRDefault="00F62EEA" w:rsidP="001178F3">
            <w:pPr>
              <w:spacing w:after="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20"/>
              </w:rPr>
            </w:pPr>
            <w:r>
              <w:rPr>
                <w:rFonts w:ascii="Cambria" w:hAnsi="Cambria" w:cs="Arial"/>
                <w:szCs w:val="20"/>
              </w:rPr>
              <w:t>410</w:t>
            </w:r>
            <w:r w:rsidRPr="00C63664">
              <w:rPr>
                <w:rFonts w:ascii="Cambria" w:hAnsi="Cambria" w:cs="Arial"/>
                <w:szCs w:val="20"/>
              </w:rPr>
              <w:t>,</w:t>
            </w:r>
            <w:r>
              <w:rPr>
                <w:rFonts w:ascii="Cambria" w:hAnsi="Cambria" w:cs="Arial"/>
                <w:szCs w:val="20"/>
              </w:rPr>
              <w:t>267</w:t>
            </w:r>
          </w:p>
        </w:tc>
        <w:tc>
          <w:tcPr>
            <w:tcW w:w="1530" w:type="dxa"/>
          </w:tcPr>
          <w:p w:rsidR="00AE24BC" w:rsidRPr="00AE24BC" w:rsidRDefault="00AE24BC" w:rsidP="001178F3">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20"/>
              </w:rPr>
            </w:pPr>
            <w:r w:rsidRPr="00AE24BC">
              <w:rPr>
                <w:rFonts w:asciiTheme="minorHAnsi" w:hAnsiTheme="minorHAnsi" w:cs="Arial"/>
                <w:szCs w:val="20"/>
              </w:rPr>
              <w:t>Australia</w:t>
            </w:r>
          </w:p>
        </w:tc>
        <w:tc>
          <w:tcPr>
            <w:tcW w:w="1530" w:type="dxa"/>
          </w:tcPr>
          <w:p w:rsidR="00AE24BC" w:rsidRPr="00AE24BC" w:rsidRDefault="00AE24BC" w:rsidP="001178F3">
            <w:pPr>
              <w:spacing w:after="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20"/>
              </w:rPr>
            </w:pPr>
            <w:r w:rsidRPr="00AE24BC">
              <w:rPr>
                <w:rFonts w:asciiTheme="minorHAnsi" w:hAnsiTheme="minorHAnsi" w:cs="Arial"/>
                <w:szCs w:val="20"/>
              </w:rPr>
              <w:t>75,946</w:t>
            </w:r>
          </w:p>
        </w:tc>
      </w:tr>
      <w:tr w:rsidR="00AE24BC" w:rsidRPr="00AE24BC">
        <w:trPr>
          <w:cnfStyle w:val="000000010000" w:firstRow="0" w:lastRow="0" w:firstColumn="0" w:lastColumn="0" w:oddVBand="0" w:evenVBand="0" w:oddHBand="0" w:evenHBand="1"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30" w:type="dxa"/>
            <w:noWrap/>
          </w:tcPr>
          <w:p w:rsidR="00AE24BC" w:rsidRPr="00AE24BC" w:rsidRDefault="00AE24BC" w:rsidP="001178F3">
            <w:pPr>
              <w:spacing w:after="0"/>
              <w:rPr>
                <w:rFonts w:asciiTheme="minorHAnsi" w:hAnsiTheme="minorHAnsi" w:cs="Arial"/>
                <w:szCs w:val="20"/>
              </w:rPr>
            </w:pPr>
            <w:r w:rsidRPr="00AE24BC">
              <w:rPr>
                <w:rFonts w:asciiTheme="minorHAnsi" w:hAnsiTheme="minorHAnsi" w:cs="Arial"/>
                <w:szCs w:val="20"/>
              </w:rPr>
              <w:t>Netherlands</w:t>
            </w:r>
          </w:p>
        </w:tc>
        <w:tc>
          <w:tcPr>
            <w:tcW w:w="1530" w:type="dxa"/>
            <w:noWrap/>
          </w:tcPr>
          <w:p w:rsidR="00AE24BC" w:rsidRPr="00AE24BC" w:rsidRDefault="00AE24BC" w:rsidP="001178F3">
            <w:pPr>
              <w:spacing w:after="0"/>
              <w:jc w:val="right"/>
              <w:cnfStyle w:val="000000010000" w:firstRow="0" w:lastRow="0" w:firstColumn="0" w:lastColumn="0" w:oddVBand="0" w:evenVBand="0" w:oddHBand="0" w:evenHBand="1" w:firstRowFirstColumn="0" w:firstRowLastColumn="0" w:lastRowFirstColumn="0" w:lastRowLastColumn="0"/>
              <w:rPr>
                <w:rFonts w:asciiTheme="minorHAnsi" w:hAnsiTheme="minorHAnsi" w:cs="Arial"/>
                <w:szCs w:val="20"/>
              </w:rPr>
            </w:pPr>
            <w:r w:rsidRPr="00AE24BC">
              <w:rPr>
                <w:rFonts w:asciiTheme="minorHAnsi" w:hAnsiTheme="minorHAnsi" w:cs="Arial"/>
                <w:szCs w:val="20"/>
              </w:rPr>
              <w:t>939,701</w:t>
            </w:r>
          </w:p>
        </w:tc>
        <w:tc>
          <w:tcPr>
            <w:tcW w:w="1530" w:type="dxa"/>
          </w:tcPr>
          <w:p w:rsidR="00AE24BC" w:rsidRPr="00AE24BC" w:rsidRDefault="00AE24BC" w:rsidP="001178F3">
            <w:pPr>
              <w:spacing w:after="0"/>
              <w:cnfStyle w:val="000000010000" w:firstRow="0" w:lastRow="0" w:firstColumn="0" w:lastColumn="0" w:oddVBand="0" w:evenVBand="0" w:oddHBand="0" w:evenHBand="1" w:firstRowFirstColumn="0" w:firstRowLastColumn="0" w:lastRowFirstColumn="0" w:lastRowLastColumn="0"/>
              <w:rPr>
                <w:rFonts w:asciiTheme="minorHAnsi" w:hAnsiTheme="minorHAnsi" w:cs="Arial"/>
                <w:szCs w:val="20"/>
              </w:rPr>
            </w:pPr>
            <w:r w:rsidRPr="00AE24BC">
              <w:rPr>
                <w:rFonts w:asciiTheme="minorHAnsi" w:hAnsiTheme="minorHAnsi" w:cs="Arial"/>
                <w:szCs w:val="20"/>
              </w:rPr>
              <w:t>Germany</w:t>
            </w:r>
          </w:p>
        </w:tc>
        <w:tc>
          <w:tcPr>
            <w:tcW w:w="1530" w:type="dxa"/>
          </w:tcPr>
          <w:p w:rsidR="00AE24BC" w:rsidRPr="00AE24BC" w:rsidRDefault="00AE24BC" w:rsidP="001178F3">
            <w:pPr>
              <w:spacing w:after="0"/>
              <w:jc w:val="right"/>
              <w:cnfStyle w:val="000000010000" w:firstRow="0" w:lastRow="0" w:firstColumn="0" w:lastColumn="0" w:oddVBand="0" w:evenVBand="0" w:oddHBand="0" w:evenHBand="1" w:firstRowFirstColumn="0" w:firstRowLastColumn="0" w:lastRowFirstColumn="0" w:lastRowLastColumn="0"/>
              <w:rPr>
                <w:rFonts w:asciiTheme="minorHAnsi" w:hAnsiTheme="minorHAnsi" w:cs="Arial"/>
                <w:szCs w:val="20"/>
              </w:rPr>
            </w:pPr>
            <w:r w:rsidRPr="00AE24BC">
              <w:rPr>
                <w:rFonts w:asciiTheme="minorHAnsi" w:hAnsiTheme="minorHAnsi" w:cs="Arial"/>
                <w:szCs w:val="20"/>
              </w:rPr>
              <w:t>306,441</w:t>
            </w:r>
          </w:p>
        </w:tc>
        <w:tc>
          <w:tcPr>
            <w:tcW w:w="1530" w:type="dxa"/>
          </w:tcPr>
          <w:p w:rsidR="00AE24BC" w:rsidRPr="00AE24BC" w:rsidRDefault="00AE24BC" w:rsidP="001178F3">
            <w:pPr>
              <w:spacing w:after="0"/>
              <w:cnfStyle w:val="000000010000" w:firstRow="0" w:lastRow="0" w:firstColumn="0" w:lastColumn="0" w:oddVBand="0" w:evenVBand="0" w:oddHBand="0" w:evenHBand="1" w:firstRowFirstColumn="0" w:firstRowLastColumn="0" w:lastRowFirstColumn="0" w:lastRowLastColumn="0"/>
              <w:rPr>
                <w:rFonts w:asciiTheme="minorHAnsi" w:hAnsiTheme="minorHAnsi" w:cs="Arial"/>
                <w:szCs w:val="20"/>
              </w:rPr>
            </w:pPr>
            <w:r w:rsidRPr="00AE24BC">
              <w:rPr>
                <w:rFonts w:asciiTheme="minorHAnsi" w:hAnsiTheme="minorHAnsi" w:cs="Arial"/>
                <w:szCs w:val="20"/>
              </w:rPr>
              <w:t>Finland</w:t>
            </w:r>
          </w:p>
        </w:tc>
        <w:tc>
          <w:tcPr>
            <w:tcW w:w="1530" w:type="dxa"/>
          </w:tcPr>
          <w:p w:rsidR="00AE24BC" w:rsidRPr="00AE24BC" w:rsidRDefault="00AE24BC" w:rsidP="001178F3">
            <w:pPr>
              <w:spacing w:after="0"/>
              <w:jc w:val="right"/>
              <w:cnfStyle w:val="000000010000" w:firstRow="0" w:lastRow="0" w:firstColumn="0" w:lastColumn="0" w:oddVBand="0" w:evenVBand="0" w:oddHBand="0" w:evenHBand="1" w:firstRowFirstColumn="0" w:firstRowLastColumn="0" w:lastRowFirstColumn="0" w:lastRowLastColumn="0"/>
              <w:rPr>
                <w:rFonts w:asciiTheme="minorHAnsi" w:hAnsiTheme="minorHAnsi" w:cs="Arial"/>
                <w:szCs w:val="20"/>
              </w:rPr>
            </w:pPr>
            <w:r w:rsidRPr="00AE24BC">
              <w:rPr>
                <w:rFonts w:asciiTheme="minorHAnsi" w:hAnsiTheme="minorHAnsi" w:cs="Arial"/>
                <w:szCs w:val="20"/>
              </w:rPr>
              <w:t>58,824</w:t>
            </w:r>
          </w:p>
        </w:tc>
      </w:tr>
      <w:tr w:rsidR="00AE24BC" w:rsidRPr="00AE24BC">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30" w:type="dxa"/>
            <w:noWrap/>
          </w:tcPr>
          <w:p w:rsidR="00AE24BC" w:rsidRPr="00AE24BC" w:rsidRDefault="00AE24BC" w:rsidP="001178F3">
            <w:pPr>
              <w:spacing w:after="0"/>
              <w:rPr>
                <w:rFonts w:asciiTheme="minorHAnsi" w:hAnsiTheme="minorHAnsi" w:cs="Arial"/>
                <w:szCs w:val="20"/>
              </w:rPr>
            </w:pPr>
            <w:r w:rsidRPr="00AE24BC">
              <w:rPr>
                <w:rFonts w:asciiTheme="minorHAnsi" w:hAnsiTheme="minorHAnsi" w:cs="Arial"/>
                <w:szCs w:val="20"/>
              </w:rPr>
              <w:t>Canada</w:t>
            </w:r>
          </w:p>
        </w:tc>
        <w:tc>
          <w:tcPr>
            <w:tcW w:w="1530" w:type="dxa"/>
            <w:noWrap/>
          </w:tcPr>
          <w:p w:rsidR="00AE24BC" w:rsidRPr="00AE24BC" w:rsidRDefault="00AE24BC" w:rsidP="001178F3">
            <w:pPr>
              <w:spacing w:after="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20"/>
              </w:rPr>
            </w:pPr>
            <w:r w:rsidRPr="00AE24BC">
              <w:rPr>
                <w:rFonts w:asciiTheme="minorHAnsi" w:hAnsiTheme="minorHAnsi" w:cs="Arial"/>
                <w:szCs w:val="20"/>
              </w:rPr>
              <w:t>651,118</w:t>
            </w:r>
          </w:p>
        </w:tc>
        <w:tc>
          <w:tcPr>
            <w:tcW w:w="1530" w:type="dxa"/>
          </w:tcPr>
          <w:p w:rsidR="00AE24BC" w:rsidRPr="00AE24BC" w:rsidRDefault="00AE24BC" w:rsidP="001178F3">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20"/>
              </w:rPr>
            </w:pPr>
            <w:r w:rsidRPr="00AE24BC">
              <w:rPr>
                <w:rFonts w:asciiTheme="minorHAnsi" w:hAnsiTheme="minorHAnsi" w:cs="Arial"/>
                <w:szCs w:val="20"/>
              </w:rPr>
              <w:t>Switzerland</w:t>
            </w:r>
          </w:p>
        </w:tc>
        <w:tc>
          <w:tcPr>
            <w:tcW w:w="1530" w:type="dxa"/>
          </w:tcPr>
          <w:p w:rsidR="00AE24BC" w:rsidRPr="00AE24BC" w:rsidRDefault="00AE24BC" w:rsidP="001178F3">
            <w:pPr>
              <w:spacing w:after="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20"/>
              </w:rPr>
            </w:pPr>
            <w:r w:rsidRPr="00AE24BC">
              <w:rPr>
                <w:rFonts w:asciiTheme="minorHAnsi" w:hAnsiTheme="minorHAnsi" w:cs="Arial"/>
                <w:szCs w:val="20"/>
              </w:rPr>
              <w:t>275,643</w:t>
            </w:r>
          </w:p>
        </w:tc>
        <w:tc>
          <w:tcPr>
            <w:tcW w:w="1530" w:type="dxa"/>
          </w:tcPr>
          <w:p w:rsidR="00AE24BC" w:rsidRPr="00AE24BC" w:rsidRDefault="00AE24BC" w:rsidP="001178F3">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20"/>
              </w:rPr>
            </w:pPr>
            <w:r w:rsidRPr="00AE24BC">
              <w:rPr>
                <w:rFonts w:asciiTheme="minorHAnsi" w:hAnsiTheme="minorHAnsi" w:cs="Arial"/>
                <w:szCs w:val="20"/>
              </w:rPr>
              <w:t>Malaysia</w:t>
            </w:r>
          </w:p>
        </w:tc>
        <w:tc>
          <w:tcPr>
            <w:tcW w:w="1530" w:type="dxa"/>
          </w:tcPr>
          <w:p w:rsidR="00AE24BC" w:rsidRPr="00AE24BC" w:rsidRDefault="00AE24BC" w:rsidP="001178F3">
            <w:pPr>
              <w:spacing w:after="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20"/>
              </w:rPr>
            </w:pPr>
            <w:r w:rsidRPr="00AE24BC">
              <w:rPr>
                <w:rFonts w:asciiTheme="minorHAnsi" w:hAnsiTheme="minorHAnsi" w:cs="Arial"/>
                <w:szCs w:val="20"/>
              </w:rPr>
              <w:t>20,000</w:t>
            </w:r>
          </w:p>
        </w:tc>
      </w:tr>
      <w:tr w:rsidR="00AE24BC" w:rsidRPr="00AE24BC">
        <w:trPr>
          <w:cnfStyle w:val="000000010000" w:firstRow="0" w:lastRow="0" w:firstColumn="0" w:lastColumn="0" w:oddVBand="0" w:evenVBand="0" w:oddHBand="0" w:evenHBand="1"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30" w:type="dxa"/>
            <w:noWrap/>
          </w:tcPr>
          <w:p w:rsidR="00AE24BC" w:rsidRPr="00AE24BC" w:rsidRDefault="00AE24BC" w:rsidP="00231C30">
            <w:pPr>
              <w:spacing w:after="0"/>
              <w:rPr>
                <w:rFonts w:asciiTheme="minorHAnsi" w:hAnsiTheme="minorHAnsi" w:cs="Arial"/>
                <w:szCs w:val="20"/>
              </w:rPr>
            </w:pPr>
          </w:p>
        </w:tc>
        <w:tc>
          <w:tcPr>
            <w:tcW w:w="1530" w:type="dxa"/>
            <w:noWrap/>
          </w:tcPr>
          <w:p w:rsidR="00AE24BC" w:rsidRPr="00AE24BC" w:rsidRDefault="00AE24BC" w:rsidP="00231C30">
            <w:pPr>
              <w:spacing w:after="0"/>
              <w:jc w:val="right"/>
              <w:cnfStyle w:val="000000010000" w:firstRow="0" w:lastRow="0" w:firstColumn="0" w:lastColumn="0" w:oddVBand="0" w:evenVBand="0" w:oddHBand="0" w:evenHBand="1" w:firstRowFirstColumn="0" w:firstRowLastColumn="0" w:lastRowFirstColumn="0" w:lastRowLastColumn="0"/>
              <w:rPr>
                <w:rFonts w:asciiTheme="minorHAnsi" w:hAnsiTheme="minorHAnsi" w:cs="Arial"/>
                <w:b/>
                <w:szCs w:val="20"/>
              </w:rPr>
            </w:pPr>
          </w:p>
        </w:tc>
        <w:tc>
          <w:tcPr>
            <w:tcW w:w="1530" w:type="dxa"/>
          </w:tcPr>
          <w:p w:rsidR="00AE24BC" w:rsidRPr="00F62EEA" w:rsidRDefault="004A584F" w:rsidP="00231C30">
            <w:pPr>
              <w:spacing w:after="0"/>
              <w:cnfStyle w:val="000000010000" w:firstRow="0" w:lastRow="0" w:firstColumn="0" w:lastColumn="0" w:oddVBand="0" w:evenVBand="0" w:oddHBand="0" w:evenHBand="1" w:firstRowFirstColumn="0" w:firstRowLastColumn="0" w:lastRowFirstColumn="0" w:lastRowLastColumn="0"/>
              <w:rPr>
                <w:rFonts w:asciiTheme="minorHAnsi" w:hAnsiTheme="minorHAnsi" w:cs="Arial"/>
                <w:b/>
                <w:szCs w:val="20"/>
              </w:rPr>
            </w:pPr>
            <w:r w:rsidRPr="004A584F">
              <w:rPr>
                <w:rFonts w:asciiTheme="minorHAnsi" w:hAnsiTheme="minorHAnsi" w:cs="Arial"/>
                <w:b/>
                <w:sz w:val="24"/>
                <w:szCs w:val="20"/>
              </w:rPr>
              <w:t>TOTAL</w:t>
            </w:r>
          </w:p>
        </w:tc>
        <w:tc>
          <w:tcPr>
            <w:tcW w:w="1530" w:type="dxa"/>
          </w:tcPr>
          <w:p w:rsidR="00AE24BC" w:rsidRPr="00AE24BC" w:rsidRDefault="00F62EEA" w:rsidP="00231C30">
            <w:pPr>
              <w:spacing w:after="0"/>
              <w:jc w:val="right"/>
              <w:cnfStyle w:val="000000010000" w:firstRow="0" w:lastRow="0" w:firstColumn="0" w:lastColumn="0" w:oddVBand="0" w:evenVBand="0" w:oddHBand="0" w:evenHBand="1" w:firstRowFirstColumn="0" w:firstRowLastColumn="0" w:lastRowFirstColumn="0" w:lastRowLastColumn="0"/>
              <w:rPr>
                <w:rFonts w:asciiTheme="minorHAnsi" w:hAnsiTheme="minorHAnsi" w:cs="Arial"/>
                <w:b/>
                <w:szCs w:val="20"/>
              </w:rPr>
            </w:pPr>
            <w:r w:rsidRPr="00C63664">
              <w:rPr>
                <w:rFonts w:ascii="Cambria" w:hAnsi="Cambria" w:cs="Arial"/>
                <w:b/>
                <w:szCs w:val="20"/>
              </w:rPr>
              <w:t>10,</w:t>
            </w:r>
            <w:r>
              <w:rPr>
                <w:rFonts w:ascii="Cambria" w:hAnsi="Cambria" w:cs="Arial"/>
                <w:b/>
                <w:szCs w:val="20"/>
              </w:rPr>
              <w:t>642</w:t>
            </w:r>
            <w:r w:rsidRPr="00C63664">
              <w:rPr>
                <w:rFonts w:ascii="Cambria" w:hAnsi="Cambria" w:cs="Arial"/>
                <w:b/>
                <w:szCs w:val="20"/>
              </w:rPr>
              <w:t>,28</w:t>
            </w:r>
            <w:r>
              <w:rPr>
                <w:rFonts w:ascii="Cambria" w:hAnsi="Cambria" w:cs="Arial"/>
                <w:b/>
                <w:szCs w:val="20"/>
              </w:rPr>
              <w:t>2</w:t>
            </w:r>
          </w:p>
        </w:tc>
        <w:tc>
          <w:tcPr>
            <w:tcW w:w="1530" w:type="dxa"/>
          </w:tcPr>
          <w:p w:rsidR="00AE24BC" w:rsidRPr="00AE24BC" w:rsidRDefault="00AE24BC" w:rsidP="00493A69">
            <w:pPr>
              <w:spacing w:after="0"/>
              <w:jc w:val="right"/>
              <w:cnfStyle w:val="000000010000" w:firstRow="0" w:lastRow="0" w:firstColumn="0" w:lastColumn="0" w:oddVBand="0" w:evenVBand="0" w:oddHBand="0" w:evenHBand="1" w:firstRowFirstColumn="0" w:firstRowLastColumn="0" w:lastRowFirstColumn="0" w:lastRowLastColumn="0"/>
              <w:rPr>
                <w:rFonts w:asciiTheme="minorHAnsi" w:hAnsiTheme="minorHAnsi" w:cs="Arial"/>
                <w:szCs w:val="20"/>
              </w:rPr>
            </w:pPr>
          </w:p>
        </w:tc>
        <w:tc>
          <w:tcPr>
            <w:tcW w:w="1530" w:type="dxa"/>
          </w:tcPr>
          <w:p w:rsidR="00AE24BC" w:rsidRPr="00AE24BC" w:rsidRDefault="00AE24BC" w:rsidP="00493A69">
            <w:pPr>
              <w:spacing w:after="0"/>
              <w:jc w:val="right"/>
              <w:cnfStyle w:val="000000010000" w:firstRow="0" w:lastRow="0" w:firstColumn="0" w:lastColumn="0" w:oddVBand="0" w:evenVBand="0" w:oddHBand="0" w:evenHBand="1" w:firstRowFirstColumn="0" w:firstRowLastColumn="0" w:lastRowFirstColumn="0" w:lastRowLastColumn="0"/>
              <w:rPr>
                <w:rFonts w:asciiTheme="minorHAnsi" w:hAnsiTheme="minorHAnsi" w:cs="Arial"/>
                <w:szCs w:val="20"/>
              </w:rPr>
            </w:pPr>
          </w:p>
        </w:tc>
      </w:tr>
    </w:tbl>
    <w:p w:rsidR="00493A69" w:rsidRDefault="00493A69" w:rsidP="00493A69">
      <w:pPr>
        <w:spacing w:after="0"/>
        <w:rPr>
          <w:sz w:val="22"/>
          <w:lang w:val="en-GB"/>
        </w:rPr>
      </w:pPr>
    </w:p>
    <w:p w:rsidR="00D85203" w:rsidRDefault="00493A69">
      <w:pPr>
        <w:rPr>
          <w:lang w:val="en-GB"/>
        </w:rPr>
      </w:pPr>
      <w:r>
        <w:rPr>
          <w:lang w:val="en-GB"/>
        </w:rPr>
        <w:t xml:space="preserve">In order to dialogue with donors, the CTF Secretariat organises a side event during the CAC each year (in addition to side events with beneficiary countries and all member states). Most donors look favourably on these meetings and only one donor believe there is not enough interaction between the CTF Secretariat and donors. A couple of donors would favour deeper cooperation between donors, but one highlighted that it is a capacity issue. </w:t>
      </w:r>
    </w:p>
    <w:p w:rsidR="00493A69" w:rsidRPr="001E3D43" w:rsidRDefault="00493A69" w:rsidP="00493A69">
      <w:pPr>
        <w:pStyle w:val="Heading2"/>
        <w:rPr>
          <w:lang w:val="en-GB"/>
        </w:rPr>
      </w:pPr>
      <w:bookmarkStart w:id="103" w:name="_Toc260389740"/>
      <w:r w:rsidRPr="00011CA7">
        <w:rPr>
          <w:lang w:val="en-GB"/>
        </w:rPr>
        <w:t>Monitoring change, evaluation and other reports</w:t>
      </w:r>
      <w:bookmarkEnd w:id="103"/>
    </w:p>
    <w:p w:rsidR="008543B2" w:rsidRDefault="008543B2" w:rsidP="008543B2">
      <w:pPr>
        <w:spacing w:after="100" w:afterAutospacing="1"/>
        <w:rPr>
          <w:lang w:val="en-GB"/>
        </w:rPr>
      </w:pPr>
      <w:r>
        <w:rPr>
          <w:lang w:val="en-GB"/>
        </w:rPr>
        <w:t xml:space="preserve">There is a wealth of feedback information on the CTF activities. The CTF Secretriat produces Annual Reports and Progress reports. The latest Annual Report had a volume of 35 pages and it covered activities in considerable detail. It was an honest and open report that also mentioned problems, shortcomings, and difficulties. The regular reports have also been supplemented with other studies. </w:t>
      </w:r>
    </w:p>
    <w:p w:rsidR="008543B2" w:rsidRDefault="008543B2" w:rsidP="008543B2">
      <w:pPr>
        <w:spacing w:after="100" w:afterAutospacing="1"/>
        <w:rPr>
          <w:lang w:val="en-GB"/>
        </w:rPr>
      </w:pPr>
      <w:r>
        <w:rPr>
          <w:lang w:val="en-GB"/>
        </w:rPr>
        <w:t>One</w:t>
      </w:r>
      <w:r w:rsidRPr="000B6771">
        <w:rPr>
          <w:lang w:val="en-GB"/>
        </w:rPr>
        <w:t xml:space="preserve"> </w:t>
      </w:r>
      <w:r>
        <w:rPr>
          <w:lang w:val="en-GB"/>
        </w:rPr>
        <w:t>report (Connor, 2007) was commissioned by DFID to</w:t>
      </w:r>
      <w:r w:rsidRPr="000B6771">
        <w:rPr>
          <w:lang w:val="en-GB"/>
        </w:rPr>
        <w:t>:</w:t>
      </w:r>
      <w:r>
        <w:rPr>
          <w:lang w:val="en-GB"/>
        </w:rPr>
        <w:t xml:space="preserve"> i) </w:t>
      </w:r>
      <w:r w:rsidRPr="000B6771">
        <w:rPr>
          <w:lang w:val="en-GB"/>
        </w:rPr>
        <w:t xml:space="preserve">explore the impact of increased participation in Codex on </w:t>
      </w:r>
      <w:r>
        <w:rPr>
          <w:lang w:val="en-GB"/>
        </w:rPr>
        <w:t>the ability of developing countries to engage in</w:t>
      </w:r>
      <w:r w:rsidRPr="000B6771">
        <w:rPr>
          <w:lang w:val="en-GB"/>
        </w:rPr>
        <w:t xml:space="preserve"> food trade;</w:t>
      </w:r>
      <w:r>
        <w:rPr>
          <w:lang w:val="en-GB"/>
        </w:rPr>
        <w:t xml:space="preserve"> ii) </w:t>
      </w:r>
      <w:r w:rsidRPr="000B6771">
        <w:rPr>
          <w:lang w:val="en-GB"/>
        </w:rPr>
        <w:t xml:space="preserve">analyze how the Codex Trust Fund might be enhanced to strengthen national </w:t>
      </w:r>
      <w:r>
        <w:rPr>
          <w:lang w:val="en-GB"/>
        </w:rPr>
        <w:t>institutions</w:t>
      </w:r>
      <w:r w:rsidRPr="000B6771">
        <w:rPr>
          <w:lang w:val="en-GB"/>
        </w:rPr>
        <w:t xml:space="preserve"> to increase trade opportunities and food safety.</w:t>
      </w:r>
      <w:r>
        <w:rPr>
          <w:lang w:val="en-GB"/>
        </w:rPr>
        <w:t xml:space="preserve"> The main data collection consisted of four country studies (</w:t>
      </w:r>
      <w:r w:rsidRPr="000B6771">
        <w:rPr>
          <w:lang w:val="en-GB"/>
        </w:rPr>
        <w:t>Cambodia, Rwanda, Uganda and Viet Nam</w:t>
      </w:r>
      <w:r>
        <w:rPr>
          <w:lang w:val="en-GB"/>
        </w:rPr>
        <w:t>) and a visit to Geneva, in addition to a desk study. Another study (Slorach, 2007) was c</w:t>
      </w:r>
      <w:r w:rsidRPr="00E93D2A">
        <w:rPr>
          <w:lang w:val="en-GB"/>
        </w:rPr>
        <w:t xml:space="preserve">ommissioned by Sida before making a decision on further </w:t>
      </w:r>
      <w:r w:rsidRPr="00E93D2A">
        <w:rPr>
          <w:lang w:val="en-GB"/>
        </w:rPr>
        <w:lastRenderedPageBreak/>
        <w:t xml:space="preserve">contributions to the Fund. </w:t>
      </w:r>
      <w:r>
        <w:rPr>
          <w:lang w:val="en-GB"/>
        </w:rPr>
        <w:t>The report</w:t>
      </w:r>
      <w:r w:rsidRPr="00E93D2A">
        <w:rPr>
          <w:lang w:val="en-GB"/>
        </w:rPr>
        <w:t xml:space="preserve"> addresses a number of questions related to the Fund, with particular emphasis on African countries. </w:t>
      </w:r>
      <w:r>
        <w:rPr>
          <w:lang w:val="en-GB"/>
        </w:rPr>
        <w:t>The main data collection m</w:t>
      </w:r>
      <w:r w:rsidRPr="00E93D2A">
        <w:rPr>
          <w:lang w:val="en-GB"/>
        </w:rPr>
        <w:t xml:space="preserve">ethods </w:t>
      </w:r>
      <w:r>
        <w:rPr>
          <w:lang w:val="en-GB"/>
        </w:rPr>
        <w:t>included v</w:t>
      </w:r>
      <w:r w:rsidRPr="00E93D2A">
        <w:rPr>
          <w:lang w:val="en-GB"/>
        </w:rPr>
        <w:t>isits to Rome and Geneva</w:t>
      </w:r>
      <w:r>
        <w:rPr>
          <w:lang w:val="en-GB"/>
        </w:rPr>
        <w:t xml:space="preserve"> and contacts with </w:t>
      </w:r>
      <w:r w:rsidRPr="00E93D2A">
        <w:rPr>
          <w:lang w:val="en-GB"/>
        </w:rPr>
        <w:t xml:space="preserve">seven donor countries </w:t>
      </w:r>
      <w:r>
        <w:rPr>
          <w:lang w:val="en-GB"/>
        </w:rPr>
        <w:t xml:space="preserve">and some other stakeholders, in addition to a desk study. </w:t>
      </w:r>
    </w:p>
    <w:p w:rsidR="008543B2" w:rsidRDefault="008543B2" w:rsidP="008543B2">
      <w:pPr>
        <w:spacing w:after="100" w:afterAutospacing="1"/>
        <w:rPr>
          <w:lang w:val="en-GB"/>
        </w:rPr>
      </w:pPr>
      <w:r>
        <w:rPr>
          <w:lang w:val="en-GB"/>
        </w:rPr>
        <w:t>Furthermore, the CTF Secretariat commissioned Krell (2008)</w:t>
      </w:r>
      <w:r w:rsidRPr="00A46BEB">
        <w:rPr>
          <w:lang w:val="en-GB"/>
        </w:rPr>
        <w:t xml:space="preserve"> to identify progress and difficulties in relation to national food safety activities in recent years</w:t>
      </w:r>
      <w:r>
        <w:rPr>
          <w:lang w:val="en-GB"/>
        </w:rPr>
        <w:t>. This report is based on a s</w:t>
      </w:r>
      <w:r w:rsidRPr="00A46BEB">
        <w:rPr>
          <w:lang w:val="en-GB"/>
        </w:rPr>
        <w:t>urvey of national policy and activities related to food safety in countries eligible for the Codex Trust Fund. 46 of 60 countries responded</w:t>
      </w:r>
      <w:r>
        <w:rPr>
          <w:lang w:val="en-GB"/>
        </w:rPr>
        <w:t xml:space="preserve"> to the survey</w:t>
      </w:r>
      <w:r w:rsidRPr="00A46BEB">
        <w:rPr>
          <w:lang w:val="en-GB"/>
        </w:rPr>
        <w:t>.</w:t>
      </w:r>
      <w:r>
        <w:rPr>
          <w:lang w:val="en-GB"/>
        </w:rPr>
        <w:t xml:space="preserve"> There is also a report commissioned by the CTF Secretariat to analyse </w:t>
      </w:r>
      <w:r w:rsidRPr="00F00D7E">
        <w:rPr>
          <w:lang w:val="en-GB"/>
        </w:rPr>
        <w:t>country reports submitted to the Codex Trust Fund by participants suppor</w:t>
      </w:r>
      <w:r>
        <w:rPr>
          <w:lang w:val="en-GB"/>
        </w:rPr>
        <w:t xml:space="preserve">ted by CTF </w:t>
      </w:r>
      <w:r w:rsidRPr="00F00D7E">
        <w:rPr>
          <w:lang w:val="en-GB"/>
        </w:rPr>
        <w:t>to attend Codex meetings between August 2007 and December 2008</w:t>
      </w:r>
      <w:r>
        <w:rPr>
          <w:lang w:val="en-GB"/>
        </w:rPr>
        <w:t xml:space="preserve"> (Dimeschkie, 2009). These four reports were summarised in the Inception report of this evaluation. The CTF Secretariat have made a management response plan where it is identified how to take the recommendations forward. </w:t>
      </w:r>
    </w:p>
    <w:p w:rsidR="008543B2" w:rsidRPr="009B767E" w:rsidRDefault="008543B2" w:rsidP="008543B2">
      <w:pPr>
        <w:spacing w:after="100" w:afterAutospacing="1"/>
        <w:rPr>
          <w:lang w:val="en-GB"/>
        </w:rPr>
      </w:pPr>
      <w:r>
        <w:rPr>
          <w:lang w:val="en-GB"/>
        </w:rPr>
        <w:t xml:space="preserve">The 2010 Action Plan prepared by the CTF Secretariat lists a number of activities in respect of tracking results and providing evidence for decision-making. </w:t>
      </w:r>
      <w:r w:rsidRPr="005B0E9C">
        <w:rPr>
          <w:lang w:val="en-GB"/>
        </w:rPr>
        <w:t xml:space="preserve">The quantitative information on numbers of participants, origins, and which meetings they participate in is adequate and comprehensive. </w:t>
      </w:r>
      <w:r>
        <w:rPr>
          <w:lang w:val="en-GB"/>
        </w:rPr>
        <w:t xml:space="preserve">For a programme of its size, there has been a surprising quantity of monitoring and evaluation information made available, commissioned by the Secretariat and also by some of the donor organisations. </w:t>
      </w:r>
      <w:r w:rsidRPr="005B0E9C">
        <w:rPr>
          <w:lang w:val="en-GB"/>
        </w:rPr>
        <w:t xml:space="preserve">That information is a necessary component in any assessment of the CTF. </w:t>
      </w:r>
      <w:r>
        <w:rPr>
          <w:lang w:val="en-GB"/>
        </w:rPr>
        <w:t xml:space="preserve">The question is rather whether too much information is collected and whether it is the right type of information and whether it is aggregated so as to make most use of it. If we look at the information gathered through the above mentioned efforts, it would seem as there are three gaps – that is, </w:t>
      </w:r>
      <w:r w:rsidRPr="005B0E9C">
        <w:rPr>
          <w:lang w:val="en-GB"/>
        </w:rPr>
        <w:t>three aspects of results that need to be covered more systematically</w:t>
      </w:r>
      <w:r>
        <w:rPr>
          <w:lang w:val="en-GB"/>
        </w:rPr>
        <w:t xml:space="preserve"> (that does not mean that the contents of the studies and reports </w:t>
      </w:r>
      <w:r w:rsidR="003C1B51">
        <w:rPr>
          <w:lang w:val="en-GB"/>
        </w:rPr>
        <w:t xml:space="preserve">were </w:t>
      </w:r>
      <w:r>
        <w:rPr>
          <w:lang w:val="en-GB"/>
        </w:rPr>
        <w:t>not useful, only that there are questions that remain to be answered)</w:t>
      </w:r>
      <w:r w:rsidRPr="005B0E9C">
        <w:rPr>
          <w:lang w:val="en-GB"/>
        </w:rPr>
        <w:t>:</w:t>
      </w:r>
    </w:p>
    <w:p w:rsidR="008543B2" w:rsidRPr="009B767E" w:rsidRDefault="008543B2" w:rsidP="008543B2">
      <w:pPr>
        <w:pStyle w:val="ListParagraph"/>
        <w:numPr>
          <w:ilvl w:val="0"/>
          <w:numId w:val="10"/>
        </w:numPr>
        <w:spacing w:after="100" w:afterAutospacing="1"/>
        <w:rPr>
          <w:lang w:val="en-GB"/>
        </w:rPr>
      </w:pPr>
      <w:r w:rsidRPr="005B0E9C">
        <w:rPr>
          <w:lang w:val="en-GB"/>
        </w:rPr>
        <w:t>Information on the quality of participation, that is, what happens during meetings, is it an effective participation, do</w:t>
      </w:r>
      <w:r w:rsidR="00097AC2">
        <w:rPr>
          <w:lang w:val="en-GB"/>
        </w:rPr>
        <w:t xml:space="preserve"> </w:t>
      </w:r>
      <w:r w:rsidRPr="005B0E9C">
        <w:rPr>
          <w:lang w:val="en-GB"/>
        </w:rPr>
        <w:t>the beneficiar</w:t>
      </w:r>
      <w:r w:rsidR="00097AC2">
        <w:rPr>
          <w:lang w:val="en-GB"/>
        </w:rPr>
        <w:t>ies</w:t>
      </w:r>
      <w:r w:rsidRPr="005B0E9C">
        <w:rPr>
          <w:lang w:val="en-GB"/>
        </w:rPr>
        <w:t xml:space="preserve"> contribute to the discussions, </w:t>
      </w:r>
      <w:r w:rsidR="00097AC2">
        <w:rPr>
          <w:lang w:val="en-GB"/>
        </w:rPr>
        <w:t>do they</w:t>
      </w:r>
      <w:r w:rsidRPr="005B0E9C">
        <w:rPr>
          <w:lang w:val="en-GB"/>
        </w:rPr>
        <w:t xml:space="preserve"> propose sound and practical suggestions to move the work on standards forward?</w:t>
      </w:r>
    </w:p>
    <w:p w:rsidR="008543B2" w:rsidRPr="009B767E" w:rsidRDefault="008543B2" w:rsidP="008543B2">
      <w:pPr>
        <w:pStyle w:val="ListParagraph"/>
        <w:numPr>
          <w:ilvl w:val="0"/>
          <w:numId w:val="10"/>
        </w:numPr>
        <w:spacing w:after="100" w:afterAutospacing="1"/>
        <w:rPr>
          <w:lang w:val="en-GB"/>
        </w:rPr>
      </w:pPr>
      <w:r w:rsidRPr="005B0E9C">
        <w:rPr>
          <w:lang w:val="en-GB"/>
        </w:rPr>
        <w:t xml:space="preserve">Information on activities that follow at country level, for example research to substantiate a position, to submit before next meeting, developmental work to adapt standards and to publish national standards, etc. </w:t>
      </w:r>
    </w:p>
    <w:p w:rsidR="008543B2" w:rsidRPr="009B767E" w:rsidRDefault="008543B2" w:rsidP="008543B2">
      <w:pPr>
        <w:pStyle w:val="ListParagraph"/>
        <w:numPr>
          <w:ilvl w:val="0"/>
          <w:numId w:val="10"/>
        </w:numPr>
        <w:spacing w:after="100" w:afterAutospacing="1"/>
        <w:rPr>
          <w:lang w:val="en-GB"/>
        </w:rPr>
      </w:pPr>
      <w:r w:rsidRPr="005B0E9C">
        <w:rPr>
          <w:lang w:val="en-GB"/>
        </w:rPr>
        <w:t xml:space="preserve">Information on the overall changes in food safety systems, for example, the development of the NCC, funding issues and budgets for Codex works, networks and linkages, that is, the changes that could be analysed as a contribution to impact on food safety systems. </w:t>
      </w:r>
    </w:p>
    <w:p w:rsidR="008543B2" w:rsidRPr="009B767E" w:rsidRDefault="008543B2" w:rsidP="008543B2">
      <w:pPr>
        <w:spacing w:after="100" w:afterAutospacing="1"/>
        <w:rPr>
          <w:lang w:val="en-GB"/>
        </w:rPr>
      </w:pPr>
      <w:r w:rsidRPr="005B0E9C">
        <w:rPr>
          <w:lang w:val="en-GB"/>
        </w:rPr>
        <w:t xml:space="preserve">In respect of the first, Committee Chairs </w:t>
      </w:r>
      <w:r>
        <w:rPr>
          <w:lang w:val="en-GB"/>
        </w:rPr>
        <w:t xml:space="preserve">and possibly other participants could </w:t>
      </w:r>
      <w:r w:rsidRPr="005B0E9C">
        <w:rPr>
          <w:lang w:val="en-GB"/>
        </w:rPr>
        <w:t xml:space="preserve"> provide feedback on the performance in meetings</w:t>
      </w:r>
      <w:r>
        <w:rPr>
          <w:lang w:val="en-GB"/>
        </w:rPr>
        <w:t>, and other interviews do suggest that there are observations available – though of an ad hoc character. It has not been digested and may not merit being developed further at present, it is not sufficiently structured for that.</w:t>
      </w:r>
      <w:r w:rsidRPr="009B767E">
        <w:rPr>
          <w:lang w:val="en-GB"/>
        </w:rPr>
        <w:t xml:space="preserve"> </w:t>
      </w:r>
      <w:r>
        <w:rPr>
          <w:lang w:val="en-GB"/>
        </w:rPr>
        <w:t>There is</w:t>
      </w:r>
      <w:r w:rsidRPr="009B767E">
        <w:rPr>
          <w:lang w:val="en-GB"/>
        </w:rPr>
        <w:t xml:space="preserve"> data on attendance</w:t>
      </w:r>
      <w:r>
        <w:rPr>
          <w:lang w:val="en-GB"/>
        </w:rPr>
        <w:t>, but that only covers whether a person is there or now. It has no information on the quality of engagement</w:t>
      </w:r>
      <w:r w:rsidRPr="009B767E">
        <w:rPr>
          <w:lang w:val="en-GB"/>
        </w:rPr>
        <w:t>. So, if someone does not really show up in meetings, or does not contribute to discussions, it could be reported.</w:t>
      </w:r>
      <w:r>
        <w:rPr>
          <w:lang w:val="en-GB"/>
        </w:rPr>
        <w:t xml:space="preserve"> </w:t>
      </w:r>
      <w:r w:rsidRPr="00807AB2">
        <w:rPr>
          <w:lang w:val="en-US"/>
        </w:rPr>
        <w:t>In</w:t>
      </w:r>
      <w:r w:rsidR="003C1B51">
        <w:rPr>
          <w:lang w:val="en-US"/>
        </w:rPr>
        <w:t xml:space="preserve"> the</w:t>
      </w:r>
      <w:r w:rsidRPr="00807AB2">
        <w:rPr>
          <w:lang w:val="en-US"/>
        </w:rPr>
        <w:t xml:space="preserve"> past </w:t>
      </w:r>
      <w:r>
        <w:rPr>
          <w:lang w:val="en-US"/>
        </w:rPr>
        <w:t>the CTF Secretariat</w:t>
      </w:r>
      <w:r w:rsidRPr="00807AB2">
        <w:rPr>
          <w:lang w:val="en-US"/>
        </w:rPr>
        <w:t xml:space="preserve"> tried to have WHO staff monitor participation but results from </w:t>
      </w:r>
      <w:r w:rsidR="003C1B51">
        <w:rPr>
          <w:lang w:val="en-US"/>
        </w:rPr>
        <w:t xml:space="preserve">the </w:t>
      </w:r>
      <w:r w:rsidRPr="00807AB2">
        <w:rPr>
          <w:lang w:val="en-US"/>
        </w:rPr>
        <w:t xml:space="preserve">"intervention montoring table" </w:t>
      </w:r>
      <w:r>
        <w:rPr>
          <w:lang w:val="en-US"/>
        </w:rPr>
        <w:t>were</w:t>
      </w:r>
      <w:r w:rsidRPr="00807AB2">
        <w:rPr>
          <w:lang w:val="en-US"/>
        </w:rPr>
        <w:t xml:space="preserve"> not </w:t>
      </w:r>
      <w:r>
        <w:rPr>
          <w:lang w:val="en-US"/>
        </w:rPr>
        <w:t>useful.</w:t>
      </w:r>
      <w:r w:rsidRPr="00807AB2">
        <w:rPr>
          <w:lang w:val="en-US"/>
        </w:rPr>
        <w:t xml:space="preserve"> </w:t>
      </w:r>
      <w:r>
        <w:rPr>
          <w:lang w:val="en-GB"/>
        </w:rPr>
        <w:t>W</w:t>
      </w:r>
      <w:r w:rsidRPr="009B767E">
        <w:rPr>
          <w:lang w:val="en-GB"/>
        </w:rPr>
        <w:t>e have not seen such data systematically analysed nor supplemented with qualitative analysis. Our interviews with Committee chairs indicate that they are too busy chairing meetings to be able to monitor participation. So, while some of the pieces of information exist, there is still not any reliable and comprehensive dat</w:t>
      </w:r>
      <w:r w:rsidRPr="005B0E9C">
        <w:rPr>
          <w:lang w:val="en-GB"/>
        </w:rPr>
        <w:t xml:space="preserve">a on quality of participation. </w:t>
      </w:r>
    </w:p>
    <w:p w:rsidR="008543B2" w:rsidRPr="009B767E" w:rsidRDefault="008543B2" w:rsidP="008543B2">
      <w:pPr>
        <w:spacing w:after="100" w:afterAutospacing="1"/>
        <w:rPr>
          <w:lang w:val="en-GB"/>
        </w:rPr>
      </w:pPr>
      <w:r w:rsidRPr="005B0E9C">
        <w:rPr>
          <w:lang w:val="en-GB"/>
        </w:rPr>
        <w:lastRenderedPageBreak/>
        <w:t xml:space="preserve">In respect of the second subject, the most important data source is the participant reports that the participants are meant to send in after CTF-supported participation in a  Codex meeting. There is a problem that not all participants send in such reports, but it seems that the number who actually does is increasing. This makes up a large volume of data and so far, the CTF Secretariat has employed a consultant to review, analyse and summarize the information. The quality of the reports vary, and it would probably be useful to select a random sample of countries and to see the participant report as the first step in an interactive process to describe what happens after the participation. </w:t>
      </w:r>
    </w:p>
    <w:p w:rsidR="008543B2" w:rsidRDefault="008543B2" w:rsidP="008543B2">
      <w:pPr>
        <w:spacing w:after="100" w:afterAutospacing="1"/>
        <w:rPr>
          <w:lang w:val="en-GB"/>
        </w:rPr>
      </w:pPr>
      <w:r w:rsidRPr="005B0E9C">
        <w:rPr>
          <w:lang w:val="en-GB"/>
        </w:rPr>
        <w:t>In respect of the third category of information, it is primarily through country visits such as were undertaken during this evaluation that this information can be gathered. The assessment of impact is qualitative and context dependent. While there are some factors that would always be part of the assessment, the interpretation of what they mean and whether some factor is a problem or not would depend on the situation in the country.  An evaluation system should also be cost-effective. There is often a risk that too much information is gathered and the time to analyse it and reflect on its meaning is not there. Sometimes it is better to gather less information but use it more extensively. The progress reports from participants are a case at hand. We are not suggesting they should not be gathered, but that source of information should be used more extensively before developing new systems. It has a great potential and it is worthwhile to mine for more information, both on the activities following participation and on the overall impact of Codex work.</w:t>
      </w:r>
    </w:p>
    <w:p w:rsidR="008543B2" w:rsidRDefault="008543B2" w:rsidP="008543B2">
      <w:pPr>
        <w:spacing w:after="100" w:afterAutospacing="1"/>
        <w:rPr>
          <w:lang w:val="en-GB"/>
        </w:rPr>
      </w:pPr>
      <w:r>
        <w:rPr>
          <w:lang w:val="en-GB"/>
        </w:rPr>
        <w:t xml:space="preserve">The CTF Secretariat has prepared a list of key indicators for project monitoring. There are a total of 15 indicators and it is described what the sources of verification are and when the data will be collected and reported. In many of the discussions that the evaluation team had with stakeholders of the programme, donor organisations, and participants, the question of results information was brought up. The subject was also discussed by the previous evaluation reports/studies mentioned above. There is a tendency to believe that all information needs will be met through the definition and gathering of data to measure indicators. There is no doubt that indicators play a useful role in monitoring and evaluation. It is also quite clear that the concept of indicators is handled very differently. Trained researchers mostly use the concept indicator to signify a very precise form of a data, often of a quantitative nature. If an indicator is qualitative, it should be rather simple qualitative data. There is a need to reassess the list of indicators </w:t>
      </w:r>
      <w:r w:rsidR="00097AC2">
        <w:rPr>
          <w:lang w:val="en-GB"/>
        </w:rPr>
        <w:t>in two ways</w:t>
      </w:r>
      <w:r>
        <w:rPr>
          <w:lang w:val="en-GB"/>
        </w:rPr>
        <w:t>;</w:t>
      </w:r>
    </w:p>
    <w:p w:rsidR="008543B2" w:rsidRDefault="00097AC2" w:rsidP="009C52D8">
      <w:pPr>
        <w:pStyle w:val="ListParagraph"/>
        <w:numPr>
          <w:ilvl w:val="0"/>
          <w:numId w:val="24"/>
        </w:numPr>
        <w:spacing w:before="0" w:after="0" w:afterAutospacing="1"/>
        <w:rPr>
          <w:lang w:val="en-GB"/>
        </w:rPr>
      </w:pPr>
      <w:r>
        <w:rPr>
          <w:lang w:val="en-GB"/>
        </w:rPr>
        <w:t xml:space="preserve">to make sure that </w:t>
      </w:r>
      <w:r w:rsidR="008543B2">
        <w:rPr>
          <w:lang w:val="en-GB"/>
        </w:rPr>
        <w:t>quantities of outputs are not used as indicators of results (for example, number of training workshops organised as an indicator of whether the result “strengthened participation” has been achieved.</w:t>
      </w:r>
      <w:r w:rsidR="003C1B51">
        <w:rPr>
          <w:lang w:val="en-GB"/>
        </w:rPr>
        <w:t>)</w:t>
      </w:r>
    </w:p>
    <w:p w:rsidR="008543B2" w:rsidRDefault="00097AC2" w:rsidP="009C52D8">
      <w:pPr>
        <w:pStyle w:val="ListParagraph"/>
        <w:numPr>
          <w:ilvl w:val="0"/>
          <w:numId w:val="24"/>
        </w:numPr>
        <w:spacing w:before="0" w:after="0" w:afterAutospacing="1"/>
        <w:rPr>
          <w:lang w:val="en-GB"/>
        </w:rPr>
      </w:pPr>
      <w:r>
        <w:rPr>
          <w:lang w:val="en-GB"/>
        </w:rPr>
        <w:t>to critically assess the methods that would be used to measure the indicator. T</w:t>
      </w:r>
      <w:r w:rsidR="008543B2">
        <w:rPr>
          <w:lang w:val="en-GB"/>
        </w:rPr>
        <w:t xml:space="preserve">he method to verify the result (value of the indicator) </w:t>
      </w:r>
      <w:r>
        <w:rPr>
          <w:lang w:val="en-GB"/>
        </w:rPr>
        <w:t>must</w:t>
      </w:r>
      <w:r w:rsidR="008543B2">
        <w:rPr>
          <w:lang w:val="en-GB"/>
        </w:rPr>
        <w:t xml:space="preserve"> generate valid and reliable data. It is not likely that beneficiary country self-assessment will provide useful information on, for example, CCPs improved capacity to perform duties. There are forms of data that can be gathered from beneficiary countries, for example in respect of the key objective, development of national policy and legislative frameworks. </w:t>
      </w:r>
    </w:p>
    <w:p w:rsidR="008543B2" w:rsidRPr="008543B2" w:rsidRDefault="008543B2" w:rsidP="008543B2">
      <w:pPr>
        <w:spacing w:after="100" w:afterAutospacing="1"/>
        <w:rPr>
          <w:lang w:val="en-GB"/>
        </w:rPr>
      </w:pPr>
      <w:r w:rsidRPr="008543B2">
        <w:rPr>
          <w:lang w:val="en-GB"/>
        </w:rPr>
        <w:t xml:space="preserve">Indicators are attractive in many ways, but they are best seen as part of an inquiry rather than as answer to questions. It is particularly difficult to build monitoring and evaluation systems on indicators when the relationship between programme activities and impact is complex and non-linear, as in the </w:t>
      </w:r>
      <w:r w:rsidR="00097AC2">
        <w:rPr>
          <w:lang w:val="en-GB"/>
        </w:rPr>
        <w:t xml:space="preserve">case of </w:t>
      </w:r>
      <w:r w:rsidRPr="008543B2">
        <w:rPr>
          <w:lang w:val="en-GB"/>
        </w:rPr>
        <w:t xml:space="preserve">CTF. Indicators can be used to assess progress in delivering the outputs of the programme, but their role in assessing impact and the achievement of more complex results is likely to be marginal.  </w:t>
      </w:r>
    </w:p>
    <w:p w:rsidR="00493A69" w:rsidRDefault="00493A69" w:rsidP="008543B2">
      <w:pPr>
        <w:pStyle w:val="Heading1"/>
        <w:spacing w:after="100" w:afterAutospacing="1"/>
        <w:rPr>
          <w:lang w:val="en-GB"/>
        </w:rPr>
      </w:pPr>
      <w:r>
        <w:rPr>
          <w:lang w:val="en-GB"/>
        </w:rPr>
        <w:br w:type="page"/>
      </w:r>
      <w:bookmarkStart w:id="104" w:name="_Toc129613166"/>
      <w:bookmarkStart w:id="105" w:name="_Toc260389741"/>
      <w:r w:rsidR="00A84844">
        <w:rPr>
          <w:lang w:val="en-GB"/>
        </w:rPr>
        <w:lastRenderedPageBreak/>
        <w:t>Chapter</w:t>
      </w:r>
      <w:r w:rsidRPr="00AD460C">
        <w:rPr>
          <w:lang w:val="en-GB"/>
        </w:rPr>
        <w:t xml:space="preserve"> 6. Conclusions and recommendations</w:t>
      </w:r>
      <w:bookmarkEnd w:id="104"/>
      <w:bookmarkEnd w:id="105"/>
    </w:p>
    <w:p w:rsidR="008543B2" w:rsidRPr="00AD460C" w:rsidRDefault="008543B2" w:rsidP="008543B2">
      <w:pPr>
        <w:rPr>
          <w:lang w:val="en-GB"/>
        </w:rPr>
      </w:pPr>
      <w:r w:rsidRPr="00AD460C">
        <w:rPr>
          <w:lang w:val="en-GB"/>
        </w:rPr>
        <w:t xml:space="preserve">The Codex Trust Fund is a complex operation that has been active for six years, which is a sufficient length of time to launch operations, achieve some success, make and to learn from mistakes. We have reviewed the project design, the management of the project, its results and its impact. The focus of the evaluation has been on results at country level and the systematic gathering and analysis of data from those who have benefitted from the project and who are its main stakeholders. This </w:t>
      </w:r>
      <w:r>
        <w:rPr>
          <w:lang w:val="en-GB"/>
        </w:rPr>
        <w:t>Chapter</w:t>
      </w:r>
      <w:r w:rsidRPr="00AD460C">
        <w:rPr>
          <w:lang w:val="en-GB"/>
        </w:rPr>
        <w:t xml:space="preserve"> presents the main conclusions</w:t>
      </w:r>
      <w:r w:rsidR="003C1B51">
        <w:rPr>
          <w:lang w:val="en-GB"/>
        </w:rPr>
        <w:t xml:space="preserve"> and recommendations</w:t>
      </w:r>
      <w:r w:rsidRPr="00AD460C">
        <w:rPr>
          <w:lang w:val="en-GB"/>
        </w:rPr>
        <w:t xml:space="preserve"> in respect of the questions posed in the Terms of Refe</w:t>
      </w:r>
      <w:r>
        <w:rPr>
          <w:lang w:val="en-GB"/>
        </w:rPr>
        <w:t>rence for the mid-term review (Annex</w:t>
      </w:r>
      <w:r w:rsidRPr="00AD460C">
        <w:rPr>
          <w:lang w:val="en-GB"/>
        </w:rPr>
        <w:t xml:space="preserve"> 1). </w:t>
      </w:r>
    </w:p>
    <w:p w:rsidR="008543B2" w:rsidRPr="00AD460C" w:rsidRDefault="008543B2" w:rsidP="008543B2">
      <w:pPr>
        <w:pStyle w:val="Heading2"/>
        <w:rPr>
          <w:lang w:val="en-GB"/>
        </w:rPr>
      </w:pPr>
      <w:bookmarkStart w:id="106" w:name="_Toc260389742"/>
      <w:r w:rsidRPr="00AD460C">
        <w:rPr>
          <w:lang w:val="en-GB"/>
        </w:rPr>
        <w:t>Relevance and Strategic Fit</w:t>
      </w:r>
      <w:bookmarkEnd w:id="106"/>
    </w:p>
    <w:p w:rsidR="008543B2" w:rsidRPr="00AD460C" w:rsidRDefault="008543B2" w:rsidP="008543B2">
      <w:pPr>
        <w:rPr>
          <w:lang w:val="en-GB"/>
        </w:rPr>
      </w:pPr>
      <w:r w:rsidRPr="00AD460C">
        <w:rPr>
          <w:lang w:val="en-GB"/>
        </w:rPr>
        <w:t xml:space="preserve">The project has three objectives that connect to three outputs and these are generally summed up as; (1) increasing participation, (2) strengthening participation and (3) bringing scientific research from developing countries to the Codex process. While these objectives/outputs are clear in themselves there are still two sources of confusion. First, whether any one of them is more important than the others. Second, whether it is necessary and/or possible </w:t>
      </w:r>
      <w:r>
        <w:rPr>
          <w:lang w:val="en-GB"/>
        </w:rPr>
        <w:t>to undertake capacity building activities</w:t>
      </w:r>
      <w:r w:rsidRPr="00AD460C">
        <w:rPr>
          <w:lang w:val="en-GB"/>
        </w:rPr>
        <w:t xml:space="preserve"> to reach the objectives</w:t>
      </w:r>
      <w:r>
        <w:rPr>
          <w:lang w:val="en-GB"/>
        </w:rPr>
        <w:t xml:space="preserve"> 2 and 3 in particular</w:t>
      </w:r>
      <w:r w:rsidRPr="00AD460C">
        <w:rPr>
          <w:lang w:val="en-GB"/>
        </w:rPr>
        <w:t xml:space="preserve">. </w:t>
      </w:r>
    </w:p>
    <w:p w:rsidR="008543B2" w:rsidRPr="00AD460C" w:rsidRDefault="008543B2" w:rsidP="008543B2">
      <w:pPr>
        <w:rPr>
          <w:lang w:val="en-GB"/>
        </w:rPr>
      </w:pPr>
      <w:r w:rsidRPr="00AD460C">
        <w:rPr>
          <w:lang w:val="en-GB"/>
        </w:rPr>
        <w:t xml:space="preserve">There is an overwhelming consensus </w:t>
      </w:r>
      <w:r>
        <w:rPr>
          <w:lang w:val="en-GB"/>
        </w:rPr>
        <w:t xml:space="preserve">among stakeholders </w:t>
      </w:r>
      <w:r w:rsidRPr="00AD460C">
        <w:rPr>
          <w:lang w:val="en-GB"/>
        </w:rPr>
        <w:t xml:space="preserve">that all three objectives were relevant when the CTF started and remain relevant today, and that the CTF should undertake activities to address them all. To date some 90% of the budgets </w:t>
      </w:r>
      <w:r>
        <w:rPr>
          <w:lang w:val="en-GB"/>
        </w:rPr>
        <w:t>has been</w:t>
      </w:r>
      <w:r w:rsidRPr="00AD460C">
        <w:rPr>
          <w:lang w:val="en-GB"/>
        </w:rPr>
        <w:t xml:space="preserve"> spent in relation to output 1 and 10% in relation to output 2, and very little on output 3. There is an urgent need to change that balance and shift resources to outputs 2 and 3 for the remaining six years of the project life-time. </w:t>
      </w:r>
    </w:p>
    <w:p w:rsidR="008543B2" w:rsidRPr="00AD460C" w:rsidRDefault="008543B2" w:rsidP="008543B2">
      <w:pPr>
        <w:rPr>
          <w:lang w:val="en-GB"/>
        </w:rPr>
      </w:pPr>
      <w:r w:rsidRPr="00AD460C">
        <w:rPr>
          <w:lang w:val="en-GB"/>
        </w:rPr>
        <w:t xml:space="preserve">Many developing countries need capacity development activities to make effective use of Codex participation. The second and third objectives of CTF need to be defined so that capacity development becomes an integral part of activities. At the same time it is necessary to have a clear division of labour between the CTF and FAO technical cooperation programmes in relation to Codex Alimentarius. The CTF should define activities that relate specifically to effective participation in Codex meetings (output 2) and bringing research and scientific evidence to meetings (output 3). These activities should supplement the activities of other projects and programmes that aim to strengthen Codex capacity. The value added of the CTF lies in a clear focus on </w:t>
      </w:r>
      <w:r>
        <w:rPr>
          <w:lang w:val="en-GB"/>
        </w:rPr>
        <w:t xml:space="preserve">global </w:t>
      </w:r>
      <w:r w:rsidRPr="00AD460C">
        <w:rPr>
          <w:lang w:val="en-GB"/>
        </w:rPr>
        <w:t>participation in Codex meetings</w:t>
      </w:r>
      <w:r>
        <w:rPr>
          <w:lang w:val="en-GB"/>
        </w:rPr>
        <w:t xml:space="preserve"> and a privileged place in the Codex structure</w:t>
      </w:r>
      <w:r w:rsidRPr="00AD460C">
        <w:rPr>
          <w:lang w:val="en-GB"/>
        </w:rPr>
        <w:t>.</w:t>
      </w:r>
    </w:p>
    <w:p w:rsidR="008543B2" w:rsidRPr="00AD460C" w:rsidRDefault="008543B2" w:rsidP="008543B2">
      <w:pPr>
        <w:pStyle w:val="Heading2"/>
        <w:rPr>
          <w:lang w:val="en-GB"/>
        </w:rPr>
      </w:pPr>
      <w:bookmarkStart w:id="107" w:name="_Toc260389743"/>
      <w:r w:rsidRPr="00AD460C">
        <w:rPr>
          <w:lang w:val="en-GB"/>
        </w:rPr>
        <w:t>Progress and Effectiveness</w:t>
      </w:r>
      <w:bookmarkEnd w:id="107"/>
    </w:p>
    <w:p w:rsidR="008543B2" w:rsidRPr="00AD460C" w:rsidRDefault="008543B2" w:rsidP="008543B2">
      <w:pPr>
        <w:rPr>
          <w:lang w:val="en-GB"/>
        </w:rPr>
      </w:pPr>
      <w:r w:rsidRPr="00AD460C">
        <w:rPr>
          <w:lang w:val="en-GB"/>
        </w:rPr>
        <w:t xml:space="preserve">When half of the project time has passed, the first of the objectives has been reached, there has been some progress to the second objective, but there is very little progress on the third objective. In that situation there are two alternatives; (1) design activities that address the second and third objectives and make sure that they are reached within the remaining six years, or (2) revise the project document and remove the second and third objectives/outputs. There is no other choice – having objectives while not undertaking </w:t>
      </w:r>
      <w:r>
        <w:rPr>
          <w:lang w:val="en-GB"/>
        </w:rPr>
        <w:t>sufficient</w:t>
      </w:r>
      <w:r w:rsidRPr="00AD460C">
        <w:rPr>
          <w:lang w:val="en-GB"/>
        </w:rPr>
        <w:t xml:space="preserve"> activities to reach them is not a serious approach to programme management. As indicated above, there is an overwhelming support for the three objectives and no indication that they would not remain relevant. Hence the evaluation arrives at a very clear recommendation of the first alternative; to develop activities to reach the second and third objectives. </w:t>
      </w:r>
    </w:p>
    <w:p w:rsidR="008543B2" w:rsidRPr="00AD460C" w:rsidRDefault="008543B2" w:rsidP="008543B2">
      <w:pPr>
        <w:rPr>
          <w:lang w:val="en-GB"/>
        </w:rPr>
      </w:pPr>
      <w:r w:rsidRPr="00AD460C">
        <w:rPr>
          <w:lang w:val="en-GB"/>
        </w:rPr>
        <w:t>Different factors influence the achievement of the three objectives. At a very general level, the selection of participants to the Codex meetings appears to be the most significant determinant. The</w:t>
      </w:r>
      <w:r>
        <w:rPr>
          <w:lang w:val="en-GB"/>
        </w:rPr>
        <w:t xml:space="preserve"> selection process and administrative</w:t>
      </w:r>
      <w:r w:rsidRPr="00AD460C">
        <w:rPr>
          <w:lang w:val="en-GB"/>
        </w:rPr>
        <w:t xml:space="preserve"> systems put in place by the CTF have been improved over time and the most recent changes will address past shortcomings. Before any new changes </w:t>
      </w:r>
      <w:r w:rsidRPr="00AD460C">
        <w:rPr>
          <w:lang w:val="en-GB"/>
        </w:rPr>
        <w:lastRenderedPageBreak/>
        <w:t>are introduced the present selection process needs to be assessed during 2010. The cost to change is high and the administrative burden should be kept</w:t>
      </w:r>
      <w:r>
        <w:rPr>
          <w:lang w:val="en-GB"/>
        </w:rPr>
        <w:t xml:space="preserve"> as</w:t>
      </w:r>
      <w:r w:rsidRPr="00AD460C">
        <w:rPr>
          <w:lang w:val="en-GB"/>
        </w:rPr>
        <w:t xml:space="preserve"> low</w:t>
      </w:r>
      <w:r>
        <w:rPr>
          <w:lang w:val="en-GB"/>
        </w:rPr>
        <w:t xml:space="preserve"> as possible</w:t>
      </w:r>
      <w:r w:rsidRPr="00AD460C">
        <w:rPr>
          <w:lang w:val="en-GB"/>
        </w:rPr>
        <w:t>.</w:t>
      </w:r>
      <w:r>
        <w:rPr>
          <w:lang w:val="en-GB"/>
        </w:rPr>
        <w:t xml:space="preserve"> </w:t>
      </w:r>
      <w:r w:rsidRPr="00AD460C">
        <w:rPr>
          <w:lang w:val="en-GB"/>
        </w:rPr>
        <w:t xml:space="preserve"> </w:t>
      </w:r>
    </w:p>
    <w:p w:rsidR="008543B2" w:rsidRPr="00AD460C" w:rsidRDefault="008543B2" w:rsidP="008543B2">
      <w:pPr>
        <w:rPr>
          <w:lang w:val="en-GB"/>
        </w:rPr>
      </w:pPr>
      <w:r w:rsidRPr="00AD460C">
        <w:rPr>
          <w:lang w:val="en-GB"/>
        </w:rPr>
        <w:t>At an equally general level the effects and</w:t>
      </w:r>
      <w:r>
        <w:rPr>
          <w:lang w:val="en-GB"/>
        </w:rPr>
        <w:t xml:space="preserve"> impact of participation depend</w:t>
      </w:r>
      <w:r w:rsidRPr="00AD460C">
        <w:rPr>
          <w:lang w:val="en-GB"/>
        </w:rPr>
        <w:t xml:space="preserve"> very much on the institutional environment that the participants come from and return to. It is a truism that development cooperation is usually most effective where it is least needed. Some of the most significant changes at the level of national institutions and food safety documented in this review occurred in countries that graduated from the system and most often irrespective of CTF funding. However, there were also significant impacts in other countries, and the presence of clear national policies, institutional structures, networks between organisations, and other context specific factors, </w:t>
      </w:r>
      <w:r w:rsidR="00122CF0">
        <w:rPr>
          <w:lang w:val="en-GB"/>
        </w:rPr>
        <w:t>indicate</w:t>
      </w:r>
      <w:r w:rsidRPr="00AD460C">
        <w:rPr>
          <w:lang w:val="en-GB"/>
        </w:rPr>
        <w:t xml:space="preserve"> that participation in Codex meetings </w:t>
      </w:r>
      <w:r>
        <w:rPr>
          <w:lang w:val="en-GB"/>
        </w:rPr>
        <w:t>is</w:t>
      </w:r>
      <w:r w:rsidRPr="00AD460C">
        <w:rPr>
          <w:lang w:val="en-GB"/>
        </w:rPr>
        <w:t xml:space="preserve"> </w:t>
      </w:r>
      <w:r>
        <w:rPr>
          <w:lang w:val="en-GB"/>
        </w:rPr>
        <w:t>beneficial</w:t>
      </w:r>
      <w:r w:rsidRPr="00AD460C">
        <w:rPr>
          <w:lang w:val="en-GB"/>
        </w:rPr>
        <w:t xml:space="preserve">. </w:t>
      </w:r>
    </w:p>
    <w:p w:rsidR="008543B2" w:rsidRPr="00AD460C" w:rsidRDefault="008543B2" w:rsidP="008543B2">
      <w:pPr>
        <w:pStyle w:val="Heading2"/>
        <w:rPr>
          <w:lang w:val="en-GB"/>
        </w:rPr>
      </w:pPr>
      <w:bookmarkStart w:id="108" w:name="_Toc260389744"/>
      <w:r w:rsidRPr="00AD460C">
        <w:rPr>
          <w:lang w:val="en-GB"/>
        </w:rPr>
        <w:t>Efficiency</w:t>
      </w:r>
      <w:r w:rsidR="00122CF0">
        <w:rPr>
          <w:lang w:val="en-GB"/>
        </w:rPr>
        <w:t xml:space="preserve"> and Effectiveness</w:t>
      </w:r>
      <w:bookmarkEnd w:id="108"/>
    </w:p>
    <w:p w:rsidR="008543B2" w:rsidRPr="00AD460C" w:rsidRDefault="008543B2" w:rsidP="008543B2">
      <w:pPr>
        <w:rPr>
          <w:lang w:val="en-GB"/>
        </w:rPr>
      </w:pPr>
      <w:r w:rsidRPr="00AD460C">
        <w:rPr>
          <w:lang w:val="en-GB"/>
        </w:rPr>
        <w:t>The administrative costs</w:t>
      </w:r>
      <w:r>
        <w:rPr>
          <w:lang w:val="en-GB"/>
        </w:rPr>
        <w:t xml:space="preserve"> of the </w:t>
      </w:r>
      <w:r w:rsidRPr="00AD460C">
        <w:rPr>
          <w:lang w:val="en-GB"/>
        </w:rPr>
        <w:t xml:space="preserve">CTF </w:t>
      </w:r>
      <w:r w:rsidR="00122CF0">
        <w:rPr>
          <w:lang w:val="en-GB"/>
        </w:rPr>
        <w:t>help the Mid-term review assess</w:t>
      </w:r>
      <w:r w:rsidRPr="00AD460C">
        <w:rPr>
          <w:lang w:val="en-GB"/>
        </w:rPr>
        <w:t xml:space="preserve"> efficiency, but th</w:t>
      </w:r>
      <w:r w:rsidR="00122CF0">
        <w:rPr>
          <w:lang w:val="en-GB"/>
        </w:rPr>
        <w:t>e</w:t>
      </w:r>
      <w:r w:rsidRPr="00AD460C">
        <w:rPr>
          <w:lang w:val="en-GB"/>
        </w:rPr>
        <w:t xml:space="preserve"> ratio </w:t>
      </w:r>
      <w:r w:rsidR="00122CF0">
        <w:rPr>
          <w:lang w:val="en-GB"/>
        </w:rPr>
        <w:t xml:space="preserve">of costs to overall budget </w:t>
      </w:r>
      <w:r w:rsidRPr="00AD460C">
        <w:rPr>
          <w:lang w:val="en-GB"/>
        </w:rPr>
        <w:t xml:space="preserve">does not tell the entire story. The measure of efficiency should take into account the nature of the work done. </w:t>
      </w:r>
      <w:r>
        <w:rPr>
          <w:lang w:val="en-GB"/>
        </w:rPr>
        <w:t>Chapter</w:t>
      </w:r>
      <w:r w:rsidRPr="00AD460C">
        <w:rPr>
          <w:lang w:val="en-GB"/>
        </w:rPr>
        <w:t xml:space="preserve"> 5 showed the different steps in handling the application and approval process and the management of participation. It is a large number of decisions to take and steps to go through, and as we saw there are also “accidents” along the way. Compared to other programmes that involve similar steps, it seems that this programme is managed at lower cost than many others</w:t>
      </w:r>
      <w:r w:rsidR="00122CF0">
        <w:rPr>
          <w:rStyle w:val="FootnoteReference"/>
          <w:lang w:val="en-GB"/>
        </w:rPr>
        <w:footnoteReference w:id="18"/>
      </w:r>
      <w:r w:rsidRPr="00AD460C">
        <w:rPr>
          <w:lang w:val="en-GB"/>
        </w:rPr>
        <w:t>. In fact, the problem has rather been that the administrative costs have been too low and hence the quality of the processes has suffered and the effectiveness of the programme has been lower than it could have been. Efficiency and effectiveness are often contradictory values and doing something at the lowest possible cost can jeopardize the achievement of objectives an</w:t>
      </w:r>
      <w:r>
        <w:rPr>
          <w:lang w:val="en-GB"/>
        </w:rPr>
        <w:t xml:space="preserve">d the quality of the work done as </w:t>
      </w:r>
      <w:r w:rsidRPr="00AD460C">
        <w:rPr>
          <w:lang w:val="en-GB"/>
        </w:rPr>
        <w:t xml:space="preserve">was </w:t>
      </w:r>
      <w:r>
        <w:rPr>
          <w:lang w:val="en-GB"/>
        </w:rPr>
        <w:t>pointed out in past evaluations. The capacity</w:t>
      </w:r>
      <w:r w:rsidRPr="00AD460C">
        <w:rPr>
          <w:lang w:val="en-GB"/>
        </w:rPr>
        <w:t xml:space="preserve"> situation </w:t>
      </w:r>
      <w:r>
        <w:rPr>
          <w:lang w:val="en-GB"/>
        </w:rPr>
        <w:t xml:space="preserve">of the Secretariat </w:t>
      </w:r>
      <w:r w:rsidRPr="00AD460C">
        <w:rPr>
          <w:lang w:val="en-GB"/>
        </w:rPr>
        <w:t xml:space="preserve">has </w:t>
      </w:r>
      <w:r>
        <w:rPr>
          <w:lang w:val="en-GB"/>
        </w:rPr>
        <w:t xml:space="preserve">now </w:t>
      </w:r>
      <w:r w:rsidRPr="00AD460C">
        <w:rPr>
          <w:lang w:val="en-GB"/>
        </w:rPr>
        <w:t xml:space="preserve">been improved, as we have described in </w:t>
      </w:r>
      <w:r>
        <w:rPr>
          <w:lang w:val="en-GB"/>
        </w:rPr>
        <w:t>Chapter</w:t>
      </w:r>
      <w:r w:rsidRPr="00AD460C">
        <w:rPr>
          <w:lang w:val="en-GB"/>
        </w:rPr>
        <w:t xml:space="preserve"> 5. </w:t>
      </w:r>
    </w:p>
    <w:p w:rsidR="008543B2" w:rsidRPr="00AD460C" w:rsidRDefault="008543B2" w:rsidP="008543B2">
      <w:pPr>
        <w:rPr>
          <w:lang w:val="en-GB"/>
        </w:rPr>
      </w:pPr>
      <w:r w:rsidRPr="00AD460C">
        <w:rPr>
          <w:lang w:val="en-GB"/>
        </w:rPr>
        <w:t xml:space="preserve">Whether the objectives will be reached by the time the project comes to an end in 2016 remain to be seen. The first objective will certainly be reached and if the present capacity-building activities in relation to participation are strengthened and some new initiatives developed, such as twinning partnerships and regional coordination, the second objective could be reached. As we have not seen any initiatives to develop a systematic and comprehensive approach to the third objective, and as six years is a short period of time to develop a new approach, there is a danger that the third objective will not be fully reached. </w:t>
      </w:r>
    </w:p>
    <w:p w:rsidR="008543B2" w:rsidRPr="00AD460C" w:rsidRDefault="008543B2" w:rsidP="008543B2">
      <w:pPr>
        <w:pStyle w:val="Heading2"/>
        <w:rPr>
          <w:lang w:val="en-GB"/>
        </w:rPr>
      </w:pPr>
      <w:bookmarkStart w:id="109" w:name="_Toc260389745"/>
      <w:r w:rsidRPr="00AD460C">
        <w:rPr>
          <w:lang w:val="en-GB"/>
        </w:rPr>
        <w:t>Impact</w:t>
      </w:r>
      <w:bookmarkEnd w:id="109"/>
    </w:p>
    <w:p w:rsidR="008543B2" w:rsidRPr="00AD460C" w:rsidRDefault="008543B2" w:rsidP="008543B2">
      <w:pPr>
        <w:rPr>
          <w:lang w:val="en-GB"/>
        </w:rPr>
      </w:pPr>
      <w:r w:rsidRPr="00AD460C">
        <w:rPr>
          <w:lang w:val="en-GB"/>
        </w:rPr>
        <w:t>The evaluation has documented substantial changes in national Codex infrastructures and the food safety systems</w:t>
      </w:r>
      <w:r w:rsidR="003C1B51">
        <w:rPr>
          <w:lang w:val="en-GB"/>
        </w:rPr>
        <w:t xml:space="preserve"> over time</w:t>
      </w:r>
      <w:r w:rsidRPr="00AD460C">
        <w:rPr>
          <w:lang w:val="en-GB"/>
        </w:rPr>
        <w:t>. At times, these changes coincide with participation in Codex meetings. However, there are many factors that contribute to the ob</w:t>
      </w:r>
      <w:r>
        <w:rPr>
          <w:lang w:val="en-GB"/>
        </w:rPr>
        <w:t xml:space="preserve">served changes. Sometimes </w:t>
      </w:r>
      <w:r w:rsidRPr="00AD460C">
        <w:rPr>
          <w:lang w:val="en-GB"/>
        </w:rPr>
        <w:t xml:space="preserve">export industries drive the development of standards and certification, </w:t>
      </w:r>
      <w:r>
        <w:rPr>
          <w:lang w:val="en-GB"/>
        </w:rPr>
        <w:t xml:space="preserve">while at other times </w:t>
      </w:r>
      <w:r w:rsidRPr="00AD460C">
        <w:rPr>
          <w:lang w:val="en-GB"/>
        </w:rPr>
        <w:t xml:space="preserve">the social policies of governments. However, what is clear is that there </w:t>
      </w:r>
      <w:r>
        <w:rPr>
          <w:lang w:val="en-GB"/>
        </w:rPr>
        <w:t>is a need for</w:t>
      </w:r>
      <w:r w:rsidRPr="00AD460C">
        <w:rPr>
          <w:lang w:val="en-GB"/>
        </w:rPr>
        <w:t xml:space="preserve"> strong stakeholders who see the benefits of food safety systems.</w:t>
      </w:r>
      <w:r w:rsidR="00122CF0">
        <w:rPr>
          <w:lang w:val="en-GB"/>
        </w:rPr>
        <w:t xml:space="preserve"> S</w:t>
      </w:r>
      <w:r w:rsidRPr="00AD460C">
        <w:rPr>
          <w:lang w:val="en-GB"/>
        </w:rPr>
        <w:t xml:space="preserve">uch interests can come from many directions. Bilateral and multilateral development cooperation often play a part, and in the countries visited in the course of the evaluation there were many examples of technical cooperation programmes, at times duplicating each other and at other times supplementing each other. The evidence from our country visits shows that the participation in meetings has been seen as a useful supplement to other activities. The CTF has financed a small element in the total Codex work at country level, but one which it was often difficult to find other financial resources for. This provided an incentive for other activities and brought intellectual inputs, networking </w:t>
      </w:r>
      <w:r w:rsidRPr="00AD460C">
        <w:rPr>
          <w:lang w:val="en-GB"/>
        </w:rPr>
        <w:lastRenderedPageBreak/>
        <w:t xml:space="preserve">opportunities, stronger regional collaboration. The participation in meetings can be described as catalytic and it contributed to the changes and the development of the institutional framework </w:t>
      </w:r>
      <w:r>
        <w:rPr>
          <w:lang w:val="en-GB"/>
        </w:rPr>
        <w:t>related to</w:t>
      </w:r>
      <w:r w:rsidRPr="00AD460C">
        <w:rPr>
          <w:lang w:val="en-GB"/>
        </w:rPr>
        <w:t xml:space="preserve"> Codex Alimentarius at country and regional levels. </w:t>
      </w:r>
    </w:p>
    <w:p w:rsidR="008543B2" w:rsidRPr="00AD460C" w:rsidRDefault="008543B2" w:rsidP="008543B2">
      <w:pPr>
        <w:pStyle w:val="Heading2"/>
        <w:rPr>
          <w:lang w:val="en-GB"/>
        </w:rPr>
      </w:pPr>
      <w:bookmarkStart w:id="110" w:name="_Toc260389746"/>
      <w:r w:rsidRPr="00AD460C">
        <w:rPr>
          <w:lang w:val="en-GB"/>
        </w:rPr>
        <w:t>Sustainability</w:t>
      </w:r>
      <w:bookmarkEnd w:id="110"/>
    </w:p>
    <w:p w:rsidR="008543B2" w:rsidRPr="00AD460C" w:rsidRDefault="008543B2" w:rsidP="008543B2">
      <w:pPr>
        <w:spacing w:after="120"/>
        <w:rPr>
          <w:lang w:val="en-GB"/>
        </w:rPr>
      </w:pPr>
      <w:r w:rsidRPr="00AD460C">
        <w:rPr>
          <w:lang w:val="en-GB"/>
        </w:rPr>
        <w:t xml:space="preserve">It is important to be clear about what exactly it is that could be sustained when a programme is analysed. The CTF is expected to generate three outputs; increased participation, strengthened participation and scientific evidence from developing countries (for brief). Can these outputs be sustained? The evidence gathered through country visits, surveys and interviews </w:t>
      </w:r>
      <w:r>
        <w:rPr>
          <w:lang w:val="en-GB"/>
        </w:rPr>
        <w:t>give some indications</w:t>
      </w:r>
      <w:r w:rsidRPr="00AD460C">
        <w:rPr>
          <w:lang w:val="en-GB"/>
        </w:rPr>
        <w:t>;</w:t>
      </w:r>
    </w:p>
    <w:p w:rsidR="00122CF0" w:rsidRDefault="008543B2" w:rsidP="00122CF0">
      <w:pPr>
        <w:pStyle w:val="ListParagraph"/>
        <w:numPr>
          <w:ilvl w:val="0"/>
          <w:numId w:val="27"/>
        </w:numPr>
        <w:spacing w:after="0"/>
        <w:rPr>
          <w:lang w:val="en-GB"/>
        </w:rPr>
      </w:pPr>
      <w:r w:rsidRPr="00AD460C">
        <w:rPr>
          <w:lang w:val="en-GB"/>
        </w:rPr>
        <w:t>The level of participation achieved through CTF financing may be difficult to sustain, at least for small low income and some transition economies, even though the first real test will come when a large group of LDCs graduate in 2011. At the same time, even some of the poorest countries have been able</w:t>
      </w:r>
      <w:r>
        <w:rPr>
          <w:lang w:val="en-GB"/>
        </w:rPr>
        <w:t xml:space="preserve"> to fund participation from non-</w:t>
      </w:r>
      <w:r w:rsidRPr="00AD460C">
        <w:rPr>
          <w:lang w:val="en-GB"/>
        </w:rPr>
        <w:t xml:space="preserve">CTF sources </w:t>
      </w:r>
      <w:r>
        <w:rPr>
          <w:lang w:val="en-GB"/>
        </w:rPr>
        <w:t xml:space="preserve">in parallel with seeking CTF funding and </w:t>
      </w:r>
      <w:r w:rsidRPr="00AD460C">
        <w:rPr>
          <w:lang w:val="en-GB"/>
        </w:rPr>
        <w:t xml:space="preserve">when required by the graduation process. </w:t>
      </w:r>
      <w:r w:rsidRPr="00EE347A">
        <w:rPr>
          <w:lang w:val="en-GB"/>
        </w:rPr>
        <w:t xml:space="preserve">Strengthened participation could be sustained. There are institutional changes that have been catalysed by the CTF in some countries, such as the establishment of NCCs, which are unlikely to </w:t>
      </w:r>
      <w:r w:rsidR="00813853" w:rsidRPr="00813853">
        <w:rPr>
          <w:lang w:val="en-GB"/>
        </w:rPr>
        <w:t>just evaporate after graduation. Capacities ha</w:t>
      </w:r>
      <w:r w:rsidR="005431E4">
        <w:rPr>
          <w:lang w:val="en-GB"/>
        </w:rPr>
        <w:t>ve</w:t>
      </w:r>
      <w:r w:rsidR="00813853" w:rsidRPr="00813853">
        <w:rPr>
          <w:lang w:val="en-GB"/>
        </w:rPr>
        <w:t xml:space="preserve"> been strengthened at the individual level; the knowledge gained through the training programmes, the possibility to update with web-based training material, the experiences gained through participation – all these are immaterial assets that rest in the minds of persons. There is no financial issue involved in this</w:t>
      </w:r>
      <w:r w:rsidR="00122CF0">
        <w:rPr>
          <w:lang w:val="en-GB"/>
        </w:rPr>
        <w:t>.</w:t>
      </w:r>
    </w:p>
    <w:p w:rsidR="00E4655B" w:rsidRDefault="008543B2">
      <w:pPr>
        <w:pStyle w:val="ListParagraph"/>
        <w:numPr>
          <w:ilvl w:val="0"/>
          <w:numId w:val="27"/>
        </w:numPr>
        <w:spacing w:before="0"/>
        <w:rPr>
          <w:lang w:val="en-GB"/>
        </w:rPr>
      </w:pPr>
      <w:r w:rsidRPr="00122CF0">
        <w:rPr>
          <w:lang w:val="en-GB"/>
        </w:rPr>
        <w:t xml:space="preserve">As there has not been much progress in respect of the third output, there is no question of sustainability to address. In cases where progress actually occurred, the issue of sustainability could be analysed using a mix of the two first arguments. </w:t>
      </w:r>
    </w:p>
    <w:p w:rsidR="008543B2" w:rsidRPr="00AD460C" w:rsidRDefault="008543B2" w:rsidP="008543B2">
      <w:pPr>
        <w:rPr>
          <w:lang w:val="en-GB"/>
        </w:rPr>
      </w:pPr>
      <w:r w:rsidRPr="00AD460C">
        <w:rPr>
          <w:lang w:val="en-GB"/>
        </w:rPr>
        <w:t xml:space="preserve">The more important question is to what extent the changes in food safety systems (the impact) are sustainable? There are different threats to sustainability in respect of the different forms of impact. We analysed national policies and described how there were new policies developed and how countries adapted standards. The evaluation argued that such changes are sustained as they are part of the political and institutional landscape of countries; they are not dependent on foreign funding. Looking at the institutional landscape, the changes are considerable; they have to a large extent been endogenous and seldom can bilateral or multilateral development cooperation be credited with anything but marginal contribution to these developments. That also means the changes are sustainable as the costs have been within the budgets of the countries and their institutions (private and public). Very few structures dependent </w:t>
      </w:r>
      <w:r>
        <w:rPr>
          <w:lang w:val="en-GB"/>
        </w:rPr>
        <w:t xml:space="preserve">on external support and funding </w:t>
      </w:r>
      <w:r w:rsidRPr="00AD460C">
        <w:rPr>
          <w:lang w:val="en-GB"/>
        </w:rPr>
        <w:t xml:space="preserve">have been </w:t>
      </w:r>
      <w:r>
        <w:rPr>
          <w:lang w:val="en-GB"/>
        </w:rPr>
        <w:t>observed during this evaluation.</w:t>
      </w:r>
      <w:r w:rsidRPr="00AD460C">
        <w:rPr>
          <w:lang w:val="en-GB"/>
        </w:rPr>
        <w:t xml:space="preserve"> </w:t>
      </w:r>
    </w:p>
    <w:p w:rsidR="008543B2" w:rsidRPr="00AD460C" w:rsidRDefault="008543B2" w:rsidP="008543B2">
      <w:pPr>
        <w:pStyle w:val="Heading2"/>
        <w:rPr>
          <w:lang w:val="en-GB"/>
        </w:rPr>
      </w:pPr>
      <w:bookmarkStart w:id="111" w:name="_Toc260389747"/>
      <w:r w:rsidRPr="00AD460C">
        <w:rPr>
          <w:lang w:val="en-GB"/>
        </w:rPr>
        <w:t>Project management</w:t>
      </w:r>
      <w:bookmarkEnd w:id="111"/>
    </w:p>
    <w:p w:rsidR="008543B2" w:rsidRPr="00AD460C" w:rsidRDefault="008543B2" w:rsidP="008543B2">
      <w:pPr>
        <w:rPr>
          <w:lang w:val="en-GB"/>
        </w:rPr>
      </w:pPr>
      <w:r w:rsidRPr="00AD460C">
        <w:rPr>
          <w:lang w:val="en-GB"/>
        </w:rPr>
        <w:t xml:space="preserve">This evaluation as well as past </w:t>
      </w:r>
      <w:r w:rsidR="005D63EA">
        <w:rPr>
          <w:lang w:val="en-GB"/>
        </w:rPr>
        <w:t>external reviews</w:t>
      </w:r>
      <w:r w:rsidR="005D63EA" w:rsidRPr="00AD460C">
        <w:rPr>
          <w:lang w:val="en-GB"/>
        </w:rPr>
        <w:t xml:space="preserve"> </w:t>
      </w:r>
      <w:r w:rsidRPr="00AD460C">
        <w:rPr>
          <w:lang w:val="en-GB"/>
        </w:rPr>
        <w:t xml:space="preserve">unanimously identified that staff resources were not adequate to ensure the quality of work during the first five years of the CTF, but the situation has improved with recent increases in staff resources. </w:t>
      </w:r>
      <w:r>
        <w:rPr>
          <w:lang w:val="en-GB"/>
        </w:rPr>
        <w:t>T</w:t>
      </w:r>
      <w:r w:rsidRPr="00AD460C">
        <w:rPr>
          <w:lang w:val="en-GB"/>
        </w:rPr>
        <w:t xml:space="preserve">he major part of the managerial systems with its procedures for applications and decision-making has been built up to cater for activities leading to the first output. This evaluation suggests </w:t>
      </w:r>
      <w:r>
        <w:rPr>
          <w:lang w:val="en-GB"/>
        </w:rPr>
        <w:t>focusing more on</w:t>
      </w:r>
      <w:r w:rsidRPr="00AD460C">
        <w:rPr>
          <w:lang w:val="en-GB"/>
        </w:rPr>
        <w:t xml:space="preserve"> addressing the second and third outputs and objectives of the CTF</w:t>
      </w:r>
      <w:r>
        <w:rPr>
          <w:lang w:val="en-GB"/>
        </w:rPr>
        <w:t xml:space="preserve">. </w:t>
      </w:r>
      <w:r w:rsidRPr="00AD460C">
        <w:rPr>
          <w:lang w:val="en-GB"/>
        </w:rPr>
        <w:t xml:space="preserve">The present staff resources may need to be increased </w:t>
      </w:r>
      <w:r>
        <w:rPr>
          <w:lang w:val="en-GB"/>
        </w:rPr>
        <w:t xml:space="preserve">even further </w:t>
      </w:r>
      <w:r w:rsidRPr="00AD460C">
        <w:rPr>
          <w:lang w:val="en-GB"/>
        </w:rPr>
        <w:t xml:space="preserve">in order to address all three objectives effectively. </w:t>
      </w:r>
    </w:p>
    <w:p w:rsidR="008543B2" w:rsidRPr="00AD460C" w:rsidRDefault="008543B2" w:rsidP="008543B2">
      <w:pPr>
        <w:rPr>
          <w:lang w:val="en-GB"/>
        </w:rPr>
      </w:pPr>
      <w:r w:rsidRPr="00AD460C">
        <w:rPr>
          <w:lang w:val="en-GB"/>
        </w:rPr>
        <w:t xml:space="preserve">There is an exchange of information between the CTF Secretariat, FAO, WHO and the Codex Alimentarius Secretariat and the contacts between organisations function well and are to some extent institutionalised. However, effective coordination requires that there is detailed information available on activities at country level, with budgets of projects etc. While the CTF </w:t>
      </w:r>
      <w:r w:rsidRPr="00AD460C">
        <w:rPr>
          <w:lang w:val="en-GB"/>
        </w:rPr>
        <w:lastRenderedPageBreak/>
        <w:t xml:space="preserve">has detailed information available, not all of the other organisations do and that makes coordination more difficult. </w:t>
      </w:r>
    </w:p>
    <w:p w:rsidR="008543B2" w:rsidRPr="00AD460C" w:rsidRDefault="008543B2" w:rsidP="008543B2">
      <w:pPr>
        <w:rPr>
          <w:lang w:val="en-GB"/>
        </w:rPr>
      </w:pPr>
      <w:r w:rsidRPr="00AD460C">
        <w:rPr>
          <w:lang w:val="en-GB"/>
        </w:rPr>
        <w:t>The criteria for country groupings and the criteria for financial resource allocations are clear and transparent. However, they build on macroeconomic indicators that are contested and some claim that the indicators are not valid instruments when it comes to taking decisions on needs for CTF funding. The country groupings and resource allocation system are systematic and comprehensive and a majority of those whom we interviewed among donor countries and during country visits are in favour of the present systems. There is still a substantial m</w:t>
      </w:r>
      <w:r>
        <w:rPr>
          <w:lang w:val="en-GB"/>
        </w:rPr>
        <w:t>inority who question the system</w:t>
      </w:r>
      <w:r w:rsidRPr="00AD460C">
        <w:rPr>
          <w:lang w:val="en-GB"/>
        </w:rPr>
        <w:t xml:space="preserve"> and though they are transparent find them less than fair and not valid.</w:t>
      </w:r>
      <w:r>
        <w:rPr>
          <w:lang w:val="en-GB"/>
        </w:rPr>
        <w:t xml:space="preserve"> No alternative allocation criteria have been proposed during the evaluation, but the focus on the poorest and most vulnerable countries is </w:t>
      </w:r>
      <w:r w:rsidR="005431E4">
        <w:rPr>
          <w:lang w:val="en-GB"/>
        </w:rPr>
        <w:t>in line with the policies for development cooperation of the donor organisations</w:t>
      </w:r>
      <w:r>
        <w:rPr>
          <w:lang w:val="en-GB"/>
        </w:rPr>
        <w:t>.</w:t>
      </w:r>
      <w:r w:rsidRPr="00AD460C">
        <w:rPr>
          <w:lang w:val="en-GB"/>
        </w:rPr>
        <w:t xml:space="preserve"> </w:t>
      </w:r>
    </w:p>
    <w:p w:rsidR="008543B2" w:rsidRPr="00AD460C" w:rsidRDefault="008543B2" w:rsidP="008543B2">
      <w:pPr>
        <w:rPr>
          <w:lang w:val="en-GB"/>
        </w:rPr>
      </w:pPr>
      <w:r w:rsidRPr="00AD460C">
        <w:rPr>
          <w:lang w:val="en-GB"/>
        </w:rPr>
        <w:t xml:space="preserve">The CTF Secretariat has been able to </w:t>
      </w:r>
      <w:r>
        <w:rPr>
          <w:lang w:val="en-GB"/>
        </w:rPr>
        <w:t>increase</w:t>
      </w:r>
      <w:r w:rsidRPr="00AD460C">
        <w:rPr>
          <w:lang w:val="en-GB"/>
        </w:rPr>
        <w:t xml:space="preserve"> the contribution from donor countries considerably over the past 6 years. Developing and implementing marketing and fundraising strategies is one of the six priority areas for action in the strategic plan of the CTF. It is a difficult task as aid volumes are going down globally in the wake of the financial crisis and it may take many years before they reach the levels that prevailed before the crisis. Would it have been possible to raise more funds? The evaluation cannot tell, but in light of the increasing competition and overall shortage of funding opportunities, the outcome of the activities must be considered</w:t>
      </w:r>
      <w:r>
        <w:rPr>
          <w:lang w:val="en-GB"/>
        </w:rPr>
        <w:t xml:space="preserve"> </w:t>
      </w:r>
      <w:r w:rsidR="00216460">
        <w:rPr>
          <w:lang w:val="en-GB"/>
        </w:rPr>
        <w:t xml:space="preserve">as </w:t>
      </w:r>
      <w:r w:rsidRPr="00AD460C">
        <w:rPr>
          <w:lang w:val="en-GB"/>
        </w:rPr>
        <w:t xml:space="preserve">quite good. </w:t>
      </w:r>
    </w:p>
    <w:p w:rsidR="00AD460C" w:rsidRPr="00AD460C" w:rsidRDefault="00AD460C" w:rsidP="00AD460C">
      <w:pPr>
        <w:pStyle w:val="Heading2"/>
        <w:rPr>
          <w:lang w:val="en-GB"/>
        </w:rPr>
      </w:pPr>
      <w:bookmarkStart w:id="112" w:name="_Toc260389748"/>
      <w:r w:rsidRPr="00AD460C">
        <w:rPr>
          <w:lang w:val="en-GB"/>
        </w:rPr>
        <w:t>Recommendations</w:t>
      </w:r>
      <w:bookmarkEnd w:id="112"/>
    </w:p>
    <w:p w:rsidR="007D25C7" w:rsidRDefault="007D25C7" w:rsidP="007D25C7">
      <w:pPr>
        <w:rPr>
          <w:lang w:val="en-GB"/>
        </w:rPr>
      </w:pPr>
      <w:r w:rsidRPr="002C2778">
        <w:rPr>
          <w:lang w:val="en-US"/>
        </w:rPr>
        <w:t xml:space="preserve">The focus of this review has been on outcomes and impact and we have spent most of our time on the critical and evaluative analysis of that. Most of the recommendations presented here are solidly based on this analysis. However, we would like to note that other recommendations are of a different nature. What we indicate there does not come out of the empirical findings. There is no data that suggests, for example, how to develop monitoring and evaluation systems. The evaluative evidence is that the efforts are adequate and have provided useful information in the past. Our suggestions for the future come from our own work in evaluation, our experiences, our approach and our thinking on what might be useful for CTF. </w:t>
      </w:r>
      <w:r w:rsidRPr="0050637B">
        <w:rPr>
          <w:lang w:val="en-US"/>
        </w:rPr>
        <w:t xml:space="preserve">Evaluation is a contested field of practice and there are different schools of thought in for example, the </w:t>
      </w:r>
      <w:r>
        <w:rPr>
          <w:lang w:val="en-US"/>
        </w:rPr>
        <w:t>“</w:t>
      </w:r>
      <w:r w:rsidRPr="0050637B">
        <w:rPr>
          <w:lang w:val="en-US"/>
        </w:rPr>
        <w:t>evidence movement</w:t>
      </w:r>
      <w:r>
        <w:rPr>
          <w:rStyle w:val="FootnoteReference"/>
          <w:lang w:val="en-US"/>
        </w:rPr>
        <w:footnoteReference w:id="19"/>
      </w:r>
      <w:r>
        <w:rPr>
          <w:lang w:val="en-US"/>
        </w:rPr>
        <w:t>”</w:t>
      </w:r>
      <w:r w:rsidRPr="0050637B">
        <w:rPr>
          <w:lang w:val="en-US"/>
        </w:rPr>
        <w:t xml:space="preserve">, among participatory evaluation practitioners, program theory evaluators, etc. </w:t>
      </w:r>
      <w:r w:rsidRPr="002C2778">
        <w:rPr>
          <w:lang w:val="en-US"/>
        </w:rPr>
        <w:t xml:space="preserve">Our own approach comes closest to what is usually termed the ”realist synthesis”. With this we would just like to say that in those areas of recommendations where the substance of proposals do not build on findings, other evaluators or other consultants could have come up with other ideas.  </w:t>
      </w:r>
    </w:p>
    <w:p w:rsidR="007D25C7" w:rsidRDefault="007D25C7" w:rsidP="007D25C7">
      <w:pPr>
        <w:pStyle w:val="Heading3"/>
        <w:rPr>
          <w:lang w:val="en-GB"/>
        </w:rPr>
      </w:pPr>
      <w:r>
        <w:rPr>
          <w:lang w:val="en-GB"/>
        </w:rPr>
        <w:t>Recommendation 1. Focus on outputs 2 and 3</w:t>
      </w:r>
    </w:p>
    <w:p w:rsidR="007D25C7" w:rsidRDefault="007D25C7" w:rsidP="007D25C7">
      <w:pPr>
        <w:rPr>
          <w:lang w:val="en-GB"/>
        </w:rPr>
      </w:pPr>
      <w:r>
        <w:rPr>
          <w:lang w:val="en-GB"/>
        </w:rPr>
        <w:t xml:space="preserve">The emphasis on increasing participation (output 1) during the first half of CTF’s lifespan made sense. It was a concrete and rapid way to involve more countries in Codex activities. Most stakeholders agree that participation is a core function of the CTF, while acknowledging that all three outputs remain valid in order to enhance the quality of participation. This report does not propose any changes in the objectives of the CTF. Instead, there is a clear need to balance the activities of the CTF and put more emphasis on outputs 2 and 3. </w:t>
      </w:r>
    </w:p>
    <w:p w:rsidR="007D25C7" w:rsidRDefault="007D25C7" w:rsidP="007D25C7">
      <w:pPr>
        <w:rPr>
          <w:lang w:val="en-GB"/>
        </w:rPr>
      </w:pPr>
      <w:r>
        <w:rPr>
          <w:lang w:val="en-GB"/>
        </w:rPr>
        <w:t xml:space="preserve">There are two major challenges in doing so. First, this report has pointed to the richness of national institutions even in countries normally considered to have less developed institutional frameworks and the extent to which the evolution of these institutions are dependent on national </w:t>
      </w:r>
      <w:r>
        <w:rPr>
          <w:lang w:val="en-GB"/>
        </w:rPr>
        <w:lastRenderedPageBreak/>
        <w:t>factors and a variety of external support. In this context it is vital that the CTF finds a clear focus to provide value-added and works with partners. This is a challenge since the more the CTF moves away from funding participation and to supporting capacity building, the higher is the risk of overlapping activities of other agencies. Second</w:t>
      </w:r>
      <w:r w:rsidR="00216460">
        <w:rPr>
          <w:lang w:val="en-GB"/>
        </w:rPr>
        <w:t>,</w:t>
      </w:r>
      <w:r>
        <w:rPr>
          <w:lang w:val="en-GB"/>
        </w:rPr>
        <w:t xml:space="preserve"> a stronger focus on capacity building would entail a fundamental change in the management of the CTF and the allocation of its resources. It would no longer primarily be a service unit geared to repetitive administration of </w:t>
      </w:r>
      <w:r w:rsidR="00216460">
        <w:rPr>
          <w:lang w:val="en-GB"/>
        </w:rPr>
        <w:t>travel;</w:t>
      </w:r>
      <w:r>
        <w:rPr>
          <w:lang w:val="en-GB"/>
        </w:rPr>
        <w:t xml:space="preserve"> it would need to dedicate more resources and capacity to larger and more substantive efforts in collaboration with other actors. </w:t>
      </w:r>
    </w:p>
    <w:p w:rsidR="007D25C7" w:rsidRDefault="007D25C7" w:rsidP="007D25C7">
      <w:pPr>
        <w:rPr>
          <w:lang w:val="en-GB"/>
        </w:rPr>
      </w:pPr>
      <w:r>
        <w:rPr>
          <w:lang w:val="en-GB"/>
        </w:rPr>
        <w:t xml:space="preserve">So what is the comparative advantage of the CTF, which would help it to find a way to address outputs 2 and 3? There may be others, but this report would like to highlight three strengths. On the demand side, the CTF has privileged and on-going dialogue with and knowledge about national CCPs and their respective institutional settings. On the supply-side, the CTF has the mandate and the financial and intellectual autonomy to address the needs of countries with difficulties participating in Codex. At the same time it is firmly linked up with its sponsoring organisations – FAO and WHO. These issues have implications for the subsequent recommendations. Finally, CTF has a transparent administration showing what it does and how the resources are used, and it can be held accountable by virtue of its comparatively strong monitoring and evaluation activities. </w:t>
      </w:r>
    </w:p>
    <w:p w:rsidR="007D25C7" w:rsidRPr="0050637B" w:rsidRDefault="007D25C7" w:rsidP="007D25C7">
      <w:pPr>
        <w:pStyle w:val="Heading3"/>
        <w:rPr>
          <w:lang w:val="en-US"/>
        </w:rPr>
      </w:pPr>
      <w:r w:rsidRPr="0050637B">
        <w:rPr>
          <w:lang w:val="en-US"/>
        </w:rPr>
        <w:t>Recommen</w:t>
      </w:r>
      <w:r>
        <w:rPr>
          <w:lang w:val="en-US"/>
        </w:rPr>
        <w:t>d</w:t>
      </w:r>
      <w:r w:rsidRPr="0050637B">
        <w:rPr>
          <w:lang w:val="en-US"/>
        </w:rPr>
        <w:t xml:space="preserve">ation 2. </w:t>
      </w:r>
      <w:r>
        <w:rPr>
          <w:lang w:val="en-US"/>
        </w:rPr>
        <w:t>A</w:t>
      </w:r>
      <w:r w:rsidRPr="0050637B">
        <w:rPr>
          <w:lang w:val="en-US"/>
        </w:rPr>
        <w:t>llocat</w:t>
      </w:r>
      <w:r>
        <w:rPr>
          <w:lang w:val="en-US"/>
        </w:rPr>
        <w:t>e</w:t>
      </w:r>
      <w:r w:rsidRPr="0050637B">
        <w:rPr>
          <w:lang w:val="en-US"/>
        </w:rPr>
        <w:t xml:space="preserve"> funds </w:t>
      </w:r>
      <w:r>
        <w:rPr>
          <w:lang w:val="en-US"/>
        </w:rPr>
        <w:t xml:space="preserve">to countries most in need </w:t>
      </w:r>
    </w:p>
    <w:p w:rsidR="007D25C7" w:rsidRDefault="007D25C7" w:rsidP="007D25C7">
      <w:pPr>
        <w:rPr>
          <w:lang w:val="en-US"/>
        </w:rPr>
      </w:pPr>
      <w:r w:rsidRPr="001C4459">
        <w:rPr>
          <w:lang w:val="en-US"/>
        </w:rPr>
        <w:t xml:space="preserve">One of the forces of the CTF has been the universal coverage of support, giving access to countries that normally would not be able to benefit from financial support for participation. The graduation mechanism put in place has gradually shifted the focus of support to lower income and vulnerable economies. </w:t>
      </w:r>
      <w:r>
        <w:rPr>
          <w:lang w:val="en-US"/>
        </w:rPr>
        <w:t>As the surveys and interviews show, this seems to be approved by most donors and benefitting countries. It also rimes well with the current poverty focus of international development cooperation. So far there does not seem to be a dramatic systematic drop in participation of graduated countries and even the LDCs have been able to access non-CTF funding.</w:t>
      </w:r>
      <w:r w:rsidRPr="0043774B">
        <w:rPr>
          <w:lang w:val="en-US"/>
        </w:rPr>
        <w:t xml:space="preserve"> </w:t>
      </w:r>
      <w:r>
        <w:rPr>
          <w:lang w:val="en-US"/>
        </w:rPr>
        <w:t xml:space="preserve">In 2010, countries in group 1 will start graduating, why we strongly propose that </w:t>
      </w:r>
      <w:r w:rsidRPr="00852A06">
        <w:rPr>
          <w:lang w:val="en-US"/>
        </w:rPr>
        <w:t xml:space="preserve">the CTF Secretariat and the Consultative Group explore options as regards monitoring of participation and potential corrective action should participation drop dramatically in 2011. </w:t>
      </w:r>
      <w:r>
        <w:rPr>
          <w:lang w:val="en-US"/>
        </w:rPr>
        <w:t xml:space="preserve"> </w:t>
      </w:r>
    </w:p>
    <w:p w:rsidR="007D25C7" w:rsidRDefault="007D25C7" w:rsidP="007D25C7">
      <w:pPr>
        <w:pStyle w:val="Heading3"/>
        <w:rPr>
          <w:lang w:val="en-US"/>
        </w:rPr>
      </w:pPr>
      <w:r>
        <w:rPr>
          <w:lang w:val="en-US"/>
        </w:rPr>
        <w:t>Recommendation 3. Engage other countries in project activities</w:t>
      </w:r>
    </w:p>
    <w:p w:rsidR="007D25C7" w:rsidRDefault="007D25C7" w:rsidP="007D25C7">
      <w:pPr>
        <w:rPr>
          <w:lang w:val="en-US"/>
        </w:rPr>
      </w:pPr>
      <w:r>
        <w:rPr>
          <w:lang w:val="en-US"/>
        </w:rPr>
        <w:t xml:space="preserve">The allocation mechanism will also have to adapt to an increased focus on capacity building activities. When organizing sub-regional and even national workshops and activities it will be harder to maintain equal distribution of resources. As has also rightly been pointed out by critics of the current allocation system, capacity building activities are most urgently needed in the countries with the lowest levels of institutional capacity. At the same time there may be activities of a “public goods” character that may be beneficial to (and should be open to) all countries, such as the workshops organized back to back to regional committees. </w:t>
      </w:r>
    </w:p>
    <w:p w:rsidR="007D25C7" w:rsidRDefault="007D25C7" w:rsidP="007D25C7">
      <w:pPr>
        <w:rPr>
          <w:lang w:val="en-US"/>
        </w:rPr>
      </w:pPr>
      <w:r>
        <w:rPr>
          <w:lang w:val="en-GB"/>
        </w:rPr>
        <w:t xml:space="preserve">Stronger focus on the countries with most needs should not entail exclusion of formerly eligible countries. </w:t>
      </w:r>
      <w:r>
        <w:rPr>
          <w:lang w:val="en-US"/>
        </w:rPr>
        <w:t xml:space="preserve">A way to compensate for a stronger focus on the most vulnerable countries would be to actively stimulate the engagement and contribution of countries with more advanced food safety structures. </w:t>
      </w:r>
      <w:r>
        <w:rPr>
          <w:lang w:val="en-GB"/>
        </w:rPr>
        <w:t xml:space="preserve">There are great opportunities to draw on the expertise of e.g. middle-income countries in CTF activities, such as training and mentoring programmes. </w:t>
      </w:r>
      <w:r>
        <w:rPr>
          <w:lang w:val="en-US"/>
        </w:rPr>
        <w:t xml:space="preserve">This could be done by promoting sub-regional networking, using the expertise of such countries in training activities and engaging these countries in mentoring programmes. This would also be a way to allay fears of donor countries trying to influence the Codex agenda through aid. The CTF itself may also need to seek ways to safeguard its privileged continuous dialogue with national CCPs, which, as was highlighted above, constitute one of its core strengths and ‘raison d’être’. </w:t>
      </w:r>
    </w:p>
    <w:p w:rsidR="007D25C7" w:rsidRPr="00832554" w:rsidRDefault="007D25C7" w:rsidP="007D25C7">
      <w:pPr>
        <w:pStyle w:val="Heading3"/>
        <w:rPr>
          <w:lang w:val="en-US"/>
        </w:rPr>
      </w:pPr>
      <w:r>
        <w:rPr>
          <w:lang w:val="en-US"/>
        </w:rPr>
        <w:lastRenderedPageBreak/>
        <w:t>Recommendation 4. Apply stringent application procedures</w:t>
      </w:r>
    </w:p>
    <w:p w:rsidR="007D25C7" w:rsidRDefault="007D25C7" w:rsidP="007D25C7">
      <w:pPr>
        <w:rPr>
          <w:lang w:val="en-GB"/>
        </w:rPr>
      </w:pPr>
      <w:r w:rsidRPr="00734192">
        <w:rPr>
          <w:lang w:val="en-GB"/>
        </w:rPr>
        <w:t xml:space="preserve">The outcome of the graduation </w:t>
      </w:r>
      <w:r>
        <w:rPr>
          <w:lang w:val="en-GB"/>
        </w:rPr>
        <w:t>of the countries in group 1 will provide more data on the effects of graduation than is currently available. However, it is not unreasonable to assume that participation will fall for a number of graduated countries. Any criteria to support these countries will have to balance addressing needs and providing a ‘just’ allocation of resources, while at the same time stimulating countries to fund participation from national resources in a sustainable manner. Simply providing funds to countries that stop participating when they graduate run the risk of creating adverse incentives.</w:t>
      </w:r>
    </w:p>
    <w:p w:rsidR="007D25C7" w:rsidRPr="00743404" w:rsidRDefault="007D25C7" w:rsidP="007D25C7">
      <w:pPr>
        <w:rPr>
          <w:lang w:val="en-GB"/>
        </w:rPr>
      </w:pPr>
      <w:r>
        <w:rPr>
          <w:lang w:val="en-GB"/>
        </w:rPr>
        <w:t xml:space="preserve">As has been discussed elsewhere in this report </w:t>
      </w:r>
      <w:r w:rsidRPr="007E0FB6">
        <w:rPr>
          <w:lang w:val="en-GB"/>
        </w:rPr>
        <w:t>country circumstances are complex and variable</w:t>
      </w:r>
      <w:r>
        <w:rPr>
          <w:lang w:val="en-GB"/>
        </w:rPr>
        <w:t xml:space="preserve">, why systematic needs assessments based on a set of criteria would be very resource demanding. Another extreme would be to rely purely on applications for funding that would be considered on a case-by-base basis. This would not provide sufficient focus on the more vulnerable countries. One way forward could be to focus support on the group that normally would be most in need, the LDCs (group 1a), supplemented by a selection of small island states and countries. These countries could be sponsored with a limited number of participants subject to submission of a rigorous application. The CTF could keep in constant dialogue with these countries to stimulate applications and ensuring their quality much as today. This would be a way to capacitate the national CCPs and keep </w:t>
      </w:r>
      <w:r w:rsidR="00AB6E40">
        <w:rPr>
          <w:lang w:val="en-GB"/>
        </w:rPr>
        <w:t>leverage</w:t>
      </w:r>
      <w:r>
        <w:rPr>
          <w:lang w:val="en-GB"/>
        </w:rPr>
        <w:t xml:space="preserve"> on institutional development in these countries. These countries would have to submit to the application procedures, </w:t>
      </w:r>
      <w:r w:rsidR="00AB6E40">
        <w:rPr>
          <w:lang w:val="en-GB"/>
        </w:rPr>
        <w:t>which</w:t>
      </w:r>
      <w:r>
        <w:rPr>
          <w:lang w:val="en-GB"/>
        </w:rPr>
        <w:t xml:space="preserve"> could be even fur</w:t>
      </w:r>
      <w:r w:rsidR="00AB6E40">
        <w:rPr>
          <w:lang w:val="en-GB"/>
        </w:rPr>
        <w:t xml:space="preserve">ther </w:t>
      </w:r>
      <w:r>
        <w:rPr>
          <w:lang w:val="en-GB"/>
        </w:rPr>
        <w:t>developed, and invest time and resources in fulfilling the application criteria. It could be useful to outline to critics of the present and future allocation systems how arduous the application process to the CTF actually is, while at the same time being a capacity building exercise in its own right. Since the number of eligible countries and participants per country will be smaller, CTF could consider making bi-annual allocations to enhance predictability. CTF could also consider to</w:t>
      </w:r>
      <w:r w:rsidR="00AB6E40">
        <w:rPr>
          <w:lang w:val="en-GB"/>
        </w:rPr>
        <w:t xml:space="preserve"> </w:t>
      </w:r>
      <w:r>
        <w:rPr>
          <w:lang w:val="en-GB"/>
        </w:rPr>
        <w:t>support countries for the rest of the lifespan of the CTF to allow sufficient time to develop national processes and institutions.</w:t>
      </w:r>
    </w:p>
    <w:p w:rsidR="007D25C7" w:rsidRDefault="007D25C7" w:rsidP="007D25C7">
      <w:pPr>
        <w:pStyle w:val="Heading3"/>
        <w:rPr>
          <w:lang w:val="en-US"/>
        </w:rPr>
      </w:pPr>
      <w:r>
        <w:rPr>
          <w:lang w:val="en-GB"/>
        </w:rPr>
        <w:t>Recommendation 5. S</w:t>
      </w:r>
      <w:r>
        <w:rPr>
          <w:lang w:val="en-US"/>
        </w:rPr>
        <w:t>tay focused on participation</w:t>
      </w:r>
    </w:p>
    <w:p w:rsidR="007D25C7" w:rsidRDefault="007D25C7" w:rsidP="007D25C7">
      <w:pPr>
        <w:rPr>
          <w:lang w:val="en-GB"/>
        </w:rPr>
      </w:pPr>
      <w:r>
        <w:rPr>
          <w:lang w:val="en-GB"/>
        </w:rPr>
        <w:t>As mentioned above, the CTF is a very small “player” in the wider context of development cooperation, even though it has significant comparative advantages in relation to Codex. This report strongly recommends that the CTF stays focused on participation related activities, even when addressing outputs 2 and 3 and as it gets engaged in capacity development activities. The activities of the CTF in this respect have evolved over time and have been fuelled by the recent capacity increase of the Secretariat. The activity plan for 2010 shows that the CTF is indeed exploring ways to address outputs 2 and 3. It is important that these efforts continue and that due account is taken of the fact that these are resource demanding acti</w:t>
      </w:r>
      <w:r w:rsidR="00AB6E40">
        <w:rPr>
          <w:lang w:val="en-GB"/>
        </w:rPr>
        <w:t>vities for the CTF Secretariat.</w:t>
      </w:r>
      <w:r>
        <w:rPr>
          <w:lang w:val="en-GB"/>
        </w:rPr>
        <w:t xml:space="preserve"> One possibility is to set up a number of criteria for the involvement in capacity building activities that could supplement the potential activities listed in the original project document. Such criteria could involve:</w:t>
      </w:r>
    </w:p>
    <w:p w:rsidR="007D25C7" w:rsidRDefault="007D25C7" w:rsidP="007D25C7">
      <w:pPr>
        <w:pStyle w:val="ListParagraph"/>
        <w:numPr>
          <w:ilvl w:val="0"/>
          <w:numId w:val="25"/>
        </w:numPr>
        <w:spacing w:before="0" w:after="0"/>
        <w:rPr>
          <w:lang w:val="en-GB"/>
        </w:rPr>
      </w:pPr>
      <w:r w:rsidRPr="000B1A17">
        <w:rPr>
          <w:lang w:val="en-GB"/>
        </w:rPr>
        <w:t>Keep a focus on participation, with CCPs as the main target groups or acting as counterparts</w:t>
      </w:r>
    </w:p>
    <w:p w:rsidR="007D25C7" w:rsidRDefault="007D25C7" w:rsidP="007D25C7">
      <w:pPr>
        <w:pStyle w:val="ListParagraph"/>
        <w:numPr>
          <w:ilvl w:val="0"/>
          <w:numId w:val="25"/>
        </w:numPr>
        <w:spacing w:before="0" w:after="0"/>
        <w:rPr>
          <w:lang w:val="en-GB"/>
        </w:rPr>
      </w:pPr>
      <w:r w:rsidRPr="000B1A17">
        <w:rPr>
          <w:lang w:val="en-GB"/>
        </w:rPr>
        <w:t>Provid</w:t>
      </w:r>
      <w:r>
        <w:rPr>
          <w:lang w:val="en-GB"/>
        </w:rPr>
        <w:t>e</w:t>
      </w:r>
      <w:r w:rsidRPr="000B1A17">
        <w:rPr>
          <w:lang w:val="en-GB"/>
        </w:rPr>
        <w:t xml:space="preserve"> public goods to the benefit of all countries, such as the development of training material</w:t>
      </w:r>
    </w:p>
    <w:p w:rsidR="007D25C7" w:rsidRDefault="007D25C7" w:rsidP="007D25C7">
      <w:pPr>
        <w:pStyle w:val="ListParagraph"/>
        <w:numPr>
          <w:ilvl w:val="0"/>
          <w:numId w:val="25"/>
        </w:numPr>
        <w:spacing w:before="0" w:after="0"/>
        <w:rPr>
          <w:lang w:val="en-GB"/>
        </w:rPr>
      </w:pPr>
      <w:r w:rsidRPr="000B1A17">
        <w:rPr>
          <w:lang w:val="en-GB"/>
        </w:rPr>
        <w:t>Engage primarily in networking and cross-country activities at regional or sub-regional activities or in activities that involve considerable interaction between Codex countries, such as mentoring programmes</w:t>
      </w:r>
    </w:p>
    <w:p w:rsidR="007D25C7" w:rsidRDefault="007D25C7" w:rsidP="007D25C7">
      <w:pPr>
        <w:pStyle w:val="ListParagraph"/>
        <w:numPr>
          <w:ilvl w:val="0"/>
          <w:numId w:val="25"/>
        </w:numPr>
        <w:spacing w:before="0" w:after="0"/>
        <w:rPr>
          <w:lang w:val="en-GB"/>
        </w:rPr>
      </w:pPr>
      <w:r w:rsidRPr="000B1A17">
        <w:rPr>
          <w:lang w:val="en-GB"/>
        </w:rPr>
        <w:t>At country level, focus on seed funding or finan</w:t>
      </w:r>
      <w:r>
        <w:rPr>
          <w:lang w:val="en-GB"/>
        </w:rPr>
        <w:t>ce</w:t>
      </w:r>
      <w:r w:rsidRPr="000B1A17">
        <w:rPr>
          <w:lang w:val="en-GB"/>
        </w:rPr>
        <w:t xml:space="preserve"> limited activities directly relevant to participation</w:t>
      </w:r>
    </w:p>
    <w:p w:rsidR="007D25C7" w:rsidRDefault="007D25C7" w:rsidP="007D25C7">
      <w:pPr>
        <w:rPr>
          <w:lang w:val="en-GB"/>
        </w:rPr>
      </w:pPr>
    </w:p>
    <w:p w:rsidR="007D25C7" w:rsidRDefault="007D25C7" w:rsidP="007D25C7">
      <w:pPr>
        <w:rPr>
          <w:lang w:val="en-GB"/>
        </w:rPr>
      </w:pPr>
      <w:r>
        <w:rPr>
          <w:lang w:val="en-GB"/>
        </w:rPr>
        <w:lastRenderedPageBreak/>
        <w:t>This report has not considered output 3 in particular, mainly since there have been no activities specifically addressing this objective in the past. However, the criteria guiding such activities would not differ in principle from those put in place to address output 2, even though in substance there may be differences. One option to consider would be to conduct a survey of needs and potential activities in relation to output 3 in conjunction with FAO and colleagues of WHO/FOS.</w:t>
      </w:r>
    </w:p>
    <w:p w:rsidR="007D25C7" w:rsidRDefault="007D25C7" w:rsidP="007D25C7">
      <w:pPr>
        <w:pStyle w:val="Heading3"/>
        <w:rPr>
          <w:lang w:val="en-GB"/>
        </w:rPr>
      </w:pPr>
      <w:r>
        <w:rPr>
          <w:lang w:val="en-GB"/>
        </w:rPr>
        <w:t xml:space="preserve">Recommendation 6. </w:t>
      </w:r>
      <w:r w:rsidRPr="001A4E06">
        <w:rPr>
          <w:lang w:val="en-GB"/>
        </w:rPr>
        <w:t>Strengthen collaboration</w:t>
      </w:r>
      <w:r>
        <w:rPr>
          <w:lang w:val="en-GB"/>
        </w:rPr>
        <w:t xml:space="preserve"> with the most relevant actors</w:t>
      </w:r>
    </w:p>
    <w:p w:rsidR="007D25C7" w:rsidRDefault="007D25C7" w:rsidP="007D25C7">
      <w:pPr>
        <w:rPr>
          <w:lang w:val="en-GB"/>
        </w:rPr>
      </w:pPr>
      <w:r>
        <w:rPr>
          <w:lang w:val="en-GB"/>
        </w:rPr>
        <w:t>In order to develop its activities and address outputs 2 and 3, the CTF needs to work closely with other actors, building on its comparative advantages in relation to Codex participation. More capacity has given the CTF more possibilities for the necessary and sometimes time-consuming interaction this entails. The Secretariat seems to be moving in this direction, deepening the interaction with FAO, reflecting on how to address output 3 with colleagues at WHO/FOS and taking initial steps to strengthen ties with the STDF. It is recommended that ways are explored to further strengthening ties with the FAO in a systematic manner. It is also recommended that the CTF Secretariat on a tentative basis participate in the working group of the STDF, in order to stimulate stronger ties between the mechanisms, given a stronger focus of the CTF on outputs 2 and 3. This would permit the CTF to be more involved in SPS-related assistance, activities involving information-sharing on best practice networking with the multilateral and bilateral donors that participate in the working group.  It is also recommended that the CTF makes direct contact with IBAN, SACAU and</w:t>
      </w:r>
      <w:r w:rsidRPr="00181BF6">
        <w:rPr>
          <w:lang w:val="en-GB"/>
        </w:rPr>
        <w:t xml:space="preserve"> IICA</w:t>
      </w:r>
      <w:r>
        <w:rPr>
          <w:lang w:val="en-GB"/>
        </w:rPr>
        <w:t xml:space="preserve"> to exchange information and identify common concerns and possible areas of cooperation.</w:t>
      </w:r>
    </w:p>
    <w:p w:rsidR="007D25C7" w:rsidRDefault="007D25C7" w:rsidP="007D25C7">
      <w:pPr>
        <w:rPr>
          <w:lang w:val="en-GB"/>
        </w:rPr>
      </w:pPr>
      <w:r>
        <w:rPr>
          <w:lang w:val="en-GB"/>
        </w:rPr>
        <w:t xml:space="preserve">These recommendations aside very few suggestions were made during the evaluation on how, concretely, the CTF could coordinate more closely with other actors. It is popular among donors in particular to emphasise this point, but even though they usually support many of the actors involved they can offer limited advice on what this collaboration should look like. At the end of the day it is up to the people involved in day-to-day management to find their ways. What this report can do is to support the need for collaboration, and also argue that this should not be done for its own sake. A pragmatic approach involving the actors of most immediate concern is preferable. There are so many activities and actors involved in broader development cooperation that any attempt for a small actor such as the CTF to engage more broadly or even getting an overview of what is going on will very be resource demanding, while the benefits are uncertain. </w:t>
      </w:r>
    </w:p>
    <w:p w:rsidR="007D25C7" w:rsidRDefault="007D25C7" w:rsidP="007D25C7">
      <w:pPr>
        <w:pStyle w:val="Heading3"/>
        <w:rPr>
          <w:lang w:val="en-GB"/>
        </w:rPr>
      </w:pPr>
      <w:r>
        <w:rPr>
          <w:lang w:val="en-GB"/>
        </w:rPr>
        <w:t>Recommendation 7. Strengthen monitoring and evaluation</w:t>
      </w:r>
    </w:p>
    <w:p w:rsidR="007D25C7" w:rsidRDefault="007D25C7" w:rsidP="007D25C7">
      <w:pPr>
        <w:rPr>
          <w:lang w:val="en-GB"/>
        </w:rPr>
      </w:pPr>
      <w:r>
        <w:rPr>
          <w:lang w:val="en-GB"/>
        </w:rPr>
        <w:t>Chapter 5 identified three areas of results that the M&amp;E efforts of the CTF need to address, apart from what is already covered. These are; (1) quality of participation, (2) activities at country level, and (3) overall changes in food safety systems. We have concluded that the Annual and Quarterly reports describe well what the CTF does and provide information on numbers of beneficiaries and continued participation after graduation. The established systems of data collection, analysis and reporting should be continued. They are effective and efficient and meet the needs of intended audiences. In order to further develop the M&amp;E system we recommend:</w:t>
      </w:r>
    </w:p>
    <w:p w:rsidR="007D25C7" w:rsidRDefault="007D25C7" w:rsidP="007D25C7">
      <w:pPr>
        <w:pStyle w:val="Heading4"/>
      </w:pPr>
      <w:r w:rsidRPr="009A40A4">
        <w:t>Overall approach</w:t>
      </w:r>
    </w:p>
    <w:p w:rsidR="007D25C7" w:rsidRDefault="007D25C7" w:rsidP="007D25C7">
      <w:pPr>
        <w:pStyle w:val="ListParagraph"/>
        <w:numPr>
          <w:ilvl w:val="0"/>
          <w:numId w:val="26"/>
        </w:numPr>
        <w:spacing w:before="0" w:after="0"/>
        <w:rPr>
          <w:lang w:val="en-GB"/>
        </w:rPr>
      </w:pPr>
      <w:r w:rsidRPr="0050637B">
        <w:rPr>
          <w:lang w:val="en-GB"/>
        </w:rPr>
        <w:t xml:space="preserve">Long-term perspective on evaluation. Timing is essential in evaluation and in particular questions of impact cannot be assessed until some time has passed. This review has answered some impact questions now, and it is not necessary to return to these questions within the next few years. </w:t>
      </w:r>
    </w:p>
    <w:p w:rsidR="007D25C7" w:rsidRDefault="007D25C7" w:rsidP="007D25C7">
      <w:pPr>
        <w:pStyle w:val="ListParagraph"/>
        <w:numPr>
          <w:ilvl w:val="0"/>
          <w:numId w:val="26"/>
        </w:numPr>
        <w:spacing w:before="0" w:after="0"/>
        <w:rPr>
          <w:lang w:val="en-GB"/>
        </w:rPr>
      </w:pPr>
      <w:r>
        <w:rPr>
          <w:lang w:val="en-GB"/>
        </w:rPr>
        <w:t xml:space="preserve">Do not fragment resources. </w:t>
      </w:r>
      <w:r w:rsidRPr="0050637B">
        <w:rPr>
          <w:lang w:val="en-GB"/>
        </w:rPr>
        <w:t xml:space="preserve">During the past two years there </w:t>
      </w:r>
      <w:r>
        <w:rPr>
          <w:lang w:val="en-GB"/>
        </w:rPr>
        <w:t>have</w:t>
      </w:r>
      <w:r w:rsidRPr="0050637B">
        <w:rPr>
          <w:lang w:val="en-GB"/>
        </w:rPr>
        <w:t xml:space="preserve"> been 5 studies of an evaluative character. If the resources had been combined into one major study this could have taken a more comprehensive approach, covered more countries and also more in </w:t>
      </w:r>
      <w:r w:rsidRPr="0050637B">
        <w:rPr>
          <w:lang w:val="en-GB"/>
        </w:rPr>
        <w:lastRenderedPageBreak/>
        <w:t xml:space="preserve">depth. It is also likely that the overall costs had been lower. During the next six years, the CTF would be better served by fewer but more comprehensive efforts at monitoring and evaluation. </w:t>
      </w:r>
    </w:p>
    <w:p w:rsidR="007D25C7" w:rsidRDefault="007D25C7" w:rsidP="007D25C7">
      <w:pPr>
        <w:pStyle w:val="ListParagraph"/>
        <w:numPr>
          <w:ilvl w:val="0"/>
          <w:numId w:val="26"/>
        </w:numPr>
        <w:spacing w:before="0" w:after="0"/>
        <w:rPr>
          <w:lang w:val="en-GB"/>
        </w:rPr>
      </w:pPr>
      <w:r w:rsidRPr="0050637B">
        <w:rPr>
          <w:lang w:val="en-GB"/>
        </w:rPr>
        <w:t>Balance between quantitative and qualitative information. The contribution of the CTF in any given context is very small and whatever is identified as results depends on many other factors. This is typical of complex interventions and it has consequences for the use of indicators in M&amp;E:</w:t>
      </w:r>
    </w:p>
    <w:p w:rsidR="007D25C7" w:rsidRDefault="007D25C7" w:rsidP="007D25C7">
      <w:pPr>
        <w:pStyle w:val="ListParagraph"/>
        <w:spacing w:before="0" w:after="0"/>
        <w:rPr>
          <w:lang w:val="en-GB"/>
        </w:rPr>
      </w:pPr>
    </w:p>
    <w:p w:rsidR="007D25C7" w:rsidRDefault="007D25C7" w:rsidP="007D25C7">
      <w:pPr>
        <w:pStyle w:val="ListParagraph"/>
        <w:numPr>
          <w:ilvl w:val="1"/>
          <w:numId w:val="26"/>
        </w:numPr>
        <w:spacing w:before="0" w:after="0"/>
        <w:rPr>
          <w:lang w:val="en-GB"/>
        </w:rPr>
      </w:pPr>
      <w:r w:rsidRPr="0050637B">
        <w:rPr>
          <w:lang w:val="en-GB"/>
        </w:rPr>
        <w:t xml:space="preserve">there is a need for more indicators to assess results than when </w:t>
      </w:r>
      <w:r>
        <w:rPr>
          <w:lang w:val="en-GB"/>
        </w:rPr>
        <w:t>an</w:t>
      </w:r>
      <w:r w:rsidRPr="0050637B">
        <w:rPr>
          <w:lang w:val="en-GB"/>
        </w:rPr>
        <w:t xml:space="preserve"> M&amp;E system deals with ordinary linear connections between activities and results</w:t>
      </w:r>
    </w:p>
    <w:p w:rsidR="007D25C7" w:rsidRDefault="007D25C7" w:rsidP="007D25C7">
      <w:pPr>
        <w:pStyle w:val="ListParagraph"/>
        <w:numPr>
          <w:ilvl w:val="1"/>
          <w:numId w:val="26"/>
        </w:numPr>
        <w:spacing w:before="0" w:after="0"/>
        <w:rPr>
          <w:lang w:val="en-GB"/>
        </w:rPr>
      </w:pPr>
      <w:r w:rsidRPr="0050637B">
        <w:rPr>
          <w:lang w:val="en-GB"/>
        </w:rPr>
        <w:t>indicators will often point in different directions when interpreted</w:t>
      </w:r>
    </w:p>
    <w:p w:rsidR="007D25C7" w:rsidRDefault="007D25C7" w:rsidP="007D25C7">
      <w:pPr>
        <w:pStyle w:val="ListParagraph"/>
        <w:numPr>
          <w:ilvl w:val="1"/>
          <w:numId w:val="26"/>
        </w:numPr>
        <w:spacing w:before="0" w:after="0"/>
        <w:rPr>
          <w:lang w:val="en-GB"/>
        </w:rPr>
      </w:pPr>
      <w:r w:rsidRPr="0050637B">
        <w:rPr>
          <w:lang w:val="en-GB"/>
        </w:rPr>
        <w:t>quantitative indicators often raise more questions than they answer</w:t>
      </w:r>
    </w:p>
    <w:p w:rsidR="007D25C7" w:rsidRDefault="007D25C7" w:rsidP="007D25C7">
      <w:pPr>
        <w:pStyle w:val="ListParagraph"/>
        <w:numPr>
          <w:ilvl w:val="1"/>
          <w:numId w:val="26"/>
        </w:numPr>
        <w:spacing w:before="0" w:after="0"/>
        <w:rPr>
          <w:lang w:val="en-GB"/>
        </w:rPr>
      </w:pPr>
      <w:r w:rsidRPr="0050637B">
        <w:rPr>
          <w:lang w:val="en-GB"/>
        </w:rPr>
        <w:t>hence there is a need to follow-up, analyse, discuss and interpret indicators</w:t>
      </w:r>
    </w:p>
    <w:p w:rsidR="007D25C7" w:rsidRDefault="007D25C7" w:rsidP="007D25C7">
      <w:pPr>
        <w:pStyle w:val="ListParagraph"/>
        <w:spacing w:before="0" w:after="0"/>
        <w:ind w:left="1440"/>
        <w:rPr>
          <w:lang w:val="en-GB"/>
        </w:rPr>
      </w:pPr>
    </w:p>
    <w:p w:rsidR="007D25C7" w:rsidRDefault="007D25C7" w:rsidP="007D25C7">
      <w:pPr>
        <w:pStyle w:val="ListParagraph"/>
        <w:numPr>
          <w:ilvl w:val="0"/>
          <w:numId w:val="26"/>
        </w:numPr>
        <w:spacing w:before="0" w:after="0"/>
        <w:rPr>
          <w:lang w:val="en-GB"/>
        </w:rPr>
      </w:pPr>
      <w:r w:rsidRPr="0050637B">
        <w:rPr>
          <w:lang w:val="en-GB"/>
        </w:rPr>
        <w:t xml:space="preserve">Indicators </w:t>
      </w:r>
      <w:r>
        <w:rPr>
          <w:lang w:val="en-GB"/>
        </w:rPr>
        <w:t>in respect of CTF</w:t>
      </w:r>
      <w:r w:rsidRPr="0050637B">
        <w:rPr>
          <w:lang w:val="en-GB"/>
        </w:rPr>
        <w:t xml:space="preserve"> </w:t>
      </w:r>
      <w:r>
        <w:rPr>
          <w:lang w:val="en-GB"/>
        </w:rPr>
        <w:t xml:space="preserve">are </w:t>
      </w:r>
      <w:r w:rsidRPr="0050637B">
        <w:rPr>
          <w:lang w:val="en-GB"/>
        </w:rPr>
        <w:t>instruments within an inquiry that is largely qualitative, or that builds on the interpretation of many sources of contradictory data. In terms of the overall allocation of resources in the M&amp;E system, the system of indicators may account for some 25 – 30% of the overall costs, but not more than so. Indicators are the starting point i</w:t>
      </w:r>
      <w:r>
        <w:rPr>
          <w:lang w:val="en-GB"/>
        </w:rPr>
        <w:t>n monitoring and evaluation,</w:t>
      </w:r>
      <w:r w:rsidRPr="0050637B">
        <w:rPr>
          <w:lang w:val="en-GB"/>
        </w:rPr>
        <w:t xml:space="preserve"> measures of indicators </w:t>
      </w:r>
      <w:r>
        <w:rPr>
          <w:lang w:val="en-GB"/>
        </w:rPr>
        <w:t>do not in themselves</w:t>
      </w:r>
      <w:r w:rsidR="00AB6E40">
        <w:rPr>
          <w:lang w:val="en-GB"/>
        </w:rPr>
        <w:t xml:space="preserve"> answer </w:t>
      </w:r>
      <w:r w:rsidRPr="0050637B">
        <w:rPr>
          <w:lang w:val="en-GB"/>
        </w:rPr>
        <w:t>evaluative questions.</w:t>
      </w:r>
    </w:p>
    <w:p w:rsidR="007D25C7" w:rsidRPr="00AB6E40" w:rsidRDefault="007D25C7" w:rsidP="007D25C7">
      <w:pPr>
        <w:pStyle w:val="ListParagraph"/>
        <w:numPr>
          <w:ilvl w:val="0"/>
          <w:numId w:val="26"/>
        </w:numPr>
        <w:spacing w:before="0" w:after="0"/>
        <w:rPr>
          <w:lang w:val="en-GB"/>
        </w:rPr>
      </w:pPr>
      <w:r w:rsidRPr="0050637B">
        <w:rPr>
          <w:lang w:val="en-GB"/>
        </w:rPr>
        <w:t>The CTF has good relations with the Codex Contact Points and with national Commissions. This is a great advantage when it comes to data collection for M&amp;E purposes. The CCPs and NC</w:t>
      </w:r>
      <w:r w:rsidR="00AB6E40">
        <w:rPr>
          <w:lang w:val="en-GB"/>
        </w:rPr>
        <w:t>C</w:t>
      </w:r>
      <w:r w:rsidRPr="0050637B">
        <w:rPr>
          <w:lang w:val="en-GB"/>
        </w:rPr>
        <w:t xml:space="preserve">s can be asked to report on basic facts around </w:t>
      </w:r>
      <w:r>
        <w:rPr>
          <w:lang w:val="en-GB"/>
        </w:rPr>
        <w:t>f</w:t>
      </w:r>
      <w:r w:rsidRPr="0050637B">
        <w:rPr>
          <w:lang w:val="en-GB"/>
        </w:rPr>
        <w:t>ood safety systems</w:t>
      </w:r>
      <w:r>
        <w:rPr>
          <w:lang w:val="en-GB"/>
        </w:rPr>
        <w:t>,</w:t>
      </w:r>
      <w:r w:rsidRPr="0050637B">
        <w:rPr>
          <w:lang w:val="en-GB"/>
        </w:rPr>
        <w:t xml:space="preserve"> such as the character of national policies, the structural and process characteristics of the NC</w:t>
      </w:r>
      <w:r>
        <w:rPr>
          <w:lang w:val="en-GB"/>
        </w:rPr>
        <w:t>C</w:t>
      </w:r>
      <w:r w:rsidRPr="0050637B">
        <w:rPr>
          <w:lang w:val="en-GB"/>
        </w:rPr>
        <w:t xml:space="preserve">, research links and research activities, regional networks, etc. </w:t>
      </w:r>
      <w:r>
        <w:rPr>
          <w:lang w:val="en-GB"/>
        </w:rPr>
        <w:t>Such reports</w:t>
      </w:r>
      <w:r w:rsidRPr="0050637B">
        <w:rPr>
          <w:lang w:val="en-GB"/>
        </w:rPr>
        <w:t xml:space="preserve"> should be factual description</w:t>
      </w:r>
      <w:r>
        <w:rPr>
          <w:lang w:val="en-GB"/>
        </w:rPr>
        <w:t>s</w:t>
      </w:r>
      <w:r w:rsidRPr="0050637B">
        <w:rPr>
          <w:lang w:val="en-GB"/>
        </w:rPr>
        <w:t xml:space="preserve"> but not assessments of strengths and weaknesses</w:t>
      </w:r>
      <w:r>
        <w:rPr>
          <w:lang w:val="en-GB"/>
        </w:rPr>
        <w:t xml:space="preserve"> or similar evaluative assessments</w:t>
      </w:r>
      <w:r w:rsidRPr="0050637B">
        <w:rPr>
          <w:lang w:val="en-GB"/>
        </w:rPr>
        <w:t>. The CTF can ask for changes during recent years, but no</w:t>
      </w:r>
      <w:r>
        <w:rPr>
          <w:lang w:val="en-GB"/>
        </w:rPr>
        <w:t>t</w:t>
      </w:r>
      <w:r w:rsidRPr="0050637B">
        <w:rPr>
          <w:lang w:val="en-GB"/>
        </w:rPr>
        <w:t xml:space="preserve"> for the effect of changes. The </w:t>
      </w:r>
      <w:r w:rsidR="00AB6E40" w:rsidRPr="0050637B">
        <w:rPr>
          <w:lang w:val="en-GB"/>
        </w:rPr>
        <w:t>reason for this is</w:t>
      </w:r>
      <w:r w:rsidRPr="0050637B">
        <w:rPr>
          <w:lang w:val="en-GB"/>
        </w:rPr>
        <w:t xml:space="preserve"> that evaluative data collection with this form of surveys is </w:t>
      </w:r>
      <w:r>
        <w:rPr>
          <w:lang w:val="en-GB"/>
        </w:rPr>
        <w:t xml:space="preserve">only </w:t>
      </w:r>
      <w:r w:rsidRPr="0050637B">
        <w:rPr>
          <w:lang w:val="en-GB"/>
        </w:rPr>
        <w:t xml:space="preserve">valid and reliable when seeking well-defined descriptive information. A survey to CCPs would not provide valid information if the respondents were asked to assess level of capacities, relevance of policies, etc. There would be no way of knowing what their criteria for assessment would be and hence no way of knowing what it is that is being aggregated through the M&amp;E system. </w:t>
      </w:r>
    </w:p>
    <w:p w:rsidR="007D25C7" w:rsidRDefault="007D25C7" w:rsidP="007D25C7">
      <w:pPr>
        <w:pStyle w:val="Heading4"/>
      </w:pPr>
      <w:r>
        <w:t>Short-term priority</w:t>
      </w:r>
    </w:p>
    <w:p w:rsidR="007D25C7" w:rsidRDefault="007D25C7" w:rsidP="007D25C7">
      <w:pPr>
        <w:pStyle w:val="ListParagraph"/>
        <w:numPr>
          <w:ilvl w:val="0"/>
          <w:numId w:val="26"/>
        </w:numPr>
        <w:spacing w:before="0" w:after="0"/>
        <w:rPr>
          <w:lang w:val="en-GB"/>
        </w:rPr>
      </w:pPr>
      <w:r w:rsidRPr="0050637B">
        <w:rPr>
          <w:lang w:val="en-GB"/>
        </w:rPr>
        <w:t xml:space="preserve">In the short term, the </w:t>
      </w:r>
      <w:r>
        <w:rPr>
          <w:lang w:val="en-GB"/>
        </w:rPr>
        <w:t xml:space="preserve">most important </w:t>
      </w:r>
      <w:r w:rsidRPr="0050637B">
        <w:rPr>
          <w:lang w:val="en-GB"/>
        </w:rPr>
        <w:t>area of evaluative information that needs to be addressed concerns the quality of participation. There are several reasons for that;</w:t>
      </w:r>
    </w:p>
    <w:p w:rsidR="007D25C7" w:rsidRDefault="007D25C7" w:rsidP="007D25C7">
      <w:pPr>
        <w:pStyle w:val="ListParagraph"/>
        <w:spacing w:before="0" w:after="0"/>
        <w:rPr>
          <w:lang w:val="en-GB"/>
        </w:rPr>
      </w:pPr>
    </w:p>
    <w:p w:rsidR="007D25C7" w:rsidRDefault="007D25C7" w:rsidP="007D25C7">
      <w:pPr>
        <w:pStyle w:val="ListParagraph"/>
        <w:numPr>
          <w:ilvl w:val="1"/>
          <w:numId w:val="26"/>
        </w:numPr>
        <w:spacing w:before="0" w:after="0"/>
        <w:rPr>
          <w:lang w:val="en-GB"/>
        </w:rPr>
      </w:pPr>
      <w:r w:rsidRPr="0050637B">
        <w:rPr>
          <w:lang w:val="en-GB"/>
        </w:rPr>
        <w:t>it has not been adequately covered in this review</w:t>
      </w:r>
    </w:p>
    <w:p w:rsidR="007D25C7" w:rsidRDefault="007D25C7" w:rsidP="007D25C7">
      <w:pPr>
        <w:pStyle w:val="ListParagraph"/>
        <w:numPr>
          <w:ilvl w:val="1"/>
          <w:numId w:val="26"/>
        </w:numPr>
        <w:spacing w:before="0" w:after="0"/>
        <w:rPr>
          <w:lang w:val="en-GB"/>
        </w:rPr>
      </w:pPr>
      <w:r w:rsidRPr="0050637B">
        <w:rPr>
          <w:lang w:val="en-GB"/>
        </w:rPr>
        <w:t>there are many myths circulating around the quality of participation but no substantive knowledge</w:t>
      </w:r>
    </w:p>
    <w:p w:rsidR="007D25C7" w:rsidRDefault="007D25C7" w:rsidP="007D25C7">
      <w:pPr>
        <w:pStyle w:val="ListParagraph"/>
        <w:numPr>
          <w:ilvl w:val="1"/>
          <w:numId w:val="26"/>
        </w:numPr>
        <w:spacing w:before="0" w:after="0"/>
        <w:rPr>
          <w:lang w:val="en-GB"/>
        </w:rPr>
      </w:pPr>
      <w:r w:rsidRPr="0050637B">
        <w:rPr>
          <w:lang w:val="en-GB"/>
        </w:rPr>
        <w:t>quality of participation is the second objective of the CTF and one that we recommend be fur</w:t>
      </w:r>
      <w:r>
        <w:rPr>
          <w:lang w:val="en-GB"/>
        </w:rPr>
        <w:t>t</w:t>
      </w:r>
      <w:r w:rsidRPr="0050637B">
        <w:rPr>
          <w:lang w:val="en-GB"/>
        </w:rPr>
        <w:t xml:space="preserve">her emphasized in the future, hence it is essential to get solid experience of what capacities that need to be developed and whether the interventions through training, mentoring, etc. have the desired effect. </w:t>
      </w:r>
    </w:p>
    <w:p w:rsidR="007D25C7" w:rsidRDefault="007D25C7" w:rsidP="007D25C7">
      <w:pPr>
        <w:pStyle w:val="ListParagraph"/>
        <w:spacing w:before="0" w:after="0"/>
        <w:ind w:left="1440"/>
        <w:rPr>
          <w:lang w:val="en-GB"/>
        </w:rPr>
      </w:pPr>
    </w:p>
    <w:p w:rsidR="007D25C7" w:rsidRDefault="007D25C7" w:rsidP="007D25C7">
      <w:pPr>
        <w:pStyle w:val="ListParagraph"/>
        <w:numPr>
          <w:ilvl w:val="0"/>
          <w:numId w:val="26"/>
        </w:numPr>
        <w:spacing w:before="0" w:after="0"/>
        <w:rPr>
          <w:lang w:val="en-GB"/>
        </w:rPr>
      </w:pPr>
      <w:r w:rsidRPr="0050637B">
        <w:rPr>
          <w:lang w:val="en-GB"/>
        </w:rPr>
        <w:t>There are three steps to be taken in an evaluation of the quality of participation;</w:t>
      </w:r>
    </w:p>
    <w:p w:rsidR="007D25C7" w:rsidRDefault="007D25C7" w:rsidP="007D25C7">
      <w:pPr>
        <w:pStyle w:val="ListParagraph"/>
        <w:spacing w:before="0" w:after="0"/>
        <w:rPr>
          <w:lang w:val="en-GB"/>
        </w:rPr>
      </w:pPr>
    </w:p>
    <w:p w:rsidR="007D25C7" w:rsidRDefault="007D25C7" w:rsidP="007D25C7">
      <w:pPr>
        <w:pStyle w:val="ListParagraph"/>
        <w:numPr>
          <w:ilvl w:val="1"/>
          <w:numId w:val="26"/>
        </w:numPr>
        <w:spacing w:before="0" w:after="0"/>
        <w:rPr>
          <w:lang w:val="en-GB"/>
        </w:rPr>
      </w:pPr>
      <w:r w:rsidRPr="0050637B">
        <w:rPr>
          <w:lang w:val="en-GB"/>
        </w:rPr>
        <w:t xml:space="preserve">defining what quality of participation is </w:t>
      </w:r>
      <w:r>
        <w:rPr>
          <w:lang w:val="en-GB"/>
        </w:rPr>
        <w:t>i</w:t>
      </w:r>
      <w:r w:rsidRPr="0050637B">
        <w:rPr>
          <w:lang w:val="en-GB"/>
        </w:rPr>
        <w:t xml:space="preserve">n terms of quantitative and qualitative criteria. Quantitative data might include presence in meetings, numbers of interventions (in different categories such as comments, questions, proposals …), </w:t>
      </w:r>
      <w:r w:rsidRPr="0050637B">
        <w:rPr>
          <w:lang w:val="en-GB"/>
        </w:rPr>
        <w:lastRenderedPageBreak/>
        <w:t xml:space="preserve">network building during meetings, continued presence, level of interaction with other countries and the Committee between meetings, etc. Qualitative data would be observations on the skills demonstrated in meetings, for example in knowledge of substance field, ability to present critical questions and constructive proposals, network building skills and negotiation skills, understanding the perspectives of others and political analysis. </w:t>
      </w:r>
    </w:p>
    <w:p w:rsidR="007D25C7" w:rsidRDefault="007D25C7" w:rsidP="007D25C7">
      <w:pPr>
        <w:pStyle w:val="ListParagraph"/>
        <w:numPr>
          <w:ilvl w:val="1"/>
          <w:numId w:val="26"/>
        </w:numPr>
        <w:spacing w:before="0" w:after="0"/>
        <w:rPr>
          <w:lang w:val="en-GB"/>
        </w:rPr>
      </w:pPr>
      <w:r w:rsidRPr="0050637B">
        <w:rPr>
          <w:lang w:val="en-GB"/>
        </w:rPr>
        <w:t xml:space="preserve">defining how to collect data, which could basically be done through, (1) </w:t>
      </w:r>
      <w:r>
        <w:rPr>
          <w:lang w:val="en-GB"/>
        </w:rPr>
        <w:t>a</w:t>
      </w:r>
      <w:r w:rsidRPr="0050637B">
        <w:rPr>
          <w:lang w:val="en-GB"/>
        </w:rPr>
        <w:t xml:space="preserve"> self-assessment format, (2) observation of meetings proceedings , and (3) interviews with committee members, both those who have taken part in capacity building programmes and others. It is desirable to combine data collection instruments. </w:t>
      </w:r>
    </w:p>
    <w:p w:rsidR="007D25C7" w:rsidRPr="00AB6E40" w:rsidRDefault="007D25C7" w:rsidP="007D25C7">
      <w:pPr>
        <w:pStyle w:val="ListParagraph"/>
        <w:numPr>
          <w:ilvl w:val="1"/>
          <w:numId w:val="26"/>
        </w:numPr>
        <w:spacing w:before="0" w:after="0"/>
        <w:rPr>
          <w:lang w:val="en-GB"/>
        </w:rPr>
      </w:pPr>
      <w:r w:rsidRPr="0050637B">
        <w:rPr>
          <w:lang w:val="en-GB"/>
        </w:rPr>
        <w:t>select</w:t>
      </w:r>
      <w:r w:rsidR="00AB6E40">
        <w:rPr>
          <w:lang w:val="en-GB"/>
        </w:rPr>
        <w:t>ing</w:t>
      </w:r>
      <w:r w:rsidRPr="0050637B">
        <w:rPr>
          <w:lang w:val="en-GB"/>
        </w:rPr>
        <w:t xml:space="preserve"> a sample of capacity building activities to follow up, select Codex committees to study, define the length of time the study should cover. </w:t>
      </w:r>
    </w:p>
    <w:p w:rsidR="007D25C7" w:rsidRDefault="007D25C7" w:rsidP="007D25C7">
      <w:pPr>
        <w:pStyle w:val="Heading4"/>
      </w:pPr>
      <w:r>
        <w:t>Long-term priority</w:t>
      </w:r>
    </w:p>
    <w:p w:rsidR="007D25C7" w:rsidRDefault="007D25C7" w:rsidP="007D25C7">
      <w:pPr>
        <w:pStyle w:val="ListParagraph"/>
        <w:numPr>
          <w:ilvl w:val="0"/>
          <w:numId w:val="26"/>
        </w:numPr>
        <w:spacing w:before="0" w:after="0"/>
        <w:rPr>
          <w:lang w:val="en-GB"/>
        </w:rPr>
      </w:pPr>
      <w:r w:rsidRPr="0050637B">
        <w:rPr>
          <w:lang w:val="en-GB"/>
        </w:rPr>
        <w:t>The second area to focus activities on would be the monitoring and evaluation in relation to the third output, bring research from developing countries to the Codex process. This task can start when these activities have been further developed and the best methods to assess results can be defined once it is better known what should be assessed. It is likely that the basic steps will be similar to those outlined above. The most valid and reliable findings will come out of the qualitative assessment based on external and independent evaluation, and less of self assessment. We would like to note that though data collection through survey formats to CCPs and NC</w:t>
      </w:r>
      <w:r>
        <w:rPr>
          <w:lang w:val="en-GB"/>
        </w:rPr>
        <w:t>C</w:t>
      </w:r>
      <w:r w:rsidRPr="0050637B">
        <w:rPr>
          <w:lang w:val="en-GB"/>
        </w:rPr>
        <w:t xml:space="preserve">s do not have any budget consequences for the CTF they still incur costs, and if the total working time of some 140 respondents is aggregated such costs are not insignificant. </w:t>
      </w:r>
    </w:p>
    <w:p w:rsidR="007D25C7" w:rsidRDefault="007D25C7" w:rsidP="007D25C7">
      <w:pPr>
        <w:spacing w:after="0"/>
        <w:rPr>
          <w:lang w:val="en-GB"/>
        </w:rPr>
      </w:pPr>
    </w:p>
    <w:p w:rsidR="007D25C7" w:rsidRPr="00AD460C" w:rsidRDefault="007D25C7" w:rsidP="007D25C7">
      <w:pPr>
        <w:spacing w:after="0"/>
        <w:rPr>
          <w:lang w:val="en-GB"/>
        </w:rPr>
      </w:pPr>
      <w:r w:rsidRPr="00AD460C">
        <w:rPr>
          <w:lang w:val="en-GB"/>
        </w:rPr>
        <w:t xml:space="preserve">This evaluation is asked to provide recommendations with regards to continuing or discontinuing the project beyond its 12 year life span with benefits and risks of each. </w:t>
      </w:r>
    </w:p>
    <w:p w:rsidR="007D25C7" w:rsidRPr="00AD460C" w:rsidRDefault="007D25C7" w:rsidP="007D25C7">
      <w:pPr>
        <w:spacing w:after="0"/>
        <w:rPr>
          <w:lang w:val="en-GB"/>
        </w:rPr>
      </w:pPr>
    </w:p>
    <w:p w:rsidR="007D25C7" w:rsidRPr="00AD460C" w:rsidRDefault="007D25C7" w:rsidP="007D25C7">
      <w:pPr>
        <w:spacing w:after="0"/>
        <w:rPr>
          <w:lang w:val="en-GB"/>
        </w:rPr>
      </w:pPr>
      <w:r w:rsidRPr="00AD460C">
        <w:rPr>
          <w:lang w:val="en-GB"/>
        </w:rPr>
        <w:t>Even if the three objectives have been met, it is very likely that many countries will have a need for external finances to bring research to the Codex processes. There will be a continuous demand for capacity building to make the most use of participation in Codex meetings. It is not difficult to foresee many arguments for a continuation of the project in some form or the other and there will certainly be relevant development issues related to Codex Alimentarius to address.</w:t>
      </w:r>
    </w:p>
    <w:p w:rsidR="007D25C7" w:rsidRPr="00AD460C" w:rsidRDefault="007D25C7" w:rsidP="007D25C7">
      <w:pPr>
        <w:spacing w:after="0"/>
        <w:rPr>
          <w:lang w:val="en-GB"/>
        </w:rPr>
      </w:pPr>
    </w:p>
    <w:p w:rsidR="007D25C7" w:rsidRPr="00AD460C" w:rsidRDefault="007D25C7" w:rsidP="007D25C7">
      <w:pPr>
        <w:rPr>
          <w:lang w:val="en-GB"/>
        </w:rPr>
      </w:pPr>
      <w:r w:rsidRPr="00AD460C">
        <w:rPr>
          <w:lang w:val="en-GB"/>
        </w:rPr>
        <w:t xml:space="preserve">If the Codex Trust Fund continues to operate as it has been working for the first six years, that is, as an efficient and </w:t>
      </w:r>
      <w:r>
        <w:rPr>
          <w:lang w:val="en-GB"/>
        </w:rPr>
        <w:t xml:space="preserve">(by then) </w:t>
      </w:r>
      <w:r w:rsidRPr="00AD460C">
        <w:rPr>
          <w:lang w:val="en-GB"/>
        </w:rPr>
        <w:t xml:space="preserve">effective programme, supplementing other activities, and contributing to the development of food safety systems globally, there would be good reasons to continue beyond the 12 year period. The distinctive advantages of the CTF would then be that is has a comparatively solid reporting system, that it makes good use of </w:t>
      </w:r>
      <w:r>
        <w:rPr>
          <w:lang w:val="en-GB"/>
        </w:rPr>
        <w:t xml:space="preserve">both </w:t>
      </w:r>
      <w:r w:rsidRPr="00AD460C">
        <w:rPr>
          <w:lang w:val="en-GB"/>
        </w:rPr>
        <w:t>global indicators</w:t>
      </w:r>
      <w:r>
        <w:rPr>
          <w:lang w:val="en-GB"/>
        </w:rPr>
        <w:t xml:space="preserve"> and qualitative assessments</w:t>
      </w:r>
      <w:r w:rsidRPr="00AD460C">
        <w:rPr>
          <w:lang w:val="en-GB"/>
        </w:rPr>
        <w:t xml:space="preserve"> in its decisions on resource allocation and in monitoring and evaluation. Even though this review has pointed at areas that can be improved, there are many aspects of the operations that work well and what is being suggested and recommended here is rather building on successes than correcting mistakes. As the essence of performance management is to reward success, it would thus be natural to extend and further develop a project that has been successful. </w:t>
      </w:r>
    </w:p>
    <w:p w:rsidR="007D25C7" w:rsidRPr="00AD460C" w:rsidRDefault="007D25C7" w:rsidP="007D25C7">
      <w:pPr>
        <w:rPr>
          <w:lang w:val="en-GB"/>
        </w:rPr>
      </w:pPr>
      <w:r w:rsidRPr="00AD460C">
        <w:rPr>
          <w:lang w:val="en-GB"/>
        </w:rPr>
        <w:t>On the other hand, it is also inherently attractive to have projects come to an end. If a task is well done, targets reached, and the agreed funds used efficiently and effectively, the next logical step would be to conclude the operations. Far too many projects become perpetuated and the risk is that they loose the initial drive and focus. The Trust Fund was based on an agreement to address a specific problem during a period of 12 years. When the time is up, there may be an agreement that countries have had ample opportunity to get exposed to Codex committee work. It would set a good example if the programme is terminated on that basis.</w:t>
      </w:r>
    </w:p>
    <w:p w:rsidR="007D25C7" w:rsidRPr="00AD460C" w:rsidRDefault="007D25C7" w:rsidP="007D25C7">
      <w:pPr>
        <w:rPr>
          <w:lang w:val="en-GB"/>
        </w:rPr>
      </w:pPr>
      <w:r w:rsidRPr="00AD460C">
        <w:rPr>
          <w:lang w:val="en-GB"/>
        </w:rPr>
        <w:lastRenderedPageBreak/>
        <w:t>The term project should be used for time bound activities with clear objectives. If there is a need for further international cooperation</w:t>
      </w:r>
      <w:r>
        <w:rPr>
          <w:lang w:val="en-GB"/>
        </w:rPr>
        <w:t xml:space="preserve"> as an extension of this project i</w:t>
      </w:r>
      <w:r w:rsidRPr="00AD460C">
        <w:rPr>
          <w:lang w:val="en-GB"/>
        </w:rPr>
        <w:t>t is not unlikely that such activities should be targeted rather than universal.</w:t>
      </w:r>
      <w:r>
        <w:rPr>
          <w:lang w:val="en-GB"/>
        </w:rPr>
        <w:t xml:space="preserve"> At that time it would be relevant to undertake a joint evaluation of </w:t>
      </w:r>
      <w:r w:rsidR="00A053C1">
        <w:rPr>
          <w:lang w:val="en-GB"/>
        </w:rPr>
        <w:t>all multilateral assistance in food safety and q</w:t>
      </w:r>
      <w:r>
        <w:rPr>
          <w:lang w:val="en-GB"/>
        </w:rPr>
        <w:t xml:space="preserve">uality, and if possible also include much of bilateral assistance. Such an evaluation should then also address the continuation of activities and the structures and processes for that – but built on a comprehensive and comparative assessment of what WHO, FAO and WTO together do in this field. At the end of this programme we would thus recommend a joint evaluation of the activities of multilateral and bilateral actors in the field. Another evaluation of </w:t>
      </w:r>
      <w:r w:rsidR="0012497C">
        <w:rPr>
          <w:lang w:val="en-GB"/>
        </w:rPr>
        <w:t xml:space="preserve">only </w:t>
      </w:r>
      <w:r>
        <w:rPr>
          <w:lang w:val="en-GB"/>
        </w:rPr>
        <w:t xml:space="preserve">a part of the system would at that point in time not be the best way to address the needs and prospects of continued development cooperation in this field. </w:t>
      </w:r>
    </w:p>
    <w:p w:rsidR="0050637B" w:rsidRPr="00AD460C" w:rsidRDefault="0050637B" w:rsidP="0050637B">
      <w:pPr>
        <w:rPr>
          <w:lang w:val="en-GB"/>
        </w:rPr>
      </w:pPr>
    </w:p>
    <w:p w:rsidR="00AD460C" w:rsidRPr="00AD460C" w:rsidRDefault="00AD460C" w:rsidP="00AD460C">
      <w:pPr>
        <w:rPr>
          <w:lang w:val="en-GB"/>
        </w:rPr>
      </w:pPr>
    </w:p>
    <w:p w:rsidR="00734881" w:rsidRDefault="00734881" w:rsidP="00493A69">
      <w:pPr>
        <w:rPr>
          <w:lang w:val="en-US"/>
        </w:rPr>
      </w:pPr>
    </w:p>
    <w:p w:rsidR="00734881" w:rsidRDefault="00734881" w:rsidP="00493A69">
      <w:pPr>
        <w:rPr>
          <w:lang w:val="en-US"/>
        </w:rPr>
      </w:pPr>
    </w:p>
    <w:p w:rsidR="00FF23A7" w:rsidRDefault="00493A69" w:rsidP="00FF23A7">
      <w:pPr>
        <w:pStyle w:val="Heading1"/>
        <w:rPr>
          <w:lang w:val="en-GB"/>
        </w:rPr>
      </w:pPr>
      <w:r>
        <w:rPr>
          <w:lang w:val="en-GB"/>
        </w:rPr>
        <w:br w:type="page"/>
      </w:r>
      <w:bookmarkStart w:id="113" w:name="_Toc260389749"/>
      <w:r w:rsidR="00A84844">
        <w:rPr>
          <w:lang w:val="en-GB"/>
        </w:rPr>
        <w:lastRenderedPageBreak/>
        <w:t>Annex</w:t>
      </w:r>
      <w:r w:rsidR="00FF23A7">
        <w:rPr>
          <w:lang w:val="en-GB"/>
        </w:rPr>
        <w:t xml:space="preserve"> 1. Terms of Reference</w:t>
      </w:r>
      <w:bookmarkEnd w:id="113"/>
    </w:p>
    <w:tbl>
      <w:tblPr>
        <w:tblStyle w:val="TableGrid"/>
        <w:tblW w:w="0" w:type="auto"/>
        <w:jc w:val="center"/>
        <w:tblInd w:w="-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000000" w:fill="auto"/>
        <w:tblLayout w:type="fixed"/>
        <w:tblLook w:val="01E0" w:firstRow="1" w:lastRow="1" w:firstColumn="1" w:lastColumn="1" w:noHBand="0" w:noVBand="0"/>
      </w:tblPr>
      <w:tblGrid>
        <w:gridCol w:w="1175"/>
        <w:gridCol w:w="3259"/>
        <w:gridCol w:w="506"/>
        <w:gridCol w:w="3960"/>
      </w:tblGrid>
      <w:tr w:rsidR="00231C30" w:rsidRPr="00920D75">
        <w:trPr>
          <w:jc w:val="center"/>
        </w:trPr>
        <w:tc>
          <w:tcPr>
            <w:tcW w:w="1175" w:type="dxa"/>
            <w:shd w:val="clear" w:color="000000" w:fill="auto"/>
          </w:tcPr>
          <w:p w:rsidR="00231C30" w:rsidRPr="00920D75" w:rsidRDefault="00231C30" w:rsidP="00231C30">
            <w:pPr>
              <w:pStyle w:val="Header"/>
              <w:rPr>
                <w:rFonts w:ascii="Times New Roman" w:hAnsi="Times New Roman"/>
              </w:rPr>
            </w:pPr>
            <w:r>
              <w:rPr>
                <w:rFonts w:ascii="Times New Roman" w:hAnsi="Times New Roman"/>
                <w:noProof/>
                <w:lang w:val="en-GB" w:eastAsia="en-GB"/>
              </w:rPr>
              <w:drawing>
                <wp:inline distT="0" distB="0" distL="0" distR="0">
                  <wp:extent cx="621030" cy="612775"/>
                  <wp:effectExtent l="19050" t="0" r="7620" b="0"/>
                  <wp:docPr id="6" name="Bild 1" descr="FAO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O Logo"/>
                          <pic:cNvPicPr>
                            <a:picLocks noChangeAspect="1" noChangeArrowheads="1"/>
                          </pic:cNvPicPr>
                        </pic:nvPicPr>
                        <pic:blipFill>
                          <a:blip r:embed="rId19" cstate="print">
                            <a:lum bright="2000"/>
                          </a:blip>
                          <a:srcRect/>
                          <a:stretch>
                            <a:fillRect/>
                          </a:stretch>
                        </pic:blipFill>
                        <pic:spPr bwMode="auto">
                          <a:xfrm>
                            <a:off x="0" y="0"/>
                            <a:ext cx="621030" cy="612775"/>
                          </a:xfrm>
                          <a:prstGeom prst="rect">
                            <a:avLst/>
                          </a:prstGeom>
                          <a:noFill/>
                          <a:ln w="9525">
                            <a:noFill/>
                            <a:miter lim="800000"/>
                            <a:headEnd/>
                            <a:tailEnd/>
                          </a:ln>
                        </pic:spPr>
                      </pic:pic>
                    </a:graphicData>
                  </a:graphic>
                </wp:inline>
              </w:drawing>
            </w:r>
          </w:p>
        </w:tc>
        <w:tc>
          <w:tcPr>
            <w:tcW w:w="3259" w:type="dxa"/>
            <w:shd w:val="clear" w:color="000000" w:fill="auto"/>
            <w:vAlign w:val="center"/>
          </w:tcPr>
          <w:p w:rsidR="00231C30" w:rsidRPr="00920D75" w:rsidRDefault="00231C30" w:rsidP="00231C30">
            <w:pPr>
              <w:pStyle w:val="Header"/>
              <w:rPr>
                <w:rFonts w:ascii="Times New Roman" w:hAnsi="Times New Roman"/>
                <w:lang w:val="en-US"/>
              </w:rPr>
            </w:pPr>
            <w:r w:rsidRPr="00920D75">
              <w:rPr>
                <w:rFonts w:ascii="Times New Roman" w:hAnsi="Times New Roman"/>
                <w:b/>
                <w:bCs/>
                <w:lang w:val="en-US"/>
              </w:rPr>
              <w:t>FOOD AND AGRICULTURE ORGANIZATION OF THE UNITED NATIONS</w:t>
            </w:r>
          </w:p>
        </w:tc>
        <w:tc>
          <w:tcPr>
            <w:tcW w:w="506" w:type="dxa"/>
            <w:shd w:val="clear" w:color="000000" w:fill="auto"/>
          </w:tcPr>
          <w:p w:rsidR="00231C30" w:rsidRPr="00920D75" w:rsidRDefault="00231C30" w:rsidP="00231C30">
            <w:pPr>
              <w:pStyle w:val="Header"/>
              <w:rPr>
                <w:rFonts w:ascii="Times New Roman" w:hAnsi="Times New Roman"/>
                <w:lang w:val="en-US"/>
              </w:rPr>
            </w:pPr>
            <w:r w:rsidRPr="00920D75">
              <w:rPr>
                <w:rFonts w:ascii="Times New Roman" w:hAnsi="Times New Roman"/>
                <w:lang w:val="en-US"/>
              </w:rPr>
              <w:t xml:space="preserve">    </w:t>
            </w:r>
          </w:p>
        </w:tc>
        <w:tc>
          <w:tcPr>
            <w:tcW w:w="3960" w:type="dxa"/>
            <w:shd w:val="clear" w:color="000000" w:fill="auto"/>
            <w:vAlign w:val="center"/>
          </w:tcPr>
          <w:p w:rsidR="00231C30" w:rsidRPr="00920D75" w:rsidRDefault="00231C30" w:rsidP="00231C30">
            <w:pPr>
              <w:pStyle w:val="Header"/>
              <w:jc w:val="right"/>
              <w:rPr>
                <w:rFonts w:ascii="Times New Roman" w:hAnsi="Times New Roman"/>
                <w:b/>
                <w:bCs/>
              </w:rPr>
            </w:pPr>
            <w:r>
              <w:rPr>
                <w:rFonts w:ascii="Times New Roman" w:hAnsi="Times New Roman"/>
                <w:b/>
                <w:bCs/>
                <w:noProof/>
                <w:lang w:val="en-GB" w:eastAsia="en-GB"/>
              </w:rPr>
              <w:drawing>
                <wp:inline distT="0" distB="0" distL="0" distR="0">
                  <wp:extent cx="1915160" cy="621030"/>
                  <wp:effectExtent l="19050" t="0" r="8890" b="0"/>
                  <wp:docPr id="5" name="Bild 2" descr="WH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OSMALL"/>
                          <pic:cNvPicPr>
                            <a:picLocks noChangeAspect="1" noChangeArrowheads="1"/>
                          </pic:cNvPicPr>
                        </pic:nvPicPr>
                        <pic:blipFill>
                          <a:blip r:embed="rId20" cstate="print"/>
                          <a:srcRect/>
                          <a:stretch>
                            <a:fillRect/>
                          </a:stretch>
                        </pic:blipFill>
                        <pic:spPr bwMode="auto">
                          <a:xfrm>
                            <a:off x="0" y="0"/>
                            <a:ext cx="1915160" cy="621030"/>
                          </a:xfrm>
                          <a:prstGeom prst="rect">
                            <a:avLst/>
                          </a:prstGeom>
                          <a:noFill/>
                          <a:ln w="9525">
                            <a:noFill/>
                            <a:miter lim="800000"/>
                            <a:headEnd/>
                            <a:tailEnd/>
                          </a:ln>
                        </pic:spPr>
                      </pic:pic>
                    </a:graphicData>
                  </a:graphic>
                </wp:inline>
              </w:drawing>
            </w:r>
          </w:p>
        </w:tc>
      </w:tr>
    </w:tbl>
    <w:p w:rsidR="00231C30" w:rsidRPr="00920D75" w:rsidRDefault="00231C30" w:rsidP="00231C30">
      <w:pPr>
        <w:spacing w:after="0"/>
        <w:rPr>
          <w:rFonts w:ascii="Times New Roman" w:hAnsi="Times New Roman"/>
          <w:lang w:val="en-US"/>
        </w:rPr>
      </w:pPr>
    </w:p>
    <w:p w:rsidR="00231C30" w:rsidRPr="00513624" w:rsidRDefault="00231C30" w:rsidP="00231C30">
      <w:pPr>
        <w:spacing w:after="0"/>
        <w:jc w:val="center"/>
        <w:rPr>
          <w:rFonts w:ascii="Times New Roman" w:hAnsi="Times New Roman"/>
          <w:b/>
          <w:bCs/>
          <w:sz w:val="28"/>
          <w:szCs w:val="28"/>
          <w:lang w:val="en-US"/>
        </w:rPr>
      </w:pPr>
      <w:r w:rsidRPr="00513624">
        <w:rPr>
          <w:rFonts w:ascii="Times New Roman" w:hAnsi="Times New Roman"/>
          <w:b/>
          <w:bCs/>
          <w:sz w:val="28"/>
          <w:szCs w:val="28"/>
          <w:lang w:val="en-US"/>
        </w:rPr>
        <w:t>INDEPENDENT MIDTERM REVIEW OF THE FAO/WHO PROJECT AND FUND FOR ENHANCED PARTICIPATION IN CODEX</w:t>
      </w:r>
    </w:p>
    <w:p w:rsidR="00231C30" w:rsidRPr="00513624" w:rsidRDefault="00231C30" w:rsidP="00231C30">
      <w:pPr>
        <w:spacing w:after="0"/>
        <w:jc w:val="center"/>
        <w:rPr>
          <w:rFonts w:ascii="Times New Roman" w:hAnsi="Times New Roman"/>
          <w:b/>
          <w:bCs/>
          <w:sz w:val="28"/>
          <w:szCs w:val="28"/>
          <w:lang w:val="en-US"/>
        </w:rPr>
      </w:pPr>
      <w:r w:rsidRPr="00513624">
        <w:rPr>
          <w:rFonts w:ascii="Times New Roman" w:hAnsi="Times New Roman"/>
          <w:b/>
          <w:bCs/>
          <w:sz w:val="28"/>
          <w:szCs w:val="28"/>
          <w:lang w:val="en-US"/>
        </w:rPr>
        <w:t>(CODEX TRUST FUND)</w:t>
      </w:r>
    </w:p>
    <w:p w:rsidR="00231C30" w:rsidRPr="00513624" w:rsidRDefault="00231C30" w:rsidP="00231C30">
      <w:pPr>
        <w:spacing w:after="0"/>
        <w:jc w:val="center"/>
        <w:rPr>
          <w:rFonts w:ascii="Times New Roman" w:hAnsi="Times New Roman"/>
          <w:b/>
          <w:bCs/>
          <w:sz w:val="28"/>
          <w:szCs w:val="28"/>
          <w:lang w:val="en-US"/>
        </w:rPr>
      </w:pPr>
    </w:p>
    <w:p w:rsidR="00231C30" w:rsidRPr="00513624" w:rsidRDefault="00231C30" w:rsidP="00231C30">
      <w:pPr>
        <w:spacing w:after="0"/>
        <w:jc w:val="center"/>
        <w:outlineLvl w:val="0"/>
        <w:rPr>
          <w:rFonts w:ascii="Times New Roman" w:hAnsi="Times New Roman"/>
          <w:b/>
          <w:bCs/>
          <w:sz w:val="28"/>
          <w:szCs w:val="28"/>
          <w:lang w:val="en-US"/>
        </w:rPr>
      </w:pPr>
      <w:r w:rsidRPr="00513624">
        <w:rPr>
          <w:rFonts w:ascii="Times New Roman" w:hAnsi="Times New Roman"/>
          <w:b/>
          <w:bCs/>
          <w:sz w:val="28"/>
          <w:szCs w:val="28"/>
          <w:lang w:val="en-US"/>
        </w:rPr>
        <w:t>TERMS OF REFERENCE</w:t>
      </w:r>
    </w:p>
    <w:p w:rsidR="00231C30" w:rsidRPr="00920D75" w:rsidRDefault="000829F6" w:rsidP="00231C30">
      <w:pPr>
        <w:spacing w:after="120"/>
        <w:rPr>
          <w:rFonts w:ascii="Times New Roman" w:hAnsi="Times New Roman"/>
          <w:lang w:val="en-US"/>
        </w:rPr>
      </w:pPr>
      <w:r>
        <w:rPr>
          <w:rFonts w:ascii="Times New Roman" w:hAnsi="Times New Roman"/>
          <w:noProof/>
          <w:lang w:val="en-GB" w:eastAsia="en-GB"/>
        </w:rPr>
        <mc:AlternateContent>
          <mc:Choice Requires="wps">
            <w:drawing>
              <wp:anchor distT="0" distB="0" distL="114300" distR="114300" simplePos="0" relativeHeight="251664384" behindDoc="0" locked="0" layoutInCell="1" allowOverlap="1">
                <wp:simplePos x="0" y="0"/>
                <wp:positionH relativeFrom="column">
                  <wp:posOffset>0</wp:posOffset>
                </wp:positionH>
                <wp:positionV relativeFrom="paragraph">
                  <wp:posOffset>125730</wp:posOffset>
                </wp:positionV>
                <wp:extent cx="5715000" cy="278765"/>
                <wp:effectExtent l="0" t="1905" r="0" b="0"/>
                <wp:wrapNone/>
                <wp:docPr id="1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278765"/>
                        </a:xfrm>
                        <a:prstGeom prst="rect">
                          <a:avLst/>
                        </a:prstGeom>
                        <a:solidFill>
                          <a:srgbClr val="EAEAEA"/>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75C62" w:rsidRPr="00C057D3" w:rsidRDefault="00B75C62" w:rsidP="00231C30">
                            <w:pPr>
                              <w:rPr>
                                <w:rFonts w:ascii="Times New Roman" w:hAnsi="Times New Roman"/>
                                <w:b/>
                                <w:bCs/>
                                <w:lang w:val="en-GB"/>
                              </w:rPr>
                            </w:pPr>
                            <w:r w:rsidRPr="00C057D3">
                              <w:rPr>
                                <w:rFonts w:ascii="Times New Roman" w:hAnsi="Times New Roman"/>
                                <w:b/>
                                <w:bCs/>
                                <w:lang w:val="en-GB"/>
                              </w:rPr>
                              <w:t>I. Purpose and Objectives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0;margin-top:9.9pt;width:450pt;height:21.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" fillcolor="#eaeaea" stroked="f">
                <v:textbox>
                  <w:txbxContent>
                    <w:p w:rsidR="00B75C62" w:rsidRPr="00C057D3" w:rsidRDefault="00B75C62" w:rsidP="00231C30">
                      <w:pPr>
                        <w:rPr>
                          <w:rFonts w:ascii="Times New Roman" w:hAnsi="Times New Roman"/>
                          <w:b/>
                          <w:bCs/>
                          <w:lang w:val="en-GB"/>
                        </w:rPr>
                      </w:pPr>
                      <w:r w:rsidRPr="00C057D3">
                        <w:rPr>
                          <w:rFonts w:ascii="Times New Roman" w:hAnsi="Times New Roman"/>
                          <w:b/>
                          <w:bCs/>
                          <w:lang w:val="en-GB"/>
                        </w:rPr>
                        <w:t>I. Purpose and Objectives</w:t>
                      </w:r>
                    </w:p>
                  </w:txbxContent>
                </v:textbox>
              </v:shape>
            </w:pict>
          </mc:Fallback>
        </mc:AlternateContent>
      </w:r>
    </w:p>
    <w:p w:rsidR="00231C30" w:rsidRPr="00920D75" w:rsidRDefault="00231C30" w:rsidP="00231C30">
      <w:pPr>
        <w:spacing w:after="120"/>
        <w:rPr>
          <w:rFonts w:ascii="Times New Roman" w:hAnsi="Times New Roman"/>
          <w:lang w:val="en-US"/>
        </w:rPr>
      </w:pPr>
    </w:p>
    <w:p w:rsidR="00231C30" w:rsidRPr="00621292" w:rsidRDefault="00231C30" w:rsidP="00231C30">
      <w:pPr>
        <w:pStyle w:val="Liststycke1"/>
        <w:ind w:left="0"/>
        <w:jc w:val="both"/>
        <w:rPr>
          <w:rFonts w:ascii="Times New Roman" w:hAnsi="Times New Roman" w:cs="Times New Roman"/>
          <w:sz w:val="24"/>
          <w:szCs w:val="24"/>
          <w:lang w:val="en-US"/>
        </w:rPr>
      </w:pPr>
      <w:r w:rsidRPr="00920D75">
        <w:rPr>
          <w:rFonts w:ascii="Times New Roman" w:hAnsi="Times New Roman" w:cs="Times New Roman"/>
          <w:sz w:val="24"/>
          <w:szCs w:val="24"/>
          <w:lang w:val="en-US"/>
        </w:rPr>
        <w:t xml:space="preserve">The </w:t>
      </w:r>
      <w:r w:rsidRPr="00920D75">
        <w:rPr>
          <w:rFonts w:ascii="Times New Roman" w:hAnsi="Times New Roman" w:cs="Times New Roman"/>
          <w:b/>
          <w:bCs/>
          <w:sz w:val="24"/>
          <w:szCs w:val="24"/>
          <w:lang w:val="en-US"/>
        </w:rPr>
        <w:t>purpose</w:t>
      </w:r>
      <w:r w:rsidRPr="00920D75">
        <w:rPr>
          <w:rFonts w:ascii="Times New Roman" w:hAnsi="Times New Roman" w:cs="Times New Roman"/>
          <w:sz w:val="24"/>
          <w:szCs w:val="24"/>
          <w:lang w:val="en-US"/>
        </w:rPr>
        <w:t xml:space="preserve"> of the </w:t>
      </w:r>
      <w:r>
        <w:rPr>
          <w:rFonts w:ascii="Times New Roman" w:hAnsi="Times New Roman" w:cs="Times New Roman"/>
          <w:sz w:val="24"/>
          <w:szCs w:val="24"/>
          <w:lang w:val="en-US"/>
        </w:rPr>
        <w:t xml:space="preserve">mid-term </w:t>
      </w:r>
      <w:r w:rsidRPr="00920D75">
        <w:rPr>
          <w:rFonts w:ascii="Times New Roman" w:hAnsi="Times New Roman" w:cs="Times New Roman"/>
          <w:sz w:val="24"/>
          <w:szCs w:val="24"/>
          <w:lang w:val="en-US"/>
        </w:rPr>
        <w:t xml:space="preserve">review </w:t>
      </w:r>
      <w:r w:rsidRPr="00920D75">
        <w:rPr>
          <w:rFonts w:ascii="Times New Roman" w:hAnsi="Times New Roman" w:cs="Times New Roman"/>
          <w:color w:val="000000"/>
          <w:sz w:val="24"/>
          <w:szCs w:val="24"/>
          <w:lang w:val="en-US"/>
        </w:rPr>
        <w:t>is to evaluate the progress of the Codex Trust Fund</w:t>
      </w:r>
      <w:r>
        <w:rPr>
          <w:rFonts w:ascii="Times New Roman" w:hAnsi="Times New Roman" w:cs="Times New Roman"/>
          <w:color w:val="000000"/>
          <w:sz w:val="24"/>
          <w:szCs w:val="24"/>
          <w:lang w:val="en-US"/>
        </w:rPr>
        <w:t xml:space="preserve"> to date and provide actionable recommendations that can be applied looking</w:t>
      </w:r>
      <w:r w:rsidRPr="00920D75">
        <w:rPr>
          <w:rFonts w:ascii="Times New Roman" w:hAnsi="Times New Roman" w:cs="Times New Roman"/>
          <w:color w:val="000000"/>
          <w:sz w:val="24"/>
          <w:szCs w:val="24"/>
          <w:lang w:val="en-US"/>
        </w:rPr>
        <w:t xml:space="preserve"> forward</w:t>
      </w:r>
      <w:r>
        <w:rPr>
          <w:rFonts w:ascii="Times New Roman" w:hAnsi="Times New Roman" w:cs="Times New Roman"/>
          <w:color w:val="000000"/>
          <w:sz w:val="24"/>
          <w:szCs w:val="24"/>
          <w:lang w:val="en-US"/>
        </w:rPr>
        <w:t xml:space="preserve"> </w:t>
      </w:r>
      <w:r w:rsidRPr="00621292">
        <w:rPr>
          <w:rFonts w:ascii="Times New Roman" w:hAnsi="Times New Roman" w:cs="Times New Roman"/>
          <w:sz w:val="24"/>
          <w:szCs w:val="24"/>
          <w:lang w:val="en-US"/>
        </w:rPr>
        <w:t xml:space="preserve">to the second half of the Codex Trust Fund lifespan and beyond. </w:t>
      </w:r>
    </w:p>
    <w:p w:rsidR="00231C30" w:rsidRPr="00920D75" w:rsidRDefault="00231C30" w:rsidP="00231C30">
      <w:pPr>
        <w:pStyle w:val="Liststycke1"/>
        <w:ind w:left="0"/>
        <w:jc w:val="both"/>
        <w:rPr>
          <w:rFonts w:ascii="Times New Roman" w:hAnsi="Times New Roman" w:cs="Times New Roman"/>
          <w:color w:val="000000"/>
          <w:sz w:val="24"/>
          <w:szCs w:val="24"/>
          <w:lang w:val="en-US"/>
        </w:rPr>
      </w:pPr>
    </w:p>
    <w:p w:rsidR="00231C30" w:rsidRPr="00920D75" w:rsidRDefault="00231C30" w:rsidP="00231C30">
      <w:pPr>
        <w:pStyle w:val="Liststycke1"/>
        <w:ind w:left="0"/>
        <w:jc w:val="both"/>
        <w:rPr>
          <w:rFonts w:ascii="Times New Roman" w:hAnsi="Times New Roman" w:cs="Times New Roman"/>
          <w:color w:val="000000"/>
          <w:sz w:val="24"/>
          <w:szCs w:val="24"/>
          <w:lang w:val="en-US"/>
        </w:rPr>
      </w:pPr>
      <w:r w:rsidRPr="00920D75">
        <w:rPr>
          <w:rFonts w:ascii="Times New Roman" w:hAnsi="Times New Roman" w:cs="Times New Roman"/>
          <w:color w:val="000000"/>
          <w:sz w:val="24"/>
          <w:szCs w:val="24"/>
          <w:lang w:val="en-US"/>
        </w:rPr>
        <w:t xml:space="preserve">The specific </w:t>
      </w:r>
      <w:r w:rsidRPr="00920D75">
        <w:rPr>
          <w:rFonts w:ascii="Times New Roman" w:hAnsi="Times New Roman" w:cs="Times New Roman"/>
          <w:b/>
          <w:bCs/>
          <w:color w:val="000000"/>
          <w:sz w:val="24"/>
          <w:szCs w:val="24"/>
          <w:lang w:val="en-US"/>
        </w:rPr>
        <w:t>objectives</w:t>
      </w:r>
      <w:r w:rsidRPr="00920D75">
        <w:rPr>
          <w:rFonts w:ascii="Times New Roman" w:hAnsi="Times New Roman" w:cs="Times New Roman"/>
          <w:color w:val="000000"/>
          <w:sz w:val="24"/>
          <w:szCs w:val="24"/>
          <w:lang w:val="en-US"/>
        </w:rPr>
        <w:t xml:space="preserve"> of the review are to:</w:t>
      </w:r>
    </w:p>
    <w:p w:rsidR="00231C30" w:rsidRPr="00920D75" w:rsidRDefault="00231C30" w:rsidP="00231C30">
      <w:pPr>
        <w:pStyle w:val="Liststycke1"/>
        <w:numPr>
          <w:ilvl w:val="0"/>
          <w:numId w:val="21"/>
        </w:numPr>
        <w:jc w:val="both"/>
        <w:rPr>
          <w:rFonts w:ascii="Times New Roman" w:hAnsi="Times New Roman" w:cs="Times New Roman"/>
          <w:color w:val="000000"/>
          <w:sz w:val="24"/>
          <w:szCs w:val="24"/>
          <w:lang w:val="en-US"/>
        </w:rPr>
      </w:pPr>
      <w:r w:rsidRPr="00920D75">
        <w:rPr>
          <w:rFonts w:ascii="Times New Roman" w:hAnsi="Times New Roman" w:cs="Times New Roman"/>
          <w:color w:val="000000"/>
          <w:sz w:val="24"/>
          <w:szCs w:val="24"/>
          <w:lang w:val="en-US"/>
        </w:rPr>
        <w:t>Identify and learn from the successes and weaknesses of the Trust Fund in its first 6 years of operation in regards to progress towards its key expected results, with special emphasis on its impact at the national and regional levels.</w:t>
      </w:r>
    </w:p>
    <w:p w:rsidR="00231C30" w:rsidRPr="00920D75" w:rsidRDefault="00231C30" w:rsidP="00231C30">
      <w:pPr>
        <w:pStyle w:val="Liststycke1"/>
        <w:numPr>
          <w:ilvl w:val="0"/>
          <w:numId w:val="21"/>
        </w:numPr>
        <w:jc w:val="both"/>
        <w:rPr>
          <w:rFonts w:ascii="Times New Roman" w:hAnsi="Times New Roman" w:cs="Times New Roman"/>
          <w:color w:val="000000"/>
          <w:sz w:val="24"/>
          <w:szCs w:val="24"/>
          <w:lang w:val="en-US"/>
        </w:rPr>
      </w:pPr>
      <w:r w:rsidRPr="00920D75">
        <w:rPr>
          <w:rFonts w:ascii="Times New Roman" w:hAnsi="Times New Roman" w:cs="Times New Roman"/>
          <w:color w:val="000000"/>
          <w:sz w:val="24"/>
          <w:szCs w:val="24"/>
          <w:lang w:val="en-US"/>
        </w:rPr>
        <w:t>Provide recommendations for refining or adjusting the focus of the Trust Fund's activities for the remaining project duration with a view to enable the Project to achieve a sustainable impact.</w:t>
      </w:r>
    </w:p>
    <w:p w:rsidR="00231C30" w:rsidRPr="00920D75" w:rsidRDefault="00231C30" w:rsidP="00231C30">
      <w:pPr>
        <w:pStyle w:val="Liststycke1"/>
        <w:numPr>
          <w:ilvl w:val="0"/>
          <w:numId w:val="21"/>
        </w:numPr>
        <w:jc w:val="both"/>
        <w:rPr>
          <w:rFonts w:ascii="Times New Roman" w:hAnsi="Times New Roman" w:cs="Times New Roman"/>
          <w:color w:val="000000"/>
          <w:sz w:val="24"/>
          <w:szCs w:val="24"/>
          <w:lang w:val="en-US"/>
        </w:rPr>
      </w:pPr>
      <w:r w:rsidRPr="00920D75">
        <w:rPr>
          <w:rFonts w:ascii="Times New Roman" w:hAnsi="Times New Roman" w:cs="Times New Roman"/>
          <w:color w:val="000000"/>
          <w:sz w:val="24"/>
          <w:szCs w:val="24"/>
          <w:lang w:val="en-US"/>
        </w:rPr>
        <w:t>Provide recommendations with regards to continuing or discontinuing the project beyond its 12 year lifespan</w:t>
      </w:r>
      <w:r>
        <w:rPr>
          <w:rFonts w:ascii="Times New Roman" w:hAnsi="Times New Roman" w:cs="Times New Roman"/>
          <w:color w:val="000000"/>
          <w:sz w:val="24"/>
          <w:szCs w:val="24"/>
          <w:lang w:val="en-US"/>
        </w:rPr>
        <w:t xml:space="preserve"> </w:t>
      </w:r>
      <w:r w:rsidRPr="00621292">
        <w:rPr>
          <w:rFonts w:ascii="Times New Roman" w:hAnsi="Times New Roman" w:cs="Times New Roman"/>
          <w:sz w:val="24"/>
          <w:szCs w:val="24"/>
          <w:lang w:val="en-US"/>
        </w:rPr>
        <w:t>with benefits and risks of each.</w:t>
      </w:r>
    </w:p>
    <w:p w:rsidR="00231C30" w:rsidRPr="00920D75" w:rsidRDefault="000829F6" w:rsidP="00231C30">
      <w:pPr>
        <w:pStyle w:val="Liststycke1"/>
        <w:ind w:left="0"/>
        <w:jc w:val="both"/>
        <w:rPr>
          <w:rFonts w:ascii="Times New Roman" w:hAnsi="Times New Roman" w:cs="Times New Roman"/>
          <w:color w:val="000000"/>
          <w:sz w:val="24"/>
          <w:szCs w:val="24"/>
          <w:lang w:val="en-US"/>
        </w:rPr>
      </w:pPr>
      <w:r>
        <w:rPr>
          <w:rFonts w:ascii="Times New Roman" w:hAnsi="Times New Roman" w:cs="Times New Roman"/>
          <w:noProof/>
          <w:sz w:val="24"/>
          <w:szCs w:val="24"/>
          <w:lang w:val="en-GB" w:eastAsia="en-GB"/>
        </w:rPr>
        <mc:AlternateContent>
          <mc:Choice Requires="wps">
            <w:drawing>
              <wp:anchor distT="0" distB="0" distL="114300" distR="114300" simplePos="0" relativeHeight="251660288" behindDoc="0" locked="0" layoutInCell="1" allowOverlap="1">
                <wp:simplePos x="0" y="0"/>
                <wp:positionH relativeFrom="column">
                  <wp:posOffset>-28575</wp:posOffset>
                </wp:positionH>
                <wp:positionV relativeFrom="paragraph">
                  <wp:posOffset>117475</wp:posOffset>
                </wp:positionV>
                <wp:extent cx="5715000" cy="278765"/>
                <wp:effectExtent l="0" t="3175" r="0" b="381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278765"/>
                        </a:xfrm>
                        <a:prstGeom prst="rect">
                          <a:avLst/>
                        </a:prstGeom>
                        <a:solidFill>
                          <a:srgbClr val="EAEAEA"/>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75C62" w:rsidRPr="00C057D3" w:rsidRDefault="00B75C62" w:rsidP="00231C30">
                            <w:pPr>
                              <w:rPr>
                                <w:rFonts w:ascii="Times New Roman" w:hAnsi="Times New Roman"/>
                                <w:b/>
                                <w:bCs/>
                                <w:lang w:val="en-GB"/>
                              </w:rPr>
                            </w:pPr>
                            <w:r w:rsidRPr="00C057D3">
                              <w:rPr>
                                <w:rFonts w:ascii="Times New Roman" w:hAnsi="Times New Roman"/>
                                <w:b/>
                                <w:bCs/>
                                <w:lang w:val="en-GB"/>
                              </w:rPr>
                              <w:t>II. Background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left:0;text-align:left;margin-left:-2.25pt;margin-top:9.25pt;width:450pt;height:2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" fillcolor="#eaeaea" stroked="f">
                <v:textbox>
                  <w:txbxContent>
                    <w:p w:rsidR="00B75C62" w:rsidRPr="00C057D3" w:rsidRDefault="00B75C62" w:rsidP="00231C30">
                      <w:pPr>
                        <w:rPr>
                          <w:rFonts w:ascii="Times New Roman" w:hAnsi="Times New Roman"/>
                          <w:b/>
                          <w:bCs/>
                          <w:lang w:val="en-GB"/>
                        </w:rPr>
                      </w:pPr>
                      <w:r w:rsidRPr="00C057D3">
                        <w:rPr>
                          <w:rFonts w:ascii="Times New Roman" w:hAnsi="Times New Roman"/>
                          <w:b/>
                          <w:bCs/>
                          <w:lang w:val="en-GB"/>
                        </w:rPr>
                        <w:t>II. Background</w:t>
                      </w:r>
                    </w:p>
                  </w:txbxContent>
                </v:textbox>
              </v:shape>
            </w:pict>
          </mc:Fallback>
        </mc:AlternateContent>
      </w:r>
    </w:p>
    <w:p w:rsidR="00231C30" w:rsidRPr="00920D75" w:rsidRDefault="00231C30" w:rsidP="00231C30">
      <w:pPr>
        <w:pStyle w:val="Liststycke1"/>
        <w:ind w:left="0"/>
        <w:jc w:val="both"/>
        <w:rPr>
          <w:rFonts w:ascii="Times New Roman" w:hAnsi="Times New Roman" w:cs="Times New Roman"/>
          <w:color w:val="000000"/>
          <w:sz w:val="24"/>
          <w:szCs w:val="24"/>
          <w:lang w:val="en-US"/>
        </w:rPr>
      </w:pPr>
    </w:p>
    <w:p w:rsidR="00231C30" w:rsidRPr="00920D75" w:rsidRDefault="00231C30" w:rsidP="00231C30">
      <w:pPr>
        <w:rPr>
          <w:rFonts w:ascii="Times New Roman" w:eastAsia="SimSun" w:hAnsi="Times New Roman"/>
          <w:lang w:val="en-US" w:eastAsia="zh-CN"/>
        </w:rPr>
      </w:pPr>
      <w:r w:rsidRPr="00920D75">
        <w:rPr>
          <w:rFonts w:ascii="Times New Roman" w:hAnsi="Times New Roman"/>
          <w:color w:val="000000"/>
          <w:lang w:val="en-US"/>
        </w:rPr>
        <w:t xml:space="preserve">The FAO/WHO Project and Fund for Enhanced Participation in Codex (Codex Trust Fund, CTF) was launched in 2003 by the Directors-General of FAO and WHO to help developing countries and those with economies in transition to enhance their level of effective participation in the Codex Alimentarius Commission. </w:t>
      </w:r>
      <w:r w:rsidRPr="00920D75">
        <w:rPr>
          <w:rFonts w:ascii="Times New Roman" w:eastAsia="SimSun" w:hAnsi="Times New Roman"/>
          <w:lang w:val="en-US" w:eastAsia="zh-CN"/>
        </w:rPr>
        <w:t xml:space="preserve">It aims to achieve this goal by providing resources for eligible countries to participate in Codex meetings and training courses and </w:t>
      </w:r>
      <w:r w:rsidRPr="00920D75">
        <w:rPr>
          <w:rFonts w:ascii="Times New Roman" w:hAnsi="Times New Roman"/>
          <w:lang w:val="en-US"/>
        </w:rPr>
        <w:t xml:space="preserve">enabling them to prepare scientific and technical data related to the </w:t>
      </w:r>
      <w:r>
        <w:rPr>
          <w:rFonts w:ascii="Times New Roman" w:hAnsi="Times New Roman"/>
          <w:lang w:val="en-US"/>
        </w:rPr>
        <w:t>Codex standard setting process.</w:t>
      </w:r>
      <w:r w:rsidRPr="00920D75">
        <w:rPr>
          <w:rFonts w:ascii="Times New Roman" w:hAnsi="Times New Roman"/>
          <w:lang w:val="en-US"/>
        </w:rPr>
        <w:t xml:space="preserve"> </w:t>
      </w:r>
    </w:p>
    <w:p w:rsidR="00231C30" w:rsidRPr="00920D75" w:rsidRDefault="00231C30" w:rsidP="00231C30">
      <w:pPr>
        <w:pStyle w:val="Liststycke1"/>
        <w:ind w:left="0"/>
        <w:jc w:val="both"/>
        <w:rPr>
          <w:rFonts w:ascii="Times New Roman" w:hAnsi="Times New Roman" w:cs="Times New Roman"/>
          <w:color w:val="000000"/>
          <w:sz w:val="24"/>
          <w:szCs w:val="24"/>
          <w:lang w:val="en-US"/>
        </w:rPr>
      </w:pPr>
      <w:r w:rsidRPr="00920D75">
        <w:rPr>
          <w:rFonts w:ascii="Times New Roman" w:hAnsi="Times New Roman" w:cs="Times New Roman"/>
          <w:sz w:val="24"/>
          <w:szCs w:val="24"/>
          <w:lang w:val="en-US"/>
        </w:rPr>
        <w:t xml:space="preserve">The Fund </w:t>
      </w:r>
      <w:r w:rsidRPr="00920D75">
        <w:rPr>
          <w:rFonts w:ascii="Times New Roman" w:hAnsi="Times New Roman" w:cs="Times New Roman"/>
          <w:sz w:val="24"/>
          <w:szCs w:val="24"/>
          <w:lang w:val="en-GB"/>
        </w:rPr>
        <w:t xml:space="preserve">has been operational since March 2004 when the minimum threshold of US$500,000 in contributions was reached. For the period March 2004-December 2008 inclusive, the Codex Trust Fund supported 884 participants from 129 countries to attend Codex meetings, task forces, and working groups.  </w:t>
      </w:r>
      <w:r>
        <w:rPr>
          <w:rFonts w:ascii="Times New Roman" w:hAnsi="Times New Roman" w:cs="Times New Roman"/>
          <w:sz w:val="24"/>
          <w:szCs w:val="24"/>
          <w:lang w:val="en-GB"/>
        </w:rPr>
        <w:t>As at December 2008</w:t>
      </w:r>
      <w:r w:rsidRPr="00920D75">
        <w:rPr>
          <w:rFonts w:ascii="Times New Roman" w:hAnsi="Times New Roman" w:cs="Times New Roman"/>
          <w:sz w:val="24"/>
          <w:szCs w:val="24"/>
          <w:lang w:val="en-GB"/>
        </w:rPr>
        <w:t xml:space="preserve">, the Fund </w:t>
      </w:r>
      <w:r w:rsidRPr="00920D75">
        <w:rPr>
          <w:rFonts w:ascii="Times New Roman" w:hAnsi="Times New Roman" w:cs="Times New Roman"/>
          <w:color w:val="000000"/>
          <w:sz w:val="24"/>
          <w:szCs w:val="24"/>
          <w:lang w:val="en-US"/>
        </w:rPr>
        <w:t>ha</w:t>
      </w:r>
      <w:r>
        <w:rPr>
          <w:rFonts w:ascii="Times New Roman" w:hAnsi="Times New Roman" w:cs="Times New Roman"/>
          <w:color w:val="000000"/>
          <w:sz w:val="24"/>
          <w:szCs w:val="24"/>
          <w:lang w:val="en-US"/>
        </w:rPr>
        <w:t>d</w:t>
      </w:r>
      <w:r w:rsidRPr="00920D75">
        <w:rPr>
          <w:rFonts w:ascii="Times New Roman" w:hAnsi="Times New Roman" w:cs="Times New Roman"/>
          <w:color w:val="000000"/>
          <w:sz w:val="24"/>
          <w:szCs w:val="24"/>
          <w:lang w:val="en-US"/>
        </w:rPr>
        <w:t xml:space="preserve"> received over </w:t>
      </w:r>
      <w:r>
        <w:rPr>
          <w:rFonts w:ascii="Times New Roman" w:hAnsi="Times New Roman" w:cs="Times New Roman"/>
          <w:color w:val="000000"/>
          <w:sz w:val="24"/>
          <w:szCs w:val="24"/>
          <w:lang w:val="en-US"/>
        </w:rPr>
        <w:t>US $</w:t>
      </w:r>
      <w:r w:rsidRPr="00920D75">
        <w:rPr>
          <w:rFonts w:ascii="Times New Roman" w:hAnsi="Times New Roman" w:cs="Times New Roman"/>
          <w:color w:val="000000"/>
          <w:sz w:val="24"/>
          <w:szCs w:val="24"/>
          <w:lang w:val="en-US"/>
        </w:rPr>
        <w:t xml:space="preserve">7.4 million from 14 </w:t>
      </w:r>
      <w:r>
        <w:rPr>
          <w:rFonts w:ascii="Times New Roman" w:hAnsi="Times New Roman" w:cs="Times New Roman"/>
          <w:color w:val="000000"/>
          <w:sz w:val="24"/>
          <w:szCs w:val="24"/>
          <w:lang w:val="en-US"/>
        </w:rPr>
        <w:t xml:space="preserve">Codex Member States </w:t>
      </w:r>
      <w:r w:rsidRPr="00920D75">
        <w:rPr>
          <w:rFonts w:ascii="Times New Roman" w:hAnsi="Times New Roman" w:cs="Times New Roman"/>
          <w:color w:val="000000"/>
          <w:sz w:val="24"/>
          <w:szCs w:val="24"/>
          <w:lang w:val="en-US"/>
        </w:rPr>
        <w:t>and the European Union</w:t>
      </w:r>
      <w:r>
        <w:rPr>
          <w:rFonts w:ascii="Times New Roman" w:hAnsi="Times New Roman" w:cs="Times New Roman"/>
          <w:color w:val="000000"/>
          <w:sz w:val="24"/>
          <w:szCs w:val="24"/>
          <w:lang w:val="en-US"/>
        </w:rPr>
        <w:t xml:space="preserve"> as a Codex Member Organization</w:t>
      </w:r>
      <w:r w:rsidRPr="00920D75">
        <w:rPr>
          <w:rFonts w:ascii="Times New Roman" w:hAnsi="Times New Roman" w:cs="Times New Roman"/>
          <w:color w:val="000000"/>
          <w:sz w:val="24"/>
          <w:szCs w:val="24"/>
          <w:lang w:val="en-US"/>
        </w:rPr>
        <w:t>.</w:t>
      </w:r>
    </w:p>
    <w:p w:rsidR="00231C30" w:rsidRPr="00920D75" w:rsidRDefault="00231C30" w:rsidP="00231C30">
      <w:pPr>
        <w:pStyle w:val="Liststycke1"/>
        <w:ind w:left="0"/>
        <w:jc w:val="both"/>
        <w:rPr>
          <w:rFonts w:ascii="Times New Roman" w:hAnsi="Times New Roman" w:cs="Times New Roman"/>
          <w:sz w:val="24"/>
          <w:szCs w:val="24"/>
          <w:lang w:val="en-US"/>
        </w:rPr>
      </w:pPr>
    </w:p>
    <w:p w:rsidR="00231C30" w:rsidRPr="00920D75" w:rsidRDefault="00231C30" w:rsidP="00231C30">
      <w:pPr>
        <w:pStyle w:val="Liststycke1"/>
        <w:ind w:left="0"/>
        <w:jc w:val="both"/>
        <w:rPr>
          <w:rFonts w:ascii="Times New Roman" w:eastAsia="SimSun" w:hAnsi="Times New Roman" w:cs="Times New Roman"/>
          <w:sz w:val="24"/>
          <w:szCs w:val="24"/>
          <w:lang w:val="en-US" w:eastAsia="zh-CN"/>
        </w:rPr>
      </w:pPr>
      <w:r w:rsidRPr="00920D75">
        <w:rPr>
          <w:rFonts w:ascii="Times New Roman" w:hAnsi="Times New Roman" w:cs="Times New Roman"/>
          <w:sz w:val="24"/>
          <w:szCs w:val="24"/>
          <w:lang w:val="en-US"/>
        </w:rPr>
        <w:lastRenderedPageBreak/>
        <w:t>The Codex Trust Fund is guided by an FAO/WHO Consultative Group for the Trust Fund consisting of senior FAO and WHO staff, regional office representation and officers to provide advice on legal matters and resource mobilization. Daily management of the Fund is undertaken by the Fund's Secretariat, staffed by one full-time general service (secretarial) staff, and one part-time (50%) professional staff.  The Codex Trust Fund Secretariat is located in the Department of Food Safety</w:t>
      </w:r>
      <w:r>
        <w:rPr>
          <w:rFonts w:ascii="Times New Roman" w:hAnsi="Times New Roman" w:cs="Times New Roman"/>
          <w:sz w:val="24"/>
          <w:szCs w:val="24"/>
          <w:lang w:val="en-US"/>
        </w:rPr>
        <w:t xml:space="preserve"> and </w:t>
      </w:r>
      <w:r w:rsidRPr="00920D75">
        <w:rPr>
          <w:rFonts w:ascii="Times New Roman" w:hAnsi="Times New Roman" w:cs="Times New Roman"/>
          <w:sz w:val="24"/>
          <w:szCs w:val="24"/>
          <w:lang w:val="en-US"/>
        </w:rPr>
        <w:t>Zoonoses at the Headquarters of WHO in Geneva.</w:t>
      </w:r>
    </w:p>
    <w:p w:rsidR="00231C30" w:rsidRPr="00920D75" w:rsidRDefault="00231C30" w:rsidP="00231C30">
      <w:pPr>
        <w:pStyle w:val="Liststycke1"/>
        <w:ind w:left="0"/>
        <w:jc w:val="both"/>
        <w:rPr>
          <w:rFonts w:ascii="Times New Roman" w:hAnsi="Times New Roman" w:cs="Times New Roman"/>
          <w:sz w:val="24"/>
          <w:szCs w:val="24"/>
          <w:lang w:val="en-US"/>
        </w:rPr>
      </w:pPr>
    </w:p>
    <w:p w:rsidR="00231C30" w:rsidRPr="00920D75" w:rsidRDefault="00231C30" w:rsidP="00231C30">
      <w:pPr>
        <w:pStyle w:val="Liststycke1"/>
        <w:spacing w:after="0" w:line="240" w:lineRule="auto"/>
        <w:ind w:left="0"/>
        <w:jc w:val="both"/>
        <w:rPr>
          <w:rFonts w:ascii="Times New Roman" w:hAnsi="Times New Roman" w:cs="Times New Roman"/>
          <w:sz w:val="24"/>
          <w:szCs w:val="24"/>
          <w:lang w:val="en-US"/>
        </w:rPr>
      </w:pPr>
      <w:r w:rsidRPr="00920D75">
        <w:rPr>
          <w:rFonts w:ascii="Times New Roman" w:hAnsi="Times New Roman" w:cs="Times New Roman"/>
          <w:sz w:val="24"/>
          <w:szCs w:val="24"/>
          <w:lang w:val="en-US"/>
        </w:rPr>
        <w:t>Two independent assessments on the impact and performance of the Trust Fund were carried out in 2007:</w:t>
      </w:r>
    </w:p>
    <w:p w:rsidR="00E4655B" w:rsidRDefault="00231C30">
      <w:pPr>
        <w:pStyle w:val="Default"/>
        <w:numPr>
          <w:ilvl w:val="0"/>
          <w:numId w:val="12"/>
        </w:numPr>
        <w:ind w:left="1068"/>
      </w:pPr>
      <w:r w:rsidRPr="00927CF7">
        <w:rPr>
          <w:lang w:val="en-US"/>
        </w:rPr>
        <w:t xml:space="preserve">Connor, R.J. (2007) </w:t>
      </w:r>
      <w:r w:rsidRPr="00927CF7">
        <w:rPr>
          <w:i/>
          <w:iCs/>
          <w:lang w:val="en-US"/>
        </w:rPr>
        <w:t>Initiatives to explore linkages between increased participation in Codex and enhanced international food trade opportunities.</w:t>
      </w:r>
      <w:r w:rsidRPr="00927CF7">
        <w:rPr>
          <w:lang w:val="en-US"/>
        </w:rPr>
        <w:t xml:space="preserve">  </w:t>
      </w:r>
      <w:r w:rsidRPr="00920D75">
        <w:t>Funded by the UK Department for International Development (DFID).</w:t>
      </w:r>
    </w:p>
    <w:p w:rsidR="00E4655B" w:rsidRDefault="00231C30">
      <w:pPr>
        <w:pStyle w:val="Default"/>
        <w:numPr>
          <w:ilvl w:val="0"/>
          <w:numId w:val="12"/>
        </w:numPr>
        <w:spacing w:before="120"/>
        <w:ind w:left="1066" w:hanging="357"/>
      </w:pPr>
      <w:r w:rsidRPr="00927CF7">
        <w:rPr>
          <w:lang w:val="en-US"/>
        </w:rPr>
        <w:t xml:space="preserve">Slorach, S. (2007) </w:t>
      </w:r>
      <w:r w:rsidRPr="00927CF7">
        <w:rPr>
          <w:i/>
          <w:iCs/>
          <w:lang w:val="en-US"/>
        </w:rPr>
        <w:t>Enquiry Concerning the FAO/WHO Project and Trust Fund for Enhanced Participation in Codex</w:t>
      </w:r>
      <w:r w:rsidRPr="00927CF7">
        <w:rPr>
          <w:lang w:val="en-US"/>
        </w:rPr>
        <w:t xml:space="preserve">.  </w:t>
      </w:r>
      <w:r w:rsidRPr="00920D75">
        <w:t>Funded by Swedish International Development Agency (SIDA).</w:t>
      </w:r>
    </w:p>
    <w:p w:rsidR="00231C30" w:rsidRPr="00920D75" w:rsidRDefault="00231C30" w:rsidP="00231C30">
      <w:pPr>
        <w:pStyle w:val="Liststycke1"/>
        <w:spacing w:after="0" w:line="240" w:lineRule="auto"/>
        <w:ind w:left="0"/>
        <w:jc w:val="both"/>
        <w:rPr>
          <w:rFonts w:ascii="Times New Roman" w:hAnsi="Times New Roman" w:cs="Times New Roman"/>
          <w:sz w:val="24"/>
          <w:szCs w:val="24"/>
          <w:lang w:val="en-US"/>
        </w:rPr>
      </w:pPr>
    </w:p>
    <w:p w:rsidR="00231C30" w:rsidRPr="00920D75" w:rsidRDefault="00231C30" w:rsidP="00231C30">
      <w:pPr>
        <w:pStyle w:val="Liststycke1"/>
        <w:ind w:left="0"/>
        <w:jc w:val="both"/>
        <w:rPr>
          <w:rFonts w:ascii="Times New Roman" w:hAnsi="Times New Roman" w:cs="Times New Roman"/>
          <w:sz w:val="24"/>
          <w:szCs w:val="24"/>
          <w:lang w:val="en-US"/>
        </w:rPr>
      </w:pPr>
      <w:r w:rsidRPr="00920D75">
        <w:rPr>
          <w:rFonts w:ascii="Times New Roman" w:hAnsi="Times New Roman" w:cs="Times New Roman"/>
          <w:sz w:val="24"/>
          <w:szCs w:val="24"/>
          <w:lang w:val="en-US"/>
        </w:rPr>
        <w:t xml:space="preserve">The assessments examined the performance and impact of the Trust Fund against the objectives and expected outputs of the Trust fund as stated in the Project Document establishing the Trust Fund (see </w:t>
      </w:r>
      <w:r w:rsidR="00A84844">
        <w:rPr>
          <w:rFonts w:ascii="Times New Roman" w:hAnsi="Times New Roman" w:cs="Times New Roman"/>
          <w:sz w:val="24"/>
          <w:szCs w:val="24"/>
          <w:lang w:val="en-US"/>
        </w:rPr>
        <w:t>Annex</w:t>
      </w:r>
      <w:r w:rsidRPr="00920D75">
        <w:rPr>
          <w:rFonts w:ascii="Times New Roman" w:hAnsi="Times New Roman" w:cs="Times New Roman"/>
          <w:sz w:val="24"/>
          <w:szCs w:val="24"/>
          <w:lang w:val="en-US"/>
        </w:rPr>
        <w:t xml:space="preserve"> 1 for a summary of objectives and outputs extracted from the Project Document</w:t>
      </w:r>
      <w:r w:rsidRPr="00920D75">
        <w:rPr>
          <w:rStyle w:val="FootnoteReference"/>
          <w:rFonts w:ascii="Times New Roman" w:hAnsi="Times New Roman"/>
          <w:sz w:val="24"/>
          <w:szCs w:val="24"/>
          <w:lang w:val="en-US"/>
        </w:rPr>
        <w:footnoteReference w:id="20"/>
      </w:r>
      <w:r w:rsidRPr="00920D75">
        <w:rPr>
          <w:rFonts w:ascii="Times New Roman" w:hAnsi="Times New Roman" w:cs="Times New Roman"/>
          <w:sz w:val="24"/>
          <w:szCs w:val="24"/>
          <w:lang w:val="en-US"/>
        </w:rPr>
        <w:t xml:space="preserve">). Both of the assessments concluded that the Trust Fund has been successful in allowing developing countries to participate in setting global food standards (output 1), but that additional efforts were required to strengthen overall participation in Codex (output 2) and enhance the scientific/technical participation in Codex (output 3).  Both reports also recommended that a monitoring and evaluation system be developed. In response to the conclusions of the evaluations, a strategic planning process was carried out in 2008 and a strategic action plan (2008-2009) drafted to guide the work of the Codex Trust Fund. </w:t>
      </w:r>
    </w:p>
    <w:p w:rsidR="00231C30" w:rsidRPr="00920D75" w:rsidRDefault="00231C30" w:rsidP="00231C30">
      <w:pPr>
        <w:pStyle w:val="Liststycke1"/>
        <w:ind w:left="0"/>
        <w:jc w:val="both"/>
        <w:rPr>
          <w:rFonts w:ascii="Times New Roman" w:hAnsi="Times New Roman" w:cs="Times New Roman"/>
          <w:sz w:val="24"/>
          <w:szCs w:val="24"/>
          <w:lang w:val="en-US"/>
        </w:rPr>
      </w:pPr>
    </w:p>
    <w:p w:rsidR="00231C30" w:rsidRPr="00920D75" w:rsidRDefault="00231C30" w:rsidP="00231C30">
      <w:pPr>
        <w:pStyle w:val="Liststycke1"/>
        <w:ind w:left="0"/>
        <w:jc w:val="both"/>
        <w:rPr>
          <w:rFonts w:ascii="Times New Roman" w:hAnsi="Times New Roman" w:cs="Times New Roman"/>
          <w:sz w:val="24"/>
          <w:szCs w:val="24"/>
          <w:lang w:val="en-US"/>
        </w:rPr>
      </w:pPr>
      <w:r w:rsidRPr="00920D75">
        <w:rPr>
          <w:rFonts w:ascii="Times New Roman" w:hAnsi="Times New Roman" w:cs="Times New Roman"/>
          <w:sz w:val="24"/>
          <w:szCs w:val="24"/>
          <w:lang w:val="en-US"/>
        </w:rPr>
        <w:t xml:space="preserve">The Trust Fund is currently in its sixth year of operation, half way through its planned duration. As specified in the Codex Alimentarius Commission Strategic Plan 2008-2013, a mid-term review (MTR) to assess the progress and sustainability of the Fund, should be carried out.  In line with established good practices in evaluations, the mid-term review will be carried out by an </w:t>
      </w:r>
      <w:r w:rsidRPr="00920D75">
        <w:rPr>
          <w:rFonts w:ascii="Times New Roman" w:eastAsia="SimSun" w:hAnsi="Times New Roman" w:cs="Times New Roman"/>
          <w:color w:val="000000"/>
          <w:sz w:val="24"/>
          <w:szCs w:val="24"/>
          <w:lang w:val="en-US" w:eastAsia="zh-CN"/>
        </w:rPr>
        <w:t>independent external evaluator/evaluation team.</w:t>
      </w:r>
    </w:p>
    <w:p w:rsidR="00231C30" w:rsidRPr="00920D75" w:rsidRDefault="00231C30" w:rsidP="00231C30">
      <w:pPr>
        <w:pStyle w:val="Liststycke1"/>
        <w:ind w:left="0"/>
        <w:jc w:val="both"/>
        <w:rPr>
          <w:rFonts w:ascii="Times New Roman" w:hAnsi="Times New Roman" w:cs="Times New Roman"/>
          <w:sz w:val="24"/>
          <w:szCs w:val="24"/>
          <w:lang w:val="en-US"/>
        </w:rPr>
      </w:pPr>
    </w:p>
    <w:p w:rsidR="00231C30" w:rsidRDefault="00231C30" w:rsidP="00231C30">
      <w:pPr>
        <w:pStyle w:val="Liststycke1"/>
        <w:ind w:left="0"/>
        <w:jc w:val="both"/>
        <w:rPr>
          <w:rFonts w:ascii="Times New Roman" w:hAnsi="Times New Roman" w:cs="Times New Roman"/>
          <w:sz w:val="24"/>
          <w:szCs w:val="24"/>
          <w:lang w:val="en-US"/>
        </w:rPr>
      </w:pPr>
      <w:r w:rsidRPr="00920D75">
        <w:rPr>
          <w:rFonts w:ascii="Times New Roman" w:hAnsi="Times New Roman" w:cs="Times New Roman"/>
          <w:sz w:val="24"/>
          <w:szCs w:val="24"/>
          <w:lang w:val="en-US"/>
        </w:rPr>
        <w:t>It is envisaged that the results and recommendations of the mid-term review will be presented to Codex member states at the 33</w:t>
      </w:r>
      <w:r w:rsidRPr="00920D75">
        <w:rPr>
          <w:rFonts w:ascii="Times New Roman" w:hAnsi="Times New Roman" w:cs="Times New Roman"/>
          <w:sz w:val="24"/>
          <w:szCs w:val="24"/>
          <w:vertAlign w:val="superscript"/>
          <w:lang w:val="en-US"/>
        </w:rPr>
        <w:t>rd</w:t>
      </w:r>
      <w:r w:rsidRPr="00920D75">
        <w:rPr>
          <w:rFonts w:ascii="Times New Roman" w:hAnsi="Times New Roman" w:cs="Times New Roman"/>
          <w:sz w:val="24"/>
          <w:szCs w:val="24"/>
          <w:lang w:val="en-US"/>
        </w:rPr>
        <w:t xml:space="preserve"> Session of the Codex Alimentarius Commission. The final report of the mid-term review will be published on the Codex Trust Fund website</w:t>
      </w:r>
      <w:r>
        <w:rPr>
          <w:rFonts w:ascii="Times New Roman" w:hAnsi="Times New Roman" w:cs="Times New Roman"/>
          <w:sz w:val="24"/>
          <w:szCs w:val="24"/>
          <w:lang w:val="en-US"/>
        </w:rPr>
        <w:t xml:space="preserve"> and circulated widely to relevant networks using electronic means. R</w:t>
      </w:r>
      <w:r w:rsidRPr="00920D75">
        <w:rPr>
          <w:rFonts w:ascii="Times New Roman" w:hAnsi="Times New Roman" w:cs="Times New Roman"/>
          <w:sz w:val="24"/>
          <w:szCs w:val="24"/>
          <w:lang w:val="en-US"/>
        </w:rPr>
        <w:t xml:space="preserve">ecommendations agreed upon will be incorporated into a plan of action for 2010-2012 for implementation by the Codex Trust Fund and stakeholder groups as appropriate.  </w:t>
      </w:r>
    </w:p>
    <w:p w:rsidR="00231C30" w:rsidRDefault="00231C30" w:rsidP="00231C30">
      <w:pPr>
        <w:pStyle w:val="Liststycke1"/>
        <w:ind w:left="0"/>
        <w:jc w:val="both"/>
        <w:rPr>
          <w:rFonts w:ascii="Times New Roman" w:hAnsi="Times New Roman" w:cs="Times New Roman"/>
          <w:sz w:val="24"/>
          <w:szCs w:val="24"/>
          <w:lang w:val="en-US"/>
        </w:rPr>
      </w:pPr>
    </w:p>
    <w:p w:rsidR="00231C30" w:rsidRDefault="00231C30" w:rsidP="00231C30">
      <w:pPr>
        <w:pStyle w:val="Liststycke1"/>
        <w:ind w:left="0"/>
        <w:jc w:val="both"/>
        <w:rPr>
          <w:rFonts w:ascii="Times New Roman" w:hAnsi="Times New Roman" w:cs="Times New Roman"/>
          <w:sz w:val="24"/>
          <w:szCs w:val="24"/>
          <w:lang w:val="en-US"/>
        </w:rPr>
      </w:pPr>
    </w:p>
    <w:p w:rsidR="00231C30" w:rsidRDefault="00231C30" w:rsidP="00231C30">
      <w:pPr>
        <w:pStyle w:val="Liststycke1"/>
        <w:ind w:left="0"/>
        <w:jc w:val="both"/>
        <w:rPr>
          <w:rFonts w:ascii="Times New Roman" w:hAnsi="Times New Roman" w:cs="Times New Roman"/>
          <w:sz w:val="24"/>
          <w:szCs w:val="24"/>
          <w:lang w:val="en-US"/>
        </w:rPr>
      </w:pPr>
    </w:p>
    <w:p w:rsidR="00231C30" w:rsidRDefault="00231C30" w:rsidP="00231C30">
      <w:pPr>
        <w:pStyle w:val="Liststycke1"/>
        <w:ind w:left="0"/>
        <w:jc w:val="both"/>
        <w:rPr>
          <w:rFonts w:ascii="Times New Roman" w:hAnsi="Times New Roman" w:cs="Times New Roman"/>
          <w:sz w:val="24"/>
          <w:szCs w:val="24"/>
          <w:lang w:val="en-US"/>
        </w:rPr>
      </w:pPr>
    </w:p>
    <w:p w:rsidR="00231C30" w:rsidRPr="00920D75" w:rsidRDefault="00231C30" w:rsidP="00231C30">
      <w:pPr>
        <w:pStyle w:val="Liststycke1"/>
        <w:ind w:left="0"/>
        <w:jc w:val="both"/>
        <w:rPr>
          <w:rFonts w:ascii="Times New Roman" w:hAnsi="Times New Roman" w:cs="Times New Roman"/>
          <w:sz w:val="24"/>
          <w:szCs w:val="24"/>
          <w:lang w:val="en-US"/>
        </w:rPr>
      </w:pPr>
    </w:p>
    <w:p w:rsidR="00231C30" w:rsidRPr="00920D75" w:rsidRDefault="000829F6" w:rsidP="00231C30">
      <w:pPr>
        <w:pStyle w:val="Liststycke1"/>
        <w:ind w:left="0"/>
        <w:jc w:val="both"/>
        <w:rPr>
          <w:rFonts w:ascii="Times New Roman" w:hAnsi="Times New Roman" w:cs="Times New Roman"/>
          <w:sz w:val="24"/>
          <w:szCs w:val="24"/>
          <w:lang w:val="en-US"/>
        </w:rPr>
      </w:pPr>
      <w:r>
        <w:rPr>
          <w:rFonts w:ascii="Times New Roman" w:hAnsi="Times New Roman" w:cs="Times New Roman"/>
          <w:noProof/>
          <w:sz w:val="24"/>
          <w:szCs w:val="24"/>
          <w:lang w:val="en-GB" w:eastAsia="en-GB"/>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291465</wp:posOffset>
                </wp:positionV>
                <wp:extent cx="5715000" cy="278765"/>
                <wp:effectExtent l="0" t="0" r="0" b="1270"/>
                <wp:wrapNone/>
                <wp:docPr id="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278765"/>
                        </a:xfrm>
                        <a:prstGeom prst="rect">
                          <a:avLst/>
                        </a:prstGeom>
                        <a:solidFill>
                          <a:srgbClr val="EAEAEA"/>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75C62" w:rsidRPr="00C057D3" w:rsidRDefault="00B75C62" w:rsidP="00231C30">
                            <w:pPr>
                              <w:rPr>
                                <w:rFonts w:ascii="Times New Roman" w:hAnsi="Times New Roman"/>
                                <w:b/>
                                <w:bCs/>
                                <w:lang w:val="en-GB"/>
                              </w:rPr>
                            </w:pPr>
                            <w:r w:rsidRPr="00C057D3">
                              <w:rPr>
                                <w:rFonts w:ascii="Times New Roman" w:hAnsi="Times New Roman"/>
                                <w:b/>
                                <w:bCs/>
                                <w:lang w:val="en-GB"/>
                              </w:rPr>
                              <w:t>III. Evaluation criteria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8" type="#_x0000_t202" style="position:absolute;left:0;text-align:left;margin-left:0;margin-top:22.95pt;width:450pt;height:21.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" fillcolor="#eaeaea" stroked="f">
                <v:textbox>
                  <w:txbxContent>
                    <w:p w:rsidR="00B75C62" w:rsidRPr="00C057D3" w:rsidRDefault="00B75C62" w:rsidP="00231C30">
                      <w:pPr>
                        <w:rPr>
                          <w:rFonts w:ascii="Times New Roman" w:hAnsi="Times New Roman"/>
                          <w:b/>
                          <w:bCs/>
                          <w:lang w:val="en-GB"/>
                        </w:rPr>
                      </w:pPr>
                      <w:r w:rsidRPr="00C057D3">
                        <w:rPr>
                          <w:rFonts w:ascii="Times New Roman" w:hAnsi="Times New Roman"/>
                          <w:b/>
                          <w:bCs/>
                          <w:lang w:val="en-GB"/>
                        </w:rPr>
                        <w:t>III. Evaluation criteria</w:t>
                      </w:r>
                    </w:p>
                  </w:txbxContent>
                </v:textbox>
              </v:shape>
            </w:pict>
          </mc:Fallback>
        </mc:AlternateContent>
      </w:r>
    </w:p>
    <w:p w:rsidR="00231C30" w:rsidRPr="00920D75" w:rsidRDefault="00231C30" w:rsidP="00231C30">
      <w:pPr>
        <w:rPr>
          <w:rFonts w:ascii="Times New Roman" w:hAnsi="Times New Roman"/>
          <w:lang w:val="en-US"/>
        </w:rPr>
      </w:pPr>
      <w:r w:rsidRPr="00920D75">
        <w:rPr>
          <w:rFonts w:ascii="Times New Roman" w:hAnsi="Times New Roman"/>
          <w:lang w:val="en-US"/>
        </w:rPr>
        <w:t>The mid-term review should address the following questions.</w:t>
      </w:r>
    </w:p>
    <w:p w:rsidR="00231C30" w:rsidRPr="00920D75" w:rsidRDefault="00231C30" w:rsidP="00231C30">
      <w:pPr>
        <w:autoSpaceDE w:val="0"/>
        <w:autoSpaceDN w:val="0"/>
        <w:adjustRightInd w:val="0"/>
        <w:spacing w:after="0"/>
        <w:rPr>
          <w:rFonts w:ascii="Times New Roman" w:eastAsia="SimSun" w:hAnsi="Times New Roman"/>
          <w:lang w:val="en-US" w:eastAsia="zh-CN"/>
        </w:rPr>
      </w:pPr>
      <w:r w:rsidRPr="00920D75">
        <w:rPr>
          <w:rFonts w:ascii="Times New Roman" w:hAnsi="Times New Roman"/>
          <w:lang w:val="en-US"/>
        </w:rPr>
        <w:t xml:space="preserve">Performance shall be measured against the objectives and expected outputs of the Trust Fund as established in the Codex Trust Fund Project Document and outlined in </w:t>
      </w:r>
      <w:r w:rsidR="00A84844">
        <w:rPr>
          <w:rFonts w:ascii="Times New Roman" w:hAnsi="Times New Roman"/>
          <w:lang w:val="en-US"/>
        </w:rPr>
        <w:t>Annex</w:t>
      </w:r>
      <w:r w:rsidRPr="00920D75">
        <w:rPr>
          <w:rFonts w:ascii="Times New Roman" w:hAnsi="Times New Roman"/>
          <w:lang w:val="en-US"/>
        </w:rPr>
        <w:t xml:space="preserve"> 1.  </w:t>
      </w:r>
      <w:r w:rsidRPr="00920D75">
        <w:rPr>
          <w:rFonts w:ascii="Times New Roman" w:eastAsia="SimSun" w:hAnsi="Times New Roman"/>
          <w:lang w:val="en-US" w:eastAsia="zh-CN"/>
        </w:rPr>
        <w:t xml:space="preserve">The key objective of the Trust Fund is to help developing countries and those with economies in transition to enhance their level of effective participation in the development of global food safety and quality standards by the Codex Alimentarius Commission. </w:t>
      </w:r>
    </w:p>
    <w:p w:rsidR="00231C30" w:rsidRPr="00920D75" w:rsidRDefault="00231C30" w:rsidP="00231C30">
      <w:pPr>
        <w:autoSpaceDE w:val="0"/>
        <w:autoSpaceDN w:val="0"/>
        <w:adjustRightInd w:val="0"/>
        <w:spacing w:after="0"/>
        <w:rPr>
          <w:rFonts w:ascii="Times New Roman" w:eastAsia="SimSun" w:hAnsi="Times New Roman"/>
          <w:lang w:val="en-US" w:eastAsia="zh-CN"/>
        </w:rPr>
      </w:pPr>
    </w:p>
    <w:p w:rsidR="00231C30" w:rsidRPr="00920D75" w:rsidRDefault="00231C30" w:rsidP="00231C30">
      <w:pPr>
        <w:autoSpaceDE w:val="0"/>
        <w:autoSpaceDN w:val="0"/>
        <w:adjustRightInd w:val="0"/>
        <w:spacing w:after="120"/>
        <w:rPr>
          <w:rFonts w:ascii="Times New Roman" w:eastAsia="SimSun" w:hAnsi="Times New Roman"/>
          <w:lang w:val="en-US" w:eastAsia="zh-CN"/>
        </w:rPr>
      </w:pPr>
      <w:r w:rsidRPr="00920D75">
        <w:rPr>
          <w:rFonts w:ascii="Times New Roman" w:eastAsia="SimSun" w:hAnsi="Times New Roman"/>
          <w:lang w:val="en-US" w:eastAsia="zh-CN"/>
        </w:rPr>
        <w:t>The expected outputs of the Codex Trust Fund are:</w:t>
      </w:r>
    </w:p>
    <w:p w:rsidR="00231C30" w:rsidRPr="00920D75" w:rsidRDefault="00231C30" w:rsidP="00231C30">
      <w:pPr>
        <w:numPr>
          <w:ilvl w:val="0"/>
          <w:numId w:val="17"/>
        </w:numPr>
        <w:autoSpaceDE w:val="0"/>
        <w:autoSpaceDN w:val="0"/>
        <w:adjustRightInd w:val="0"/>
        <w:spacing w:after="0"/>
        <w:rPr>
          <w:rFonts w:ascii="Times New Roman" w:eastAsia="SimSun" w:hAnsi="Times New Roman"/>
          <w:lang w:val="en-US" w:eastAsia="zh-CN"/>
        </w:rPr>
      </w:pPr>
      <w:r w:rsidRPr="00920D75">
        <w:rPr>
          <w:rFonts w:ascii="Times New Roman" w:eastAsia="SimSun" w:hAnsi="Times New Roman"/>
          <w:i/>
          <w:iCs/>
          <w:lang w:val="en-US" w:eastAsia="zh-CN"/>
        </w:rPr>
        <w:t>Widening participation in Codex.</w:t>
      </w:r>
      <w:r w:rsidRPr="00920D75">
        <w:rPr>
          <w:rFonts w:ascii="Times New Roman" w:eastAsia="SimSun" w:hAnsi="Times New Roman"/>
          <w:lang w:val="en-US" w:eastAsia="zh-CN"/>
        </w:rPr>
        <w:t xml:space="preserve">  The number of countries routinely providing delegations to CAC sessions and to its committees/task forces, that address issues of priority health and economic concern for their specific countries, will have increased.</w:t>
      </w:r>
    </w:p>
    <w:p w:rsidR="00E4655B" w:rsidRDefault="00231C30">
      <w:pPr>
        <w:numPr>
          <w:ilvl w:val="0"/>
          <w:numId w:val="17"/>
        </w:numPr>
        <w:autoSpaceDE w:val="0"/>
        <w:autoSpaceDN w:val="0"/>
        <w:adjustRightInd w:val="0"/>
        <w:spacing w:before="120" w:after="0"/>
        <w:ind w:left="714" w:hanging="357"/>
        <w:rPr>
          <w:rFonts w:ascii="Times New Roman" w:eastAsia="SimSun" w:hAnsi="Times New Roman"/>
          <w:lang w:val="en-US" w:eastAsia="zh-CN"/>
        </w:rPr>
      </w:pPr>
      <w:r w:rsidRPr="00920D75">
        <w:rPr>
          <w:rFonts w:ascii="Times New Roman" w:eastAsia="SimSun" w:hAnsi="Times New Roman"/>
          <w:i/>
          <w:iCs/>
          <w:lang w:val="en-US" w:eastAsia="zh-CN"/>
        </w:rPr>
        <w:t>Strengthening overall participation in Codex.</w:t>
      </w:r>
      <w:r w:rsidRPr="00920D75">
        <w:rPr>
          <w:rFonts w:ascii="Times New Roman" w:eastAsia="SimSun" w:hAnsi="Times New Roman"/>
          <w:lang w:val="en-US" w:eastAsia="zh-CN"/>
        </w:rPr>
        <w:t xml:space="preserve"> The number of countries routinely developing and putting forth national considerations in the Codex standard setting process will have increased along with their participation in Codex committees/task forces.</w:t>
      </w:r>
    </w:p>
    <w:p w:rsidR="00E4655B" w:rsidRDefault="00231C30">
      <w:pPr>
        <w:numPr>
          <w:ilvl w:val="0"/>
          <w:numId w:val="17"/>
        </w:numPr>
        <w:autoSpaceDE w:val="0"/>
        <w:autoSpaceDN w:val="0"/>
        <w:adjustRightInd w:val="0"/>
        <w:spacing w:before="120" w:after="0"/>
        <w:ind w:left="714" w:hanging="357"/>
        <w:rPr>
          <w:rFonts w:ascii="Times New Roman" w:eastAsia="SimSun" w:hAnsi="Times New Roman"/>
          <w:lang w:val="en-US" w:eastAsia="zh-CN"/>
        </w:rPr>
      </w:pPr>
      <w:r w:rsidRPr="00920D75">
        <w:rPr>
          <w:rFonts w:ascii="Times New Roman" w:eastAsia="SimSun" w:hAnsi="Times New Roman"/>
          <w:i/>
          <w:iCs/>
          <w:lang w:val="en-US" w:eastAsia="zh-CN"/>
        </w:rPr>
        <w:t>Enhancing scientific/technical participation in Codex</w:t>
      </w:r>
      <w:r w:rsidRPr="00920D75">
        <w:rPr>
          <w:rFonts w:ascii="Times New Roman" w:eastAsia="SimSun" w:hAnsi="Times New Roman"/>
          <w:lang w:val="en-US" w:eastAsia="zh-CN"/>
        </w:rPr>
        <w:t>. The number of countries that are actively providing scientific/technical advice in support of the Codex standard setting process will have increased.</w:t>
      </w:r>
    </w:p>
    <w:p w:rsidR="00231C30" w:rsidRPr="00920D75" w:rsidRDefault="00231C30" w:rsidP="00231C30">
      <w:pPr>
        <w:spacing w:after="0"/>
        <w:rPr>
          <w:rFonts w:ascii="Times New Roman" w:hAnsi="Times New Roman"/>
          <w:lang w:val="en-US"/>
        </w:rPr>
      </w:pPr>
    </w:p>
    <w:p w:rsidR="00231C30" w:rsidRPr="00920D75" w:rsidRDefault="00231C30" w:rsidP="00231C30">
      <w:pPr>
        <w:spacing w:after="120"/>
        <w:rPr>
          <w:rFonts w:ascii="Times New Roman" w:hAnsi="Times New Roman"/>
          <w:lang w:val="en-US"/>
        </w:rPr>
      </w:pPr>
      <w:r w:rsidRPr="00920D75">
        <w:rPr>
          <w:rFonts w:ascii="Times New Roman" w:hAnsi="Times New Roman"/>
          <w:lang w:val="en-US"/>
        </w:rPr>
        <w:t>In accordance with the OECD DAC Principles for Evaluation of Development Assistance</w:t>
      </w:r>
      <w:r w:rsidRPr="00920D75">
        <w:rPr>
          <w:rStyle w:val="FootnoteReference"/>
          <w:rFonts w:ascii="Times New Roman" w:hAnsi="Times New Roman"/>
          <w:lang w:val="en-US"/>
        </w:rPr>
        <w:footnoteReference w:id="21"/>
      </w:r>
      <w:r w:rsidRPr="00920D75">
        <w:rPr>
          <w:rFonts w:ascii="Times New Roman" w:hAnsi="Times New Roman"/>
          <w:lang w:val="en-US"/>
        </w:rPr>
        <w:t xml:space="preserve">, the mid-term review should address the following key evaluation questions: </w:t>
      </w:r>
    </w:p>
    <w:p w:rsidR="00231C30" w:rsidRPr="00920D75" w:rsidRDefault="00231C30" w:rsidP="00231C30">
      <w:pPr>
        <w:spacing w:after="120"/>
        <w:outlineLvl w:val="0"/>
        <w:rPr>
          <w:rFonts w:ascii="Times New Roman" w:hAnsi="Times New Roman"/>
          <w:b/>
          <w:bCs/>
          <w:lang w:val="en-US"/>
        </w:rPr>
      </w:pPr>
      <w:r w:rsidRPr="00920D75">
        <w:rPr>
          <w:rFonts w:ascii="Times New Roman" w:hAnsi="Times New Roman"/>
          <w:b/>
          <w:bCs/>
          <w:lang w:val="en-US"/>
        </w:rPr>
        <w:t>a) Relevance and Strategic Fit</w:t>
      </w:r>
    </w:p>
    <w:p w:rsidR="00231C30" w:rsidRPr="00920D75" w:rsidRDefault="00231C30" w:rsidP="00231C30">
      <w:pPr>
        <w:numPr>
          <w:ilvl w:val="0"/>
          <w:numId w:val="13"/>
        </w:numPr>
        <w:spacing w:after="0"/>
        <w:rPr>
          <w:rFonts w:ascii="Times New Roman" w:hAnsi="Times New Roman"/>
          <w:lang w:val="en-US"/>
        </w:rPr>
      </w:pPr>
      <w:r w:rsidRPr="00920D75">
        <w:rPr>
          <w:rFonts w:ascii="Times New Roman" w:hAnsi="Times New Roman"/>
          <w:lang w:val="en-US"/>
        </w:rPr>
        <w:t>Taking into account changes in the external environment in which the project operates, to what extent are the objectives of the project still valid?</w:t>
      </w:r>
    </w:p>
    <w:p w:rsidR="00231C30" w:rsidRPr="00920D75" w:rsidRDefault="00231C30" w:rsidP="00231C30">
      <w:pPr>
        <w:numPr>
          <w:ilvl w:val="0"/>
          <w:numId w:val="13"/>
        </w:numPr>
        <w:spacing w:after="0"/>
        <w:rPr>
          <w:rFonts w:ascii="Times New Roman" w:hAnsi="Times New Roman"/>
          <w:lang w:val="en-US"/>
        </w:rPr>
      </w:pPr>
      <w:r w:rsidRPr="00920D75">
        <w:rPr>
          <w:rFonts w:ascii="Times New Roman" w:hAnsi="Times New Roman"/>
          <w:lang w:val="en-US"/>
        </w:rPr>
        <w:t>Are the activities and outputs of the project consistent with the overall goal and the attainment of its objectives?</w:t>
      </w:r>
    </w:p>
    <w:p w:rsidR="00231C30" w:rsidRPr="00920D75" w:rsidRDefault="00231C30" w:rsidP="00231C30">
      <w:pPr>
        <w:numPr>
          <w:ilvl w:val="0"/>
          <w:numId w:val="13"/>
        </w:numPr>
        <w:spacing w:after="0"/>
        <w:rPr>
          <w:rFonts w:ascii="Times New Roman" w:hAnsi="Times New Roman"/>
          <w:lang w:val="en-US"/>
        </w:rPr>
      </w:pPr>
      <w:r w:rsidRPr="00920D75">
        <w:rPr>
          <w:rFonts w:ascii="Times New Roman" w:hAnsi="Times New Roman"/>
          <w:lang w:val="en-US"/>
        </w:rPr>
        <w:t>Are the activities and outputs of the project consistent with the intended impacts and effects?</w:t>
      </w:r>
    </w:p>
    <w:p w:rsidR="00231C30" w:rsidRPr="00920D75" w:rsidRDefault="00231C30" w:rsidP="00231C30">
      <w:pPr>
        <w:numPr>
          <w:ilvl w:val="0"/>
          <w:numId w:val="13"/>
        </w:numPr>
        <w:spacing w:after="0"/>
        <w:rPr>
          <w:rFonts w:ascii="Times New Roman" w:hAnsi="Times New Roman"/>
          <w:lang w:val="en-US"/>
        </w:rPr>
      </w:pPr>
      <w:r w:rsidRPr="00920D75">
        <w:rPr>
          <w:rFonts w:ascii="Times New Roman" w:hAnsi="Times New Roman"/>
          <w:lang w:val="en-US"/>
        </w:rPr>
        <w:t>What is the continuing added value of the Trust Fund in enhancing effective participation in Codex?</w:t>
      </w:r>
    </w:p>
    <w:p w:rsidR="00231C30" w:rsidRPr="00920D75" w:rsidRDefault="00231C30" w:rsidP="00231C30">
      <w:pPr>
        <w:numPr>
          <w:ilvl w:val="0"/>
          <w:numId w:val="13"/>
        </w:numPr>
        <w:spacing w:after="0"/>
        <w:rPr>
          <w:rFonts w:ascii="Times New Roman" w:hAnsi="Times New Roman"/>
          <w:lang w:val="en-US"/>
        </w:rPr>
      </w:pPr>
      <w:r w:rsidRPr="00920D75">
        <w:rPr>
          <w:rFonts w:ascii="Times New Roman" w:eastAsia="SimSun" w:hAnsi="Times New Roman"/>
          <w:lang w:val="en-US" w:eastAsia="zh-CN"/>
        </w:rPr>
        <w:t>How well does the Trust Fund complement</w:t>
      </w:r>
      <w:r w:rsidRPr="00920D75">
        <w:rPr>
          <w:rFonts w:ascii="Times New Roman" w:hAnsi="Times New Roman"/>
          <w:lang w:val="en-US"/>
        </w:rPr>
        <w:t xml:space="preserve"> </w:t>
      </w:r>
      <w:r w:rsidRPr="00920D75">
        <w:rPr>
          <w:rFonts w:ascii="Times New Roman" w:eastAsia="SimSun" w:hAnsi="Times New Roman"/>
          <w:lang w:val="en-US" w:eastAsia="zh-CN"/>
        </w:rPr>
        <w:t xml:space="preserve">other FAO and WHO projects </w:t>
      </w:r>
      <w:r w:rsidRPr="00621292">
        <w:rPr>
          <w:rFonts w:ascii="Times New Roman" w:eastAsia="SimSun" w:hAnsi="Times New Roman"/>
          <w:lang w:val="en-US" w:eastAsia="zh-CN"/>
        </w:rPr>
        <w:t>and programmes, or other initiatives</w:t>
      </w:r>
      <w:r w:rsidRPr="00920D75">
        <w:rPr>
          <w:rFonts w:ascii="Times New Roman" w:eastAsia="SimSun" w:hAnsi="Times New Roman"/>
          <w:lang w:val="en-US" w:eastAsia="zh-CN"/>
        </w:rPr>
        <w:t xml:space="preserve"> aimed at strengthening Codex capacity?</w:t>
      </w:r>
    </w:p>
    <w:p w:rsidR="00231C30" w:rsidRPr="00920D75" w:rsidRDefault="00231C30" w:rsidP="00231C30">
      <w:pPr>
        <w:spacing w:after="0"/>
        <w:ind w:left="360"/>
        <w:rPr>
          <w:rFonts w:ascii="Times New Roman" w:hAnsi="Times New Roman"/>
          <w:lang w:val="en-US"/>
        </w:rPr>
      </w:pPr>
    </w:p>
    <w:p w:rsidR="00231C30" w:rsidRPr="00920D75" w:rsidRDefault="00231C30" w:rsidP="00231C30">
      <w:pPr>
        <w:spacing w:after="120"/>
        <w:outlineLvl w:val="0"/>
        <w:rPr>
          <w:rFonts w:ascii="Times New Roman" w:hAnsi="Times New Roman"/>
          <w:b/>
          <w:bCs/>
          <w:lang w:val="en-US"/>
        </w:rPr>
      </w:pPr>
      <w:r w:rsidRPr="00920D75">
        <w:rPr>
          <w:rFonts w:ascii="Times New Roman" w:hAnsi="Times New Roman"/>
          <w:b/>
          <w:bCs/>
          <w:lang w:val="en-US"/>
        </w:rPr>
        <w:t xml:space="preserve">b) Progress and Effectiveness </w:t>
      </w:r>
    </w:p>
    <w:p w:rsidR="00231C30" w:rsidRPr="00920D75" w:rsidRDefault="00231C30" w:rsidP="00231C30">
      <w:pPr>
        <w:numPr>
          <w:ilvl w:val="0"/>
          <w:numId w:val="13"/>
        </w:numPr>
        <w:spacing w:after="0"/>
        <w:rPr>
          <w:rFonts w:ascii="Times New Roman" w:hAnsi="Times New Roman"/>
          <w:lang w:val="en-US"/>
        </w:rPr>
      </w:pPr>
      <w:r w:rsidRPr="00920D75">
        <w:rPr>
          <w:rFonts w:ascii="Times New Roman" w:hAnsi="Times New Roman"/>
          <w:lang w:val="en-US"/>
        </w:rPr>
        <w:t>To what extent are the objectives achieved/are likely to be achieved?</w:t>
      </w:r>
    </w:p>
    <w:p w:rsidR="00231C30" w:rsidRPr="00920D75" w:rsidRDefault="00231C30" w:rsidP="00231C30">
      <w:pPr>
        <w:numPr>
          <w:ilvl w:val="0"/>
          <w:numId w:val="13"/>
        </w:numPr>
        <w:spacing w:after="0"/>
        <w:rPr>
          <w:rFonts w:ascii="Times New Roman" w:hAnsi="Times New Roman"/>
          <w:lang w:val="en-US"/>
        </w:rPr>
      </w:pPr>
      <w:r w:rsidRPr="00920D75">
        <w:rPr>
          <w:rFonts w:ascii="Times New Roman" w:hAnsi="Times New Roman"/>
          <w:lang w:val="en-US"/>
        </w:rPr>
        <w:t>What are the major factors influencing the achievement or non-achievement of the objectives?</w:t>
      </w:r>
    </w:p>
    <w:p w:rsidR="00231C30" w:rsidRPr="00920D75" w:rsidRDefault="00231C30" w:rsidP="00231C30">
      <w:pPr>
        <w:numPr>
          <w:ilvl w:val="0"/>
          <w:numId w:val="13"/>
        </w:numPr>
        <w:spacing w:after="0"/>
        <w:rPr>
          <w:rFonts w:ascii="Times New Roman" w:hAnsi="Times New Roman"/>
          <w:lang w:val="en-US"/>
        </w:rPr>
      </w:pPr>
      <w:r w:rsidRPr="00920D75">
        <w:rPr>
          <w:rFonts w:ascii="Times New Roman" w:hAnsi="Times New Roman"/>
          <w:lang w:val="en-US"/>
        </w:rPr>
        <w:t>What barriers to effective participation in Codex can be identified?</w:t>
      </w:r>
    </w:p>
    <w:p w:rsidR="00231C30" w:rsidRPr="00920D75" w:rsidRDefault="00231C30" w:rsidP="00231C30">
      <w:pPr>
        <w:numPr>
          <w:ilvl w:val="0"/>
          <w:numId w:val="13"/>
        </w:numPr>
        <w:spacing w:after="0"/>
        <w:rPr>
          <w:rFonts w:ascii="Times New Roman" w:hAnsi="Times New Roman"/>
          <w:lang w:val="en-US"/>
        </w:rPr>
      </w:pPr>
      <w:r w:rsidRPr="00920D75">
        <w:rPr>
          <w:rFonts w:ascii="Times New Roman" w:hAnsi="Times New Roman"/>
          <w:lang w:val="en-US"/>
        </w:rPr>
        <w:lastRenderedPageBreak/>
        <w:t>What progress has the project made so far in implementing the Trust Fund's Strategic Action Plan</w:t>
      </w:r>
      <w:r>
        <w:rPr>
          <w:rFonts w:ascii="Times New Roman" w:hAnsi="Times New Roman"/>
          <w:lang w:val="en-US"/>
        </w:rPr>
        <w:t xml:space="preserve"> </w:t>
      </w:r>
      <w:r w:rsidRPr="00621292">
        <w:rPr>
          <w:rFonts w:ascii="Times New Roman" w:hAnsi="Times New Roman"/>
          <w:lang w:val="en-US"/>
        </w:rPr>
        <w:t>as the comprehensive follow up to the recommendations in the two assessments carried out on the Codex Trust Fund in 2007?</w:t>
      </w:r>
    </w:p>
    <w:p w:rsidR="00231C30" w:rsidRPr="00920D75" w:rsidRDefault="00231C30" w:rsidP="00231C30">
      <w:pPr>
        <w:spacing w:after="0"/>
        <w:rPr>
          <w:rFonts w:ascii="Times New Roman" w:hAnsi="Times New Roman"/>
          <w:b/>
          <w:bCs/>
          <w:lang w:val="en-US"/>
        </w:rPr>
      </w:pPr>
    </w:p>
    <w:p w:rsidR="00231C30" w:rsidRPr="00920D75" w:rsidRDefault="00231C30" w:rsidP="00231C30">
      <w:pPr>
        <w:spacing w:after="120"/>
        <w:outlineLvl w:val="0"/>
        <w:rPr>
          <w:rFonts w:ascii="Times New Roman" w:hAnsi="Times New Roman"/>
          <w:b/>
          <w:bCs/>
          <w:lang w:val="en-US"/>
        </w:rPr>
      </w:pPr>
      <w:r w:rsidRPr="00920D75">
        <w:rPr>
          <w:rFonts w:ascii="Times New Roman" w:hAnsi="Times New Roman"/>
          <w:b/>
          <w:bCs/>
          <w:lang w:val="en-US"/>
        </w:rPr>
        <w:t>c) Efficiency</w:t>
      </w:r>
    </w:p>
    <w:p w:rsidR="00231C30" w:rsidRPr="00920D75" w:rsidRDefault="00231C30" w:rsidP="00231C30">
      <w:pPr>
        <w:numPr>
          <w:ilvl w:val="0"/>
          <w:numId w:val="13"/>
        </w:numPr>
        <w:spacing w:after="0"/>
        <w:rPr>
          <w:rFonts w:ascii="Times New Roman" w:hAnsi="Times New Roman"/>
          <w:lang w:val="en-US"/>
        </w:rPr>
      </w:pPr>
      <w:r w:rsidRPr="00920D75">
        <w:rPr>
          <w:rFonts w:ascii="Times New Roman" w:hAnsi="Times New Roman"/>
          <w:lang w:val="en-US"/>
        </w:rPr>
        <w:t>Are activities cost-efficient?</w:t>
      </w:r>
    </w:p>
    <w:p w:rsidR="00231C30" w:rsidRPr="00920D75" w:rsidRDefault="00231C30" w:rsidP="00231C30">
      <w:pPr>
        <w:numPr>
          <w:ilvl w:val="0"/>
          <w:numId w:val="13"/>
        </w:numPr>
        <w:spacing w:after="0"/>
        <w:rPr>
          <w:rFonts w:ascii="Times New Roman" w:hAnsi="Times New Roman"/>
          <w:lang w:val="en-US"/>
        </w:rPr>
      </w:pPr>
      <w:r w:rsidRPr="00920D75">
        <w:rPr>
          <w:rFonts w:ascii="Times New Roman" w:hAnsi="Times New Roman"/>
          <w:lang w:val="en-US"/>
        </w:rPr>
        <w:t>Is the project likely to achieve its objectives on time?</w:t>
      </w:r>
    </w:p>
    <w:p w:rsidR="00231C30" w:rsidRPr="00920D75" w:rsidRDefault="00231C30" w:rsidP="00231C30">
      <w:pPr>
        <w:numPr>
          <w:ilvl w:val="0"/>
          <w:numId w:val="13"/>
        </w:numPr>
        <w:spacing w:after="0"/>
        <w:rPr>
          <w:rFonts w:ascii="Times New Roman" w:hAnsi="Times New Roman"/>
          <w:lang w:val="en-US"/>
        </w:rPr>
      </w:pPr>
      <w:r w:rsidRPr="00920D75">
        <w:rPr>
          <w:rFonts w:ascii="Times New Roman" w:hAnsi="Times New Roman"/>
          <w:lang w:val="en-US"/>
        </w:rPr>
        <w:t>Is the project being implemented in the most efficient way compared to alternatives?</w:t>
      </w:r>
    </w:p>
    <w:p w:rsidR="00231C30" w:rsidRPr="00920D75" w:rsidRDefault="00231C30" w:rsidP="00231C30">
      <w:pPr>
        <w:spacing w:after="0"/>
        <w:rPr>
          <w:rFonts w:ascii="Times New Roman" w:hAnsi="Times New Roman"/>
          <w:lang w:val="en-US"/>
        </w:rPr>
      </w:pPr>
    </w:p>
    <w:p w:rsidR="00231C30" w:rsidRPr="00920D75" w:rsidRDefault="00231C30" w:rsidP="00231C30">
      <w:pPr>
        <w:spacing w:after="120"/>
        <w:outlineLvl w:val="0"/>
        <w:rPr>
          <w:rFonts w:ascii="Times New Roman" w:hAnsi="Times New Roman"/>
          <w:b/>
          <w:bCs/>
          <w:lang w:val="en-US"/>
        </w:rPr>
      </w:pPr>
      <w:r w:rsidRPr="00920D75">
        <w:rPr>
          <w:rFonts w:ascii="Times New Roman" w:hAnsi="Times New Roman"/>
          <w:b/>
          <w:bCs/>
          <w:lang w:val="en-US"/>
        </w:rPr>
        <w:t xml:space="preserve">d) Impact </w:t>
      </w:r>
    </w:p>
    <w:p w:rsidR="00231C30" w:rsidRPr="00920D75" w:rsidRDefault="00231C30" w:rsidP="00231C30">
      <w:pPr>
        <w:numPr>
          <w:ilvl w:val="0"/>
          <w:numId w:val="13"/>
        </w:numPr>
        <w:spacing w:after="0"/>
        <w:rPr>
          <w:rFonts w:ascii="Times New Roman" w:hAnsi="Times New Roman"/>
          <w:lang w:val="en-US"/>
        </w:rPr>
      </w:pPr>
      <w:r w:rsidRPr="00920D75">
        <w:rPr>
          <w:rFonts w:ascii="Times New Roman" w:hAnsi="Times New Roman"/>
          <w:lang w:val="en-US"/>
        </w:rPr>
        <w:t>What has happened as a result of the project?</w:t>
      </w:r>
    </w:p>
    <w:p w:rsidR="00231C30" w:rsidRPr="00920D75" w:rsidRDefault="00231C30" w:rsidP="00231C30">
      <w:pPr>
        <w:numPr>
          <w:ilvl w:val="0"/>
          <w:numId w:val="13"/>
        </w:numPr>
        <w:spacing w:after="0"/>
        <w:rPr>
          <w:rFonts w:ascii="Times New Roman" w:hAnsi="Times New Roman"/>
          <w:lang w:val="en-US"/>
        </w:rPr>
      </w:pPr>
      <w:r w:rsidRPr="00920D75">
        <w:rPr>
          <w:rFonts w:ascii="Times New Roman" w:hAnsi="Times New Roman"/>
          <w:lang w:val="en-US"/>
        </w:rPr>
        <w:t>What has been the impact at the country</w:t>
      </w:r>
      <w:r>
        <w:rPr>
          <w:rFonts w:ascii="Times New Roman" w:hAnsi="Times New Roman"/>
          <w:lang w:val="en-US"/>
        </w:rPr>
        <w:t>/regional</w:t>
      </w:r>
      <w:r w:rsidRPr="00920D75">
        <w:rPr>
          <w:rFonts w:ascii="Times New Roman" w:hAnsi="Times New Roman"/>
          <w:lang w:val="en-US"/>
        </w:rPr>
        <w:t xml:space="preserve"> level</w:t>
      </w:r>
      <w:r>
        <w:rPr>
          <w:rFonts w:ascii="Times New Roman" w:hAnsi="Times New Roman"/>
          <w:lang w:val="en-US"/>
        </w:rPr>
        <w:t>s</w:t>
      </w:r>
      <w:r w:rsidRPr="00920D75">
        <w:rPr>
          <w:rFonts w:ascii="Times New Roman" w:hAnsi="Times New Roman"/>
          <w:lang w:val="en-US"/>
        </w:rPr>
        <w:t>?</w:t>
      </w:r>
    </w:p>
    <w:p w:rsidR="00231C30" w:rsidRPr="00920D75" w:rsidRDefault="00231C30" w:rsidP="00231C30">
      <w:pPr>
        <w:numPr>
          <w:ilvl w:val="0"/>
          <w:numId w:val="13"/>
        </w:numPr>
        <w:spacing w:after="0"/>
        <w:rPr>
          <w:rFonts w:ascii="Times New Roman" w:hAnsi="Times New Roman"/>
          <w:lang w:val="en-US"/>
        </w:rPr>
      </w:pPr>
      <w:r w:rsidRPr="00920D75">
        <w:rPr>
          <w:rFonts w:ascii="Times New Roman" w:hAnsi="Times New Roman"/>
          <w:lang w:val="en-US"/>
        </w:rPr>
        <w:t>Can changes be observed in beneficiary countries' Codex infrastructure or food safety systems that can be linked to the project's activities?</w:t>
      </w:r>
    </w:p>
    <w:p w:rsidR="00231C30" w:rsidRPr="00621292" w:rsidRDefault="00231C30" w:rsidP="00231C30">
      <w:pPr>
        <w:numPr>
          <w:ilvl w:val="0"/>
          <w:numId w:val="13"/>
        </w:numPr>
        <w:spacing w:after="0"/>
        <w:rPr>
          <w:rFonts w:ascii="Times New Roman" w:hAnsi="Times New Roman"/>
          <w:lang w:val="en-US"/>
        </w:rPr>
      </w:pPr>
      <w:r w:rsidRPr="00621292">
        <w:rPr>
          <w:rFonts w:ascii="Times New Roman" w:hAnsi="Times New Roman"/>
          <w:lang w:val="en-US"/>
        </w:rPr>
        <w:t>Are the indicators currently being used/proposed for use by the project to measure performance and impact relevant and suitable, specific, measurable, achievable and time-bound (SMART)?</w:t>
      </w:r>
    </w:p>
    <w:p w:rsidR="00231C30" w:rsidRPr="00920D75" w:rsidRDefault="00231C30" w:rsidP="00231C30">
      <w:pPr>
        <w:spacing w:after="0"/>
        <w:rPr>
          <w:rFonts w:ascii="Times New Roman" w:hAnsi="Times New Roman"/>
          <w:lang w:val="en-US"/>
        </w:rPr>
      </w:pPr>
    </w:p>
    <w:p w:rsidR="00231C30" w:rsidRPr="00920D75" w:rsidRDefault="00231C30" w:rsidP="00231C30">
      <w:pPr>
        <w:spacing w:after="120"/>
        <w:outlineLvl w:val="0"/>
        <w:rPr>
          <w:rFonts w:ascii="Times New Roman" w:hAnsi="Times New Roman"/>
          <w:b/>
          <w:bCs/>
          <w:lang w:val="en-US"/>
        </w:rPr>
      </w:pPr>
      <w:r w:rsidRPr="00920D75">
        <w:rPr>
          <w:rFonts w:ascii="Times New Roman" w:hAnsi="Times New Roman"/>
          <w:b/>
          <w:bCs/>
          <w:lang w:val="en-US"/>
        </w:rPr>
        <w:t>e) Sustainability</w:t>
      </w:r>
    </w:p>
    <w:p w:rsidR="00231C30" w:rsidRPr="00920D75" w:rsidRDefault="00231C30" w:rsidP="00231C30">
      <w:pPr>
        <w:numPr>
          <w:ilvl w:val="0"/>
          <w:numId w:val="18"/>
        </w:numPr>
        <w:spacing w:after="0"/>
        <w:rPr>
          <w:rFonts w:ascii="Times New Roman" w:hAnsi="Times New Roman"/>
          <w:lang w:val="en-US"/>
        </w:rPr>
      </w:pPr>
      <w:r w:rsidRPr="00920D75">
        <w:rPr>
          <w:rFonts w:ascii="Times New Roman" w:hAnsi="Times New Roman"/>
          <w:lang w:val="en-US"/>
        </w:rPr>
        <w:t>To what extent are the benefits of the project likely to continue after donor funding has ceased?</w:t>
      </w:r>
    </w:p>
    <w:p w:rsidR="00231C30" w:rsidRPr="00920D75" w:rsidRDefault="00231C30" w:rsidP="00231C30">
      <w:pPr>
        <w:numPr>
          <w:ilvl w:val="0"/>
          <w:numId w:val="18"/>
        </w:numPr>
        <w:spacing w:after="0"/>
        <w:rPr>
          <w:rFonts w:ascii="Times New Roman" w:hAnsi="Times New Roman"/>
          <w:lang w:val="en-US"/>
        </w:rPr>
      </w:pPr>
      <w:r w:rsidRPr="00920D75">
        <w:rPr>
          <w:rFonts w:ascii="Times New Roman" w:hAnsi="Times New Roman"/>
          <w:lang w:val="en-US"/>
        </w:rPr>
        <w:t>What are the major factors which will influence the achievement or non-achievement of sustainability of the project?</w:t>
      </w:r>
    </w:p>
    <w:p w:rsidR="00231C30" w:rsidRPr="00920D75" w:rsidRDefault="00231C30" w:rsidP="00231C30">
      <w:pPr>
        <w:spacing w:after="0"/>
        <w:rPr>
          <w:rFonts w:ascii="Times New Roman" w:hAnsi="Times New Roman"/>
          <w:lang w:val="en-US"/>
        </w:rPr>
      </w:pPr>
    </w:p>
    <w:p w:rsidR="00231C30" w:rsidRPr="00920D75" w:rsidRDefault="00231C30" w:rsidP="00231C30">
      <w:pPr>
        <w:spacing w:after="0"/>
        <w:outlineLvl w:val="0"/>
        <w:rPr>
          <w:rFonts w:ascii="Times New Roman" w:hAnsi="Times New Roman"/>
          <w:lang w:val="en-US"/>
        </w:rPr>
      </w:pPr>
      <w:r w:rsidRPr="00920D75">
        <w:rPr>
          <w:rFonts w:ascii="Times New Roman" w:hAnsi="Times New Roman"/>
          <w:b/>
          <w:bCs/>
          <w:lang w:val="en-US"/>
        </w:rPr>
        <w:t>f) Project management</w:t>
      </w:r>
      <w:r w:rsidRPr="00920D75">
        <w:rPr>
          <w:rFonts w:ascii="Times New Roman" w:hAnsi="Times New Roman"/>
          <w:lang w:val="en-US"/>
        </w:rPr>
        <w:t xml:space="preserve"> </w:t>
      </w:r>
    </w:p>
    <w:p w:rsidR="00231C30" w:rsidRPr="00920D75" w:rsidRDefault="00231C30" w:rsidP="00231C30">
      <w:pPr>
        <w:spacing w:after="0"/>
        <w:rPr>
          <w:rFonts w:ascii="Times New Roman" w:hAnsi="Times New Roman"/>
          <w:lang w:val="en-US"/>
        </w:rPr>
      </w:pPr>
      <w:r w:rsidRPr="00920D75">
        <w:rPr>
          <w:rFonts w:ascii="Times New Roman" w:hAnsi="Times New Roman"/>
          <w:lang w:val="en-US"/>
        </w:rPr>
        <w:t xml:space="preserve">In order to capture elements specific to the operations of the Trust Fund, </w:t>
      </w:r>
      <w:r w:rsidRPr="00621292">
        <w:rPr>
          <w:rFonts w:ascii="Times New Roman" w:hAnsi="Times New Roman"/>
          <w:lang w:val="en-US"/>
        </w:rPr>
        <w:t>allocation and</w:t>
      </w:r>
      <w:r>
        <w:rPr>
          <w:rFonts w:ascii="Times New Roman" w:hAnsi="Times New Roman"/>
          <w:color w:val="3366FF"/>
          <w:lang w:val="en-US"/>
        </w:rPr>
        <w:t xml:space="preserve"> </w:t>
      </w:r>
      <w:r w:rsidRPr="00920D75">
        <w:rPr>
          <w:rFonts w:ascii="Times New Roman" w:hAnsi="Times New Roman"/>
          <w:lang w:val="en-US"/>
        </w:rPr>
        <w:t>mobilization of resources, and to highlight learning, the evaluator(s) should give attention to the management arrangements of the Trust Fund:</w:t>
      </w:r>
    </w:p>
    <w:p w:rsidR="00231C30" w:rsidRPr="00920D75" w:rsidRDefault="00231C30" w:rsidP="00231C30">
      <w:pPr>
        <w:spacing w:after="0"/>
        <w:rPr>
          <w:rFonts w:ascii="Times New Roman" w:hAnsi="Times New Roman"/>
          <w:lang w:val="en-US"/>
        </w:rPr>
      </w:pPr>
    </w:p>
    <w:p w:rsidR="00231C30" w:rsidRPr="00920D75" w:rsidRDefault="00231C30" w:rsidP="00231C30">
      <w:pPr>
        <w:numPr>
          <w:ilvl w:val="0"/>
          <w:numId w:val="14"/>
        </w:numPr>
        <w:spacing w:after="0"/>
        <w:rPr>
          <w:rFonts w:ascii="Times New Roman" w:hAnsi="Times New Roman"/>
          <w:lang w:val="en-US"/>
        </w:rPr>
      </w:pPr>
      <w:r w:rsidRPr="00920D75">
        <w:rPr>
          <w:rFonts w:ascii="Times New Roman" w:hAnsi="Times New Roman"/>
          <w:lang w:val="en-US"/>
        </w:rPr>
        <w:t>Are the current structure and staff arrangements of the Trust Fund Secretariat the most optimal for achieving the intended results?</w:t>
      </w:r>
    </w:p>
    <w:p w:rsidR="00231C30" w:rsidRDefault="00231C30" w:rsidP="00231C30">
      <w:pPr>
        <w:numPr>
          <w:ilvl w:val="0"/>
          <w:numId w:val="14"/>
        </w:numPr>
        <w:spacing w:after="0"/>
        <w:rPr>
          <w:rFonts w:ascii="Times New Roman" w:hAnsi="Times New Roman"/>
          <w:lang w:val="en-US"/>
        </w:rPr>
      </w:pPr>
      <w:r>
        <w:rPr>
          <w:rFonts w:ascii="Times New Roman" w:hAnsi="Times New Roman"/>
          <w:lang w:val="en-US"/>
        </w:rPr>
        <w:t xml:space="preserve">Is there adequate exchange between the CTF Secretariat, </w:t>
      </w:r>
      <w:r w:rsidRPr="00920D75">
        <w:rPr>
          <w:rFonts w:ascii="Times New Roman" w:hAnsi="Times New Roman"/>
          <w:lang w:val="en-US"/>
        </w:rPr>
        <w:t xml:space="preserve">FAO, WHO and the Codex Alimentarius Secretariat </w:t>
      </w:r>
      <w:r>
        <w:rPr>
          <w:rFonts w:ascii="Times New Roman" w:hAnsi="Times New Roman"/>
          <w:lang w:val="en-US"/>
        </w:rPr>
        <w:t xml:space="preserve">to ensure </w:t>
      </w:r>
      <w:r w:rsidRPr="00920D75">
        <w:rPr>
          <w:rFonts w:ascii="Times New Roman" w:hAnsi="Times New Roman"/>
          <w:lang w:val="en-US"/>
        </w:rPr>
        <w:t xml:space="preserve">technical, administrative and political </w:t>
      </w:r>
      <w:r>
        <w:rPr>
          <w:rFonts w:ascii="Times New Roman" w:hAnsi="Times New Roman"/>
          <w:lang w:val="en-US"/>
        </w:rPr>
        <w:t xml:space="preserve">information-sharing and </w:t>
      </w:r>
      <w:r w:rsidRPr="00920D75">
        <w:rPr>
          <w:rFonts w:ascii="Times New Roman" w:hAnsi="Times New Roman"/>
          <w:lang w:val="en-US"/>
        </w:rPr>
        <w:t>support</w:t>
      </w:r>
      <w:r>
        <w:rPr>
          <w:rFonts w:ascii="Times New Roman" w:hAnsi="Times New Roman"/>
          <w:lang w:val="en-US"/>
        </w:rPr>
        <w:t>?</w:t>
      </w:r>
    </w:p>
    <w:p w:rsidR="00231C30" w:rsidRPr="00621292" w:rsidRDefault="00231C30" w:rsidP="00231C30">
      <w:pPr>
        <w:numPr>
          <w:ilvl w:val="0"/>
          <w:numId w:val="14"/>
        </w:numPr>
        <w:spacing w:after="0"/>
        <w:rPr>
          <w:rFonts w:ascii="Times New Roman" w:hAnsi="Times New Roman"/>
          <w:lang w:val="en-US"/>
        </w:rPr>
      </w:pPr>
      <w:r w:rsidRPr="00621292">
        <w:rPr>
          <w:rFonts w:ascii="Times New Roman" w:hAnsi="Times New Roman"/>
          <w:lang w:val="en-US"/>
        </w:rPr>
        <w:t>Are the criteria used for country groupings valid for the purposes of participating in Codex, and do they ensure neutrality and fairness in resource allocation?</w:t>
      </w:r>
    </w:p>
    <w:p w:rsidR="00231C30" w:rsidRPr="00920D75" w:rsidRDefault="00231C30" w:rsidP="00231C30">
      <w:pPr>
        <w:numPr>
          <w:ilvl w:val="0"/>
          <w:numId w:val="14"/>
        </w:numPr>
        <w:spacing w:after="0"/>
        <w:rPr>
          <w:rFonts w:ascii="Times New Roman" w:hAnsi="Times New Roman"/>
          <w:lang w:val="en-US"/>
        </w:rPr>
      </w:pPr>
      <w:r w:rsidRPr="00920D75">
        <w:rPr>
          <w:rFonts w:ascii="Times New Roman" w:hAnsi="Times New Roman"/>
          <w:lang w:val="en-US"/>
        </w:rPr>
        <w:t>Are financial resource</w:t>
      </w:r>
      <w:r>
        <w:rPr>
          <w:rFonts w:ascii="Times New Roman" w:hAnsi="Times New Roman"/>
          <w:lang w:val="en-US"/>
        </w:rPr>
        <w:t xml:space="preserve"> </w:t>
      </w:r>
      <w:r w:rsidRPr="00621292">
        <w:rPr>
          <w:rFonts w:ascii="Times New Roman" w:hAnsi="Times New Roman"/>
          <w:lang w:val="en-US"/>
        </w:rPr>
        <w:t xml:space="preserve">allocations decided upon and </w:t>
      </w:r>
      <w:r w:rsidRPr="00920D75">
        <w:rPr>
          <w:rFonts w:ascii="Times New Roman" w:hAnsi="Times New Roman"/>
          <w:lang w:val="en-US"/>
        </w:rPr>
        <w:t xml:space="preserve">administered to beneficiaries in a </w:t>
      </w:r>
      <w:r w:rsidRPr="00621292">
        <w:rPr>
          <w:rFonts w:ascii="Times New Roman" w:hAnsi="Times New Roman"/>
          <w:lang w:val="en-US"/>
        </w:rPr>
        <w:t>neutral,</w:t>
      </w:r>
      <w:r>
        <w:rPr>
          <w:rFonts w:ascii="Times New Roman" w:hAnsi="Times New Roman"/>
          <w:color w:val="3366FF"/>
          <w:lang w:val="en-US"/>
        </w:rPr>
        <w:t xml:space="preserve"> </w:t>
      </w:r>
      <w:r w:rsidRPr="00920D75">
        <w:rPr>
          <w:rFonts w:ascii="Times New Roman" w:hAnsi="Times New Roman"/>
          <w:lang w:val="en-US"/>
        </w:rPr>
        <w:t>transparent and efficient manner?</w:t>
      </w:r>
    </w:p>
    <w:p w:rsidR="00231C30" w:rsidRPr="00920D75" w:rsidRDefault="00231C30" w:rsidP="00231C30">
      <w:pPr>
        <w:numPr>
          <w:ilvl w:val="0"/>
          <w:numId w:val="14"/>
        </w:numPr>
        <w:spacing w:after="0"/>
        <w:rPr>
          <w:rFonts w:ascii="Times New Roman" w:hAnsi="Times New Roman"/>
          <w:lang w:val="en-US"/>
        </w:rPr>
      </w:pPr>
      <w:r w:rsidRPr="00920D75">
        <w:rPr>
          <w:rFonts w:ascii="Times New Roman" w:hAnsi="Times New Roman"/>
          <w:lang w:val="en-US"/>
        </w:rPr>
        <w:t xml:space="preserve">How successful has the Trust Fund been in securing resources from donors? </w:t>
      </w:r>
    </w:p>
    <w:p w:rsidR="00231C30" w:rsidRPr="00920D75" w:rsidRDefault="00231C30" w:rsidP="00231C30">
      <w:pPr>
        <w:numPr>
          <w:ilvl w:val="0"/>
          <w:numId w:val="14"/>
        </w:numPr>
        <w:spacing w:after="0"/>
        <w:rPr>
          <w:rFonts w:ascii="Times New Roman" w:hAnsi="Times New Roman"/>
          <w:lang w:val="en-US"/>
        </w:rPr>
      </w:pPr>
      <w:r w:rsidRPr="00920D75">
        <w:rPr>
          <w:rFonts w:ascii="Times New Roman" w:hAnsi="Times New Roman"/>
          <w:lang w:val="en-US"/>
        </w:rPr>
        <w:t>Is it likely that sufficient financial contributions can be mobilized for the remainder of the project duration?</w:t>
      </w:r>
    </w:p>
    <w:p w:rsidR="00231C30" w:rsidRPr="00920D75" w:rsidRDefault="00231C30" w:rsidP="00231C30">
      <w:pPr>
        <w:spacing w:after="0"/>
        <w:ind w:left="360"/>
        <w:rPr>
          <w:rFonts w:ascii="Times New Roman" w:hAnsi="Times New Roman"/>
          <w:lang w:val="en-US"/>
        </w:rPr>
      </w:pPr>
    </w:p>
    <w:p w:rsidR="00231C30" w:rsidRPr="00920D75" w:rsidRDefault="00231C30" w:rsidP="00231C30">
      <w:pPr>
        <w:outlineLvl w:val="0"/>
        <w:rPr>
          <w:rFonts w:ascii="Times New Roman" w:hAnsi="Times New Roman"/>
          <w:b/>
          <w:bCs/>
          <w:lang w:val="en-US"/>
        </w:rPr>
      </w:pPr>
      <w:r w:rsidRPr="00920D75">
        <w:rPr>
          <w:rFonts w:ascii="Times New Roman" w:hAnsi="Times New Roman"/>
          <w:b/>
          <w:bCs/>
          <w:lang w:val="en-US"/>
        </w:rPr>
        <w:t>g) Recommendations</w:t>
      </w:r>
    </w:p>
    <w:p w:rsidR="00E4655B" w:rsidRDefault="00231C30">
      <w:pPr>
        <w:numPr>
          <w:ilvl w:val="1"/>
          <w:numId w:val="14"/>
        </w:numPr>
        <w:tabs>
          <w:tab w:val="clear" w:pos="1440"/>
          <w:tab w:val="num" w:pos="720"/>
        </w:tabs>
        <w:spacing w:after="0"/>
        <w:ind w:left="720"/>
        <w:rPr>
          <w:rFonts w:ascii="Times New Roman" w:hAnsi="Times New Roman"/>
          <w:lang w:val="en-US"/>
        </w:rPr>
      </w:pPr>
      <w:r w:rsidRPr="00920D75">
        <w:rPr>
          <w:rFonts w:ascii="Times New Roman" w:hAnsi="Times New Roman"/>
          <w:color w:val="000000"/>
          <w:lang w:val="en-US" w:eastAsia="en-GB"/>
        </w:rPr>
        <w:t>How should the Trust Fund refine or adjust its focus for the remaining duration of the Project in order to deliver, with value for money, the objectives and outputs effectively?</w:t>
      </w:r>
    </w:p>
    <w:p w:rsidR="00E4655B" w:rsidRDefault="00231C30">
      <w:pPr>
        <w:numPr>
          <w:ilvl w:val="1"/>
          <w:numId w:val="14"/>
        </w:numPr>
        <w:tabs>
          <w:tab w:val="clear" w:pos="1440"/>
          <w:tab w:val="num" w:pos="720"/>
        </w:tabs>
        <w:spacing w:after="0"/>
        <w:ind w:left="720"/>
        <w:rPr>
          <w:rFonts w:ascii="Times New Roman" w:hAnsi="Times New Roman"/>
          <w:lang w:val="en-US"/>
        </w:rPr>
      </w:pPr>
      <w:r w:rsidRPr="00920D75">
        <w:rPr>
          <w:rFonts w:ascii="Times New Roman" w:hAnsi="Times New Roman"/>
          <w:lang w:val="en-US"/>
        </w:rPr>
        <w:t xml:space="preserve">What corrective actions should be taken to address barriers to effective participation in Codex? </w:t>
      </w:r>
    </w:p>
    <w:p w:rsidR="00E4655B" w:rsidRDefault="00231C30">
      <w:pPr>
        <w:numPr>
          <w:ilvl w:val="1"/>
          <w:numId w:val="14"/>
        </w:numPr>
        <w:tabs>
          <w:tab w:val="clear" w:pos="1440"/>
          <w:tab w:val="num" w:pos="720"/>
        </w:tabs>
        <w:spacing w:after="0"/>
        <w:ind w:left="720"/>
        <w:rPr>
          <w:rFonts w:ascii="Times New Roman" w:hAnsi="Times New Roman"/>
          <w:lang w:val="en-US"/>
        </w:rPr>
      </w:pPr>
      <w:r w:rsidRPr="00920D75">
        <w:rPr>
          <w:rFonts w:ascii="Times New Roman" w:hAnsi="Times New Roman"/>
          <w:lang w:val="en-US"/>
        </w:rPr>
        <w:lastRenderedPageBreak/>
        <w:t>What further support can the Trust Fund provide at national and regional levels to generate sustainable and effective participation in Codex from developing countries?</w:t>
      </w:r>
    </w:p>
    <w:p w:rsidR="00E4655B" w:rsidRDefault="00231C30">
      <w:pPr>
        <w:numPr>
          <w:ilvl w:val="1"/>
          <w:numId w:val="14"/>
        </w:numPr>
        <w:tabs>
          <w:tab w:val="clear" w:pos="1440"/>
          <w:tab w:val="num" w:pos="720"/>
        </w:tabs>
        <w:spacing w:after="0"/>
        <w:ind w:left="720"/>
        <w:rPr>
          <w:rFonts w:ascii="Times New Roman" w:hAnsi="Times New Roman"/>
          <w:lang w:val="en-US"/>
        </w:rPr>
      </w:pPr>
      <w:r w:rsidRPr="00920D75">
        <w:rPr>
          <w:rFonts w:ascii="Times New Roman" w:hAnsi="Times New Roman"/>
          <w:lang w:val="en-US"/>
        </w:rPr>
        <w:t>How can monitoring the Trust Fund's performance be enhanced, particularly in terms of measuring impact at the country level?</w:t>
      </w:r>
    </w:p>
    <w:p w:rsidR="00E4655B" w:rsidRDefault="00231C30">
      <w:pPr>
        <w:numPr>
          <w:ilvl w:val="1"/>
          <w:numId w:val="14"/>
        </w:numPr>
        <w:tabs>
          <w:tab w:val="clear" w:pos="1440"/>
          <w:tab w:val="num" w:pos="720"/>
        </w:tabs>
        <w:spacing w:after="0"/>
        <w:ind w:left="720"/>
        <w:rPr>
          <w:rFonts w:ascii="Times New Roman" w:hAnsi="Times New Roman"/>
          <w:lang w:val="en-US"/>
        </w:rPr>
      </w:pPr>
      <w:r w:rsidRPr="00920D75">
        <w:rPr>
          <w:rFonts w:ascii="Times New Roman" w:hAnsi="Times New Roman"/>
          <w:lang w:val="en-US"/>
        </w:rPr>
        <w:t>Should the project be extended? If so, under what framework?</w:t>
      </w:r>
    </w:p>
    <w:p w:rsidR="00231C30" w:rsidRPr="00920D75" w:rsidRDefault="00231C30" w:rsidP="00231C30">
      <w:pPr>
        <w:spacing w:after="0"/>
        <w:ind w:left="360"/>
        <w:rPr>
          <w:rFonts w:ascii="Times New Roman" w:hAnsi="Times New Roman"/>
          <w:lang w:val="en-US"/>
        </w:rPr>
      </w:pPr>
    </w:p>
    <w:p w:rsidR="00231C30" w:rsidRPr="00920D75" w:rsidRDefault="000829F6" w:rsidP="00231C30">
      <w:pPr>
        <w:rPr>
          <w:rFonts w:ascii="Times New Roman" w:hAnsi="Times New Roman"/>
          <w:b/>
          <w:bCs/>
          <w:lang w:val="en-US"/>
        </w:rPr>
      </w:pPr>
      <w:r>
        <w:rPr>
          <w:rFonts w:ascii="Times New Roman" w:hAnsi="Times New Roman"/>
          <w:b/>
          <w:bCs/>
          <w:noProof/>
          <w:lang w:val="en-GB" w:eastAsia="en-GB"/>
        </w:rPr>
        <mc:AlternateContent>
          <mc:Choice Requires="wps">
            <w:drawing>
              <wp:anchor distT="0" distB="0" distL="114300" distR="114300" simplePos="0" relativeHeight="251662336" behindDoc="0" locked="0" layoutInCell="1" allowOverlap="1">
                <wp:simplePos x="0" y="0"/>
                <wp:positionH relativeFrom="column">
                  <wp:posOffset>0</wp:posOffset>
                </wp:positionH>
                <wp:positionV relativeFrom="paragraph">
                  <wp:posOffset>296545</wp:posOffset>
                </wp:positionV>
                <wp:extent cx="5715000" cy="278765"/>
                <wp:effectExtent l="0" t="127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278765"/>
                        </a:xfrm>
                        <a:prstGeom prst="rect">
                          <a:avLst/>
                        </a:prstGeom>
                        <a:solidFill>
                          <a:srgbClr val="EAEAEA"/>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75C62" w:rsidRPr="00C057D3" w:rsidRDefault="00B75C62" w:rsidP="00231C30">
                            <w:pPr>
                              <w:rPr>
                                <w:rFonts w:ascii="Times New Roman" w:hAnsi="Times New Roman"/>
                                <w:b/>
                                <w:bCs/>
                                <w:lang w:val="en-GB"/>
                              </w:rPr>
                            </w:pPr>
                            <w:r w:rsidRPr="00C057D3">
                              <w:rPr>
                                <w:rFonts w:ascii="Times New Roman" w:hAnsi="Times New Roman"/>
                                <w:b/>
                                <w:bCs/>
                                <w:lang w:val="en-GB"/>
                              </w:rPr>
                              <w:t>IV. Scope and Methodology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9" type="#_x0000_t202" style="position:absolute;left:0;text-align:left;margin-left:0;margin-top:23.35pt;width:450pt;height:21.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" fillcolor="#eaeaea" stroked="f">
                <v:textbox>
                  <w:txbxContent>
                    <w:p w:rsidR="00B75C62" w:rsidRPr="00C057D3" w:rsidRDefault="00B75C62" w:rsidP="00231C30">
                      <w:pPr>
                        <w:rPr>
                          <w:rFonts w:ascii="Times New Roman" w:hAnsi="Times New Roman"/>
                          <w:b/>
                          <w:bCs/>
                          <w:lang w:val="en-GB"/>
                        </w:rPr>
                      </w:pPr>
                      <w:r w:rsidRPr="00C057D3">
                        <w:rPr>
                          <w:rFonts w:ascii="Times New Roman" w:hAnsi="Times New Roman"/>
                          <w:b/>
                          <w:bCs/>
                          <w:lang w:val="en-GB"/>
                        </w:rPr>
                        <w:t>IV. Scope and Methodology</w:t>
                      </w:r>
                    </w:p>
                  </w:txbxContent>
                </v:textbox>
              </v:shape>
            </w:pict>
          </mc:Fallback>
        </mc:AlternateContent>
      </w:r>
    </w:p>
    <w:p w:rsidR="00231C30" w:rsidRPr="00920D75" w:rsidRDefault="00231C30" w:rsidP="00231C30">
      <w:pPr>
        <w:rPr>
          <w:rFonts w:ascii="Times New Roman" w:hAnsi="Times New Roman"/>
          <w:lang w:val="en-US"/>
        </w:rPr>
      </w:pPr>
    </w:p>
    <w:p w:rsidR="00231C30" w:rsidRPr="00920D75" w:rsidRDefault="00231C30" w:rsidP="00231C30">
      <w:pPr>
        <w:rPr>
          <w:rFonts w:ascii="Times New Roman" w:hAnsi="Times New Roman"/>
          <w:lang w:val="en-US"/>
        </w:rPr>
      </w:pPr>
      <w:r w:rsidRPr="00920D75">
        <w:rPr>
          <w:rFonts w:ascii="Times New Roman" w:hAnsi="Times New Roman"/>
          <w:lang w:val="en-US"/>
        </w:rPr>
        <w:t xml:space="preserve">The review will cover the Trust Fund's activities since it became operational in March 2004.  The focus of the review is on the outcomes and the impact of the Fund on CTF eligible countries, both quantitatively and qualitatively. The Trust Fund should be reviewed taking into consideration the wider context in which the Trust Fund is operating, particularly FAO and WHO </w:t>
      </w:r>
      <w:r>
        <w:rPr>
          <w:rFonts w:ascii="Times New Roman" w:hAnsi="Times New Roman"/>
          <w:lang w:val="en-US"/>
        </w:rPr>
        <w:t xml:space="preserve">projects and </w:t>
      </w:r>
      <w:r w:rsidRPr="00920D75">
        <w:rPr>
          <w:rFonts w:ascii="Times New Roman" w:hAnsi="Times New Roman"/>
          <w:lang w:val="en-US"/>
        </w:rPr>
        <w:t>programmes</w:t>
      </w:r>
      <w:r>
        <w:rPr>
          <w:rFonts w:ascii="Times New Roman" w:hAnsi="Times New Roman"/>
          <w:lang w:val="en-US"/>
        </w:rPr>
        <w:t>, or other initiatives</w:t>
      </w:r>
      <w:r w:rsidRPr="00920D75">
        <w:rPr>
          <w:rFonts w:ascii="Times New Roman" w:hAnsi="Times New Roman"/>
          <w:lang w:val="en-US"/>
        </w:rPr>
        <w:t xml:space="preserve"> aimed at strengthening Codex capacity.</w:t>
      </w:r>
    </w:p>
    <w:p w:rsidR="00231C30" w:rsidRPr="00920D75" w:rsidRDefault="00231C30" w:rsidP="00231C30">
      <w:pPr>
        <w:spacing w:after="120"/>
        <w:rPr>
          <w:rFonts w:ascii="Times New Roman" w:hAnsi="Times New Roman"/>
          <w:lang w:val="en-US"/>
        </w:rPr>
      </w:pPr>
      <w:r w:rsidRPr="00920D75">
        <w:rPr>
          <w:rFonts w:ascii="Times New Roman" w:hAnsi="Times New Roman"/>
          <w:lang w:val="en-US"/>
        </w:rPr>
        <w:t>The review will collect information</w:t>
      </w:r>
      <w:r>
        <w:rPr>
          <w:rFonts w:ascii="Times New Roman" w:hAnsi="Times New Roman"/>
          <w:lang w:val="en-US"/>
        </w:rPr>
        <w:t xml:space="preserve">, </w:t>
      </w:r>
      <w:r w:rsidRPr="00920D75">
        <w:rPr>
          <w:rFonts w:ascii="Times New Roman" w:hAnsi="Times New Roman"/>
          <w:lang w:val="en-US"/>
        </w:rPr>
        <w:t xml:space="preserve">opinions </w:t>
      </w:r>
      <w:r>
        <w:rPr>
          <w:rFonts w:ascii="Times New Roman" w:hAnsi="Times New Roman"/>
          <w:lang w:val="en-US"/>
        </w:rPr>
        <w:t xml:space="preserve">and data </w:t>
      </w:r>
      <w:r w:rsidRPr="00920D75">
        <w:rPr>
          <w:rFonts w:ascii="Times New Roman" w:hAnsi="Times New Roman"/>
          <w:lang w:val="en-US"/>
        </w:rPr>
        <w:t>from a variety of sources, including through:</w:t>
      </w:r>
    </w:p>
    <w:p w:rsidR="00231C30" w:rsidRPr="00920D75" w:rsidRDefault="00231C30" w:rsidP="00231C30">
      <w:pPr>
        <w:numPr>
          <w:ilvl w:val="0"/>
          <w:numId w:val="19"/>
        </w:numPr>
        <w:spacing w:after="120"/>
        <w:rPr>
          <w:rFonts w:ascii="Times New Roman" w:hAnsi="Times New Roman"/>
          <w:lang w:val="en-US"/>
        </w:rPr>
      </w:pPr>
      <w:r w:rsidRPr="00920D75">
        <w:rPr>
          <w:rFonts w:ascii="Times New Roman" w:hAnsi="Times New Roman"/>
          <w:lang w:val="en-US"/>
        </w:rPr>
        <w:t>Desk study of existing Codex Trust Fund documentation and any other relevant data sources, including:</w:t>
      </w:r>
    </w:p>
    <w:p w:rsidR="00231C30" w:rsidRPr="00920D75" w:rsidRDefault="00231C30" w:rsidP="00231C30">
      <w:pPr>
        <w:numPr>
          <w:ilvl w:val="0"/>
          <w:numId w:val="22"/>
        </w:numPr>
        <w:autoSpaceDE w:val="0"/>
        <w:autoSpaceDN w:val="0"/>
        <w:adjustRightInd w:val="0"/>
        <w:spacing w:after="0"/>
        <w:rPr>
          <w:rFonts w:ascii="Times New Roman" w:hAnsi="Times New Roman"/>
          <w:color w:val="000000"/>
          <w:lang w:val="en-US"/>
        </w:rPr>
      </w:pPr>
      <w:r w:rsidRPr="00920D75">
        <w:rPr>
          <w:rFonts w:ascii="Times New Roman" w:hAnsi="Times New Roman"/>
          <w:color w:val="000000"/>
          <w:lang w:val="en-US"/>
        </w:rPr>
        <w:t>Project documents</w:t>
      </w:r>
    </w:p>
    <w:p w:rsidR="00231C30" w:rsidRPr="00920D75" w:rsidRDefault="00231C30" w:rsidP="00231C30">
      <w:pPr>
        <w:numPr>
          <w:ilvl w:val="0"/>
          <w:numId w:val="22"/>
        </w:numPr>
        <w:autoSpaceDE w:val="0"/>
        <w:autoSpaceDN w:val="0"/>
        <w:adjustRightInd w:val="0"/>
        <w:spacing w:after="0"/>
        <w:rPr>
          <w:rFonts w:ascii="Times New Roman" w:hAnsi="Times New Roman"/>
          <w:color w:val="000000"/>
          <w:lang w:val="en-US"/>
        </w:rPr>
      </w:pPr>
      <w:r w:rsidRPr="00920D75">
        <w:rPr>
          <w:rFonts w:ascii="Times New Roman" w:hAnsi="Times New Roman"/>
          <w:color w:val="000000"/>
          <w:lang w:val="en-US"/>
        </w:rPr>
        <w:t>Annual reports and progress reports</w:t>
      </w:r>
    </w:p>
    <w:p w:rsidR="00231C30" w:rsidRPr="00920D75" w:rsidRDefault="00231C30" w:rsidP="00231C30">
      <w:pPr>
        <w:numPr>
          <w:ilvl w:val="0"/>
          <w:numId w:val="22"/>
        </w:numPr>
        <w:autoSpaceDE w:val="0"/>
        <w:autoSpaceDN w:val="0"/>
        <w:adjustRightInd w:val="0"/>
        <w:spacing w:after="0"/>
        <w:rPr>
          <w:rFonts w:ascii="Times New Roman" w:hAnsi="Times New Roman"/>
          <w:color w:val="000000"/>
          <w:lang w:val="en-US"/>
        </w:rPr>
      </w:pPr>
      <w:r w:rsidRPr="00920D75">
        <w:rPr>
          <w:rFonts w:ascii="Times New Roman" w:hAnsi="Times New Roman"/>
          <w:color w:val="000000"/>
          <w:lang w:val="en-US"/>
        </w:rPr>
        <w:t xml:space="preserve">Financial reports and </w:t>
      </w:r>
      <w:r>
        <w:rPr>
          <w:rFonts w:ascii="Times New Roman" w:hAnsi="Times New Roman"/>
          <w:color w:val="000000"/>
          <w:lang w:val="en-US"/>
        </w:rPr>
        <w:t>a</w:t>
      </w:r>
      <w:r w:rsidRPr="00920D75">
        <w:rPr>
          <w:rFonts w:ascii="Times New Roman" w:hAnsi="Times New Roman"/>
          <w:color w:val="000000"/>
          <w:lang w:val="en-US"/>
        </w:rPr>
        <w:t xml:space="preserve">udited </w:t>
      </w:r>
      <w:r>
        <w:rPr>
          <w:rFonts w:ascii="Times New Roman" w:hAnsi="Times New Roman"/>
          <w:color w:val="000000"/>
          <w:lang w:val="en-US"/>
        </w:rPr>
        <w:t>f</w:t>
      </w:r>
      <w:r w:rsidRPr="00920D75">
        <w:rPr>
          <w:rFonts w:ascii="Times New Roman" w:hAnsi="Times New Roman"/>
          <w:color w:val="000000"/>
          <w:lang w:val="en-US"/>
        </w:rPr>
        <w:t xml:space="preserve">inancial </w:t>
      </w:r>
      <w:r>
        <w:rPr>
          <w:rFonts w:ascii="Times New Roman" w:hAnsi="Times New Roman"/>
          <w:color w:val="000000"/>
          <w:lang w:val="en-US"/>
        </w:rPr>
        <w:t>s</w:t>
      </w:r>
      <w:r w:rsidRPr="00920D75">
        <w:rPr>
          <w:rFonts w:ascii="Times New Roman" w:hAnsi="Times New Roman"/>
          <w:color w:val="000000"/>
          <w:lang w:val="en-US"/>
        </w:rPr>
        <w:t>tatements</w:t>
      </w:r>
    </w:p>
    <w:p w:rsidR="00231C30" w:rsidRPr="00920D75" w:rsidRDefault="00231C30" w:rsidP="00231C30">
      <w:pPr>
        <w:numPr>
          <w:ilvl w:val="0"/>
          <w:numId w:val="22"/>
        </w:numPr>
        <w:autoSpaceDE w:val="0"/>
        <w:autoSpaceDN w:val="0"/>
        <w:adjustRightInd w:val="0"/>
        <w:spacing w:after="0"/>
        <w:rPr>
          <w:rFonts w:ascii="Times New Roman" w:hAnsi="Times New Roman"/>
          <w:color w:val="000000"/>
          <w:lang w:val="en-US"/>
        </w:rPr>
      </w:pPr>
      <w:r w:rsidRPr="00920D75">
        <w:rPr>
          <w:rFonts w:ascii="Times New Roman" w:hAnsi="Times New Roman"/>
          <w:color w:val="000000"/>
          <w:lang w:val="en-US"/>
        </w:rPr>
        <w:t xml:space="preserve">Independent </w:t>
      </w:r>
      <w:r>
        <w:rPr>
          <w:rFonts w:ascii="Times New Roman" w:hAnsi="Times New Roman"/>
          <w:color w:val="000000"/>
          <w:lang w:val="en-US"/>
        </w:rPr>
        <w:t>assessments</w:t>
      </w:r>
      <w:r w:rsidRPr="00920D75">
        <w:rPr>
          <w:rFonts w:ascii="Times New Roman" w:hAnsi="Times New Roman"/>
          <w:color w:val="000000"/>
          <w:lang w:val="en-US"/>
        </w:rPr>
        <w:t xml:space="preserve"> of the Codex Trust Fund</w:t>
      </w:r>
    </w:p>
    <w:p w:rsidR="00231C30" w:rsidRPr="00920D75" w:rsidRDefault="00231C30" w:rsidP="00231C30">
      <w:pPr>
        <w:numPr>
          <w:ilvl w:val="0"/>
          <w:numId w:val="22"/>
        </w:numPr>
        <w:autoSpaceDE w:val="0"/>
        <w:autoSpaceDN w:val="0"/>
        <w:adjustRightInd w:val="0"/>
        <w:spacing w:after="0"/>
        <w:rPr>
          <w:rFonts w:ascii="Times New Roman" w:hAnsi="Times New Roman"/>
          <w:color w:val="000000"/>
          <w:lang w:val="en-US"/>
        </w:rPr>
      </w:pPr>
      <w:r w:rsidRPr="00920D75">
        <w:rPr>
          <w:rFonts w:ascii="Times New Roman" w:hAnsi="Times New Roman"/>
          <w:color w:val="000000"/>
          <w:lang w:val="en-US"/>
        </w:rPr>
        <w:t>Strategic planning documents</w:t>
      </w:r>
    </w:p>
    <w:p w:rsidR="00231C30" w:rsidRPr="00920D75" w:rsidRDefault="00231C30" w:rsidP="00231C30">
      <w:pPr>
        <w:numPr>
          <w:ilvl w:val="0"/>
          <w:numId w:val="22"/>
        </w:numPr>
        <w:autoSpaceDE w:val="0"/>
        <w:autoSpaceDN w:val="0"/>
        <w:adjustRightInd w:val="0"/>
        <w:spacing w:after="0"/>
        <w:rPr>
          <w:rFonts w:ascii="Times New Roman" w:hAnsi="Times New Roman"/>
          <w:color w:val="000000"/>
          <w:lang w:val="en-US"/>
        </w:rPr>
      </w:pPr>
      <w:r w:rsidRPr="00920D75">
        <w:rPr>
          <w:rFonts w:ascii="Times New Roman" w:hAnsi="Times New Roman"/>
          <w:color w:val="000000"/>
          <w:lang w:val="en-US"/>
        </w:rPr>
        <w:t xml:space="preserve">Country reports and analyses of country reports </w:t>
      </w:r>
    </w:p>
    <w:p w:rsidR="00231C30" w:rsidRPr="00920D75" w:rsidRDefault="00231C30" w:rsidP="00231C30">
      <w:pPr>
        <w:numPr>
          <w:ilvl w:val="0"/>
          <w:numId w:val="22"/>
        </w:numPr>
        <w:autoSpaceDE w:val="0"/>
        <w:autoSpaceDN w:val="0"/>
        <w:adjustRightInd w:val="0"/>
        <w:spacing w:after="0"/>
        <w:rPr>
          <w:rFonts w:ascii="Times New Roman" w:hAnsi="Times New Roman"/>
          <w:color w:val="000000"/>
          <w:lang w:val="en-US"/>
        </w:rPr>
      </w:pPr>
      <w:r w:rsidRPr="00920D75">
        <w:rPr>
          <w:rFonts w:ascii="Times New Roman" w:hAnsi="Times New Roman"/>
          <w:color w:val="000000"/>
          <w:lang w:val="en-US"/>
        </w:rPr>
        <w:t>Training materials for enhancing participation in Codex and training reports</w:t>
      </w:r>
    </w:p>
    <w:p w:rsidR="00231C30" w:rsidRPr="00920D75" w:rsidRDefault="00231C30" w:rsidP="00231C30">
      <w:pPr>
        <w:numPr>
          <w:ilvl w:val="0"/>
          <w:numId w:val="22"/>
        </w:numPr>
        <w:autoSpaceDE w:val="0"/>
        <w:autoSpaceDN w:val="0"/>
        <w:adjustRightInd w:val="0"/>
        <w:spacing w:after="0"/>
        <w:rPr>
          <w:rFonts w:ascii="Times New Roman" w:hAnsi="Times New Roman"/>
          <w:color w:val="000000"/>
          <w:lang w:val="en-US"/>
        </w:rPr>
      </w:pPr>
      <w:r w:rsidRPr="00920D75">
        <w:rPr>
          <w:rFonts w:ascii="Times New Roman" w:hAnsi="Times New Roman"/>
          <w:color w:val="000000"/>
          <w:lang w:val="en-US"/>
        </w:rPr>
        <w:t>Other key relevant publications and research</w:t>
      </w:r>
    </w:p>
    <w:p w:rsidR="00231C30" w:rsidRPr="00920D75" w:rsidRDefault="00231C30" w:rsidP="00231C30">
      <w:pPr>
        <w:autoSpaceDE w:val="0"/>
        <w:autoSpaceDN w:val="0"/>
        <w:adjustRightInd w:val="0"/>
        <w:spacing w:after="0"/>
        <w:ind w:left="1125"/>
        <w:rPr>
          <w:rFonts w:ascii="Times New Roman" w:hAnsi="Times New Roman"/>
          <w:color w:val="000000"/>
          <w:lang w:val="en-US"/>
        </w:rPr>
      </w:pPr>
    </w:p>
    <w:p w:rsidR="00E4655B" w:rsidRDefault="00231C30">
      <w:pPr>
        <w:numPr>
          <w:ilvl w:val="0"/>
          <w:numId w:val="19"/>
        </w:numPr>
        <w:spacing w:after="0"/>
        <w:ind w:hanging="357"/>
        <w:rPr>
          <w:rFonts w:ascii="Times New Roman" w:hAnsi="Times New Roman"/>
          <w:lang w:val="en-US"/>
        </w:rPr>
      </w:pPr>
      <w:r>
        <w:rPr>
          <w:rFonts w:ascii="Times New Roman" w:hAnsi="Times New Roman"/>
          <w:lang w:val="en-US"/>
        </w:rPr>
        <w:t>Information and d</w:t>
      </w:r>
      <w:r w:rsidRPr="00920D75">
        <w:rPr>
          <w:rFonts w:ascii="Times New Roman" w:hAnsi="Times New Roman"/>
          <w:lang w:val="en-US"/>
        </w:rPr>
        <w:t>ata gathering from relevant WHO</w:t>
      </w:r>
      <w:r>
        <w:rPr>
          <w:rFonts w:ascii="Times New Roman" w:hAnsi="Times New Roman"/>
          <w:lang w:val="en-US"/>
        </w:rPr>
        <w:t xml:space="preserve">, </w:t>
      </w:r>
      <w:r w:rsidRPr="00920D75">
        <w:rPr>
          <w:rFonts w:ascii="Times New Roman" w:hAnsi="Times New Roman"/>
          <w:lang w:val="en-US"/>
        </w:rPr>
        <w:t>FAO</w:t>
      </w:r>
      <w:r>
        <w:rPr>
          <w:rFonts w:ascii="Times New Roman" w:hAnsi="Times New Roman"/>
          <w:lang w:val="en-US"/>
        </w:rPr>
        <w:t>, Codex Trust Fund Secretariat</w:t>
      </w:r>
      <w:r w:rsidRPr="00920D75">
        <w:rPr>
          <w:rFonts w:ascii="Times New Roman" w:hAnsi="Times New Roman"/>
          <w:lang w:val="en-US"/>
        </w:rPr>
        <w:t xml:space="preserve"> </w:t>
      </w:r>
      <w:r>
        <w:rPr>
          <w:rFonts w:ascii="Times New Roman" w:hAnsi="Times New Roman"/>
          <w:lang w:val="en-US"/>
        </w:rPr>
        <w:t xml:space="preserve">and Codex Alimentarius Commission </w:t>
      </w:r>
      <w:r w:rsidRPr="00920D75">
        <w:rPr>
          <w:rFonts w:ascii="Times New Roman" w:hAnsi="Times New Roman"/>
          <w:lang w:val="en-US"/>
        </w:rPr>
        <w:t>staff:</w:t>
      </w:r>
    </w:p>
    <w:p w:rsidR="00E4655B" w:rsidRDefault="00231C30">
      <w:pPr>
        <w:numPr>
          <w:ilvl w:val="1"/>
          <w:numId w:val="15"/>
        </w:numPr>
        <w:spacing w:after="0"/>
        <w:ind w:hanging="357"/>
        <w:rPr>
          <w:rFonts w:ascii="Times New Roman" w:hAnsi="Times New Roman"/>
          <w:lang w:val="en-US"/>
        </w:rPr>
      </w:pPr>
      <w:r w:rsidRPr="00920D75">
        <w:rPr>
          <w:rFonts w:ascii="Times New Roman" w:hAnsi="Times New Roman"/>
          <w:lang w:val="en-US"/>
        </w:rPr>
        <w:t>On-site interviews of the Trust Fund Secretariat and WHO staff in Geneva, and FAO and Codex Secretariat staff in Rome</w:t>
      </w:r>
    </w:p>
    <w:p w:rsidR="00E4655B" w:rsidRDefault="00231C30">
      <w:pPr>
        <w:numPr>
          <w:ilvl w:val="1"/>
          <w:numId w:val="20"/>
        </w:numPr>
        <w:spacing w:after="120"/>
        <w:ind w:hanging="357"/>
        <w:rPr>
          <w:rFonts w:ascii="Times New Roman" w:hAnsi="Times New Roman"/>
          <w:lang w:val="en-US"/>
        </w:rPr>
      </w:pPr>
      <w:r w:rsidRPr="00920D75">
        <w:rPr>
          <w:rFonts w:ascii="Times New Roman" w:hAnsi="Times New Roman"/>
          <w:lang w:val="en-US"/>
        </w:rPr>
        <w:t>Written or web-based survey questionnaire of a sample of FAO and WHO regional and country level staff involved with the Trust Fund</w:t>
      </w:r>
    </w:p>
    <w:p w:rsidR="00231C30" w:rsidRPr="00920D75" w:rsidRDefault="00231C30" w:rsidP="00231C30">
      <w:pPr>
        <w:numPr>
          <w:ilvl w:val="0"/>
          <w:numId w:val="19"/>
        </w:numPr>
        <w:spacing w:after="0"/>
        <w:rPr>
          <w:rFonts w:ascii="Times New Roman" w:hAnsi="Times New Roman"/>
          <w:lang w:val="en-US"/>
        </w:rPr>
      </w:pPr>
      <w:r w:rsidRPr="00920D75">
        <w:rPr>
          <w:rFonts w:ascii="Times New Roman" w:hAnsi="Times New Roman"/>
          <w:lang w:val="en-US"/>
        </w:rPr>
        <w:t>Data gathering from beneficiary countries, Trust Fund eligible countries who are not beneficiaries, and Trust Fund "graduates."  This could include one or a combination of the following:</w:t>
      </w:r>
    </w:p>
    <w:p w:rsidR="00231C30" w:rsidRPr="00920D75" w:rsidRDefault="00231C30" w:rsidP="00231C30">
      <w:pPr>
        <w:numPr>
          <w:ilvl w:val="1"/>
          <w:numId w:val="15"/>
        </w:numPr>
        <w:spacing w:after="0"/>
        <w:rPr>
          <w:rFonts w:ascii="Times New Roman" w:hAnsi="Times New Roman"/>
          <w:lang w:val="en-US"/>
        </w:rPr>
      </w:pPr>
      <w:r w:rsidRPr="00920D75">
        <w:rPr>
          <w:rFonts w:ascii="Times New Roman" w:hAnsi="Times New Roman"/>
          <w:lang w:val="en-US"/>
        </w:rPr>
        <w:t>Telephone interviews of country representatives</w:t>
      </w:r>
    </w:p>
    <w:p w:rsidR="00231C30" w:rsidRPr="00920D75" w:rsidRDefault="00231C30" w:rsidP="00231C30">
      <w:pPr>
        <w:numPr>
          <w:ilvl w:val="1"/>
          <w:numId w:val="15"/>
        </w:numPr>
        <w:spacing w:after="0"/>
        <w:rPr>
          <w:rFonts w:ascii="Times New Roman" w:hAnsi="Times New Roman"/>
          <w:lang w:val="en-US"/>
        </w:rPr>
      </w:pPr>
      <w:r w:rsidRPr="00920D75">
        <w:rPr>
          <w:rFonts w:ascii="Times New Roman" w:hAnsi="Times New Roman"/>
          <w:lang w:val="en-US"/>
        </w:rPr>
        <w:t>Survey questionnaire of a sample of Codex Contact Points</w:t>
      </w:r>
    </w:p>
    <w:p w:rsidR="00231C30" w:rsidRPr="00920D75" w:rsidRDefault="00231C30" w:rsidP="00231C30">
      <w:pPr>
        <w:numPr>
          <w:ilvl w:val="1"/>
          <w:numId w:val="15"/>
        </w:numPr>
        <w:spacing w:after="0"/>
        <w:rPr>
          <w:rFonts w:ascii="Times New Roman" w:hAnsi="Times New Roman"/>
          <w:lang w:val="en-US"/>
        </w:rPr>
      </w:pPr>
      <w:r w:rsidRPr="00920D75">
        <w:rPr>
          <w:rFonts w:ascii="Times New Roman" w:hAnsi="Times New Roman"/>
          <w:lang w:val="en-US"/>
        </w:rPr>
        <w:t>Focus groups and individual meetings with country delegates (to be held during Codex meetings)</w:t>
      </w:r>
    </w:p>
    <w:p w:rsidR="00231C30" w:rsidRPr="00920D75" w:rsidRDefault="00231C30" w:rsidP="00231C30">
      <w:pPr>
        <w:numPr>
          <w:ilvl w:val="1"/>
          <w:numId w:val="15"/>
        </w:numPr>
        <w:spacing w:after="0"/>
        <w:rPr>
          <w:rFonts w:ascii="Times New Roman" w:hAnsi="Times New Roman"/>
          <w:lang w:val="en-US"/>
        </w:rPr>
      </w:pPr>
      <w:r w:rsidRPr="00920D75">
        <w:rPr>
          <w:rFonts w:ascii="Times New Roman" w:hAnsi="Times New Roman"/>
          <w:lang w:val="en-US"/>
        </w:rPr>
        <w:t xml:space="preserve">Field visits to a </w:t>
      </w:r>
      <w:r w:rsidRPr="00621292">
        <w:rPr>
          <w:rFonts w:ascii="Times New Roman" w:hAnsi="Times New Roman"/>
          <w:lang w:val="en-US"/>
        </w:rPr>
        <w:t>representative</w:t>
      </w:r>
      <w:r>
        <w:rPr>
          <w:rFonts w:ascii="Times New Roman" w:hAnsi="Times New Roman"/>
          <w:color w:val="3366FF"/>
          <w:lang w:val="en-US"/>
        </w:rPr>
        <w:t xml:space="preserve"> </w:t>
      </w:r>
      <w:r w:rsidRPr="00920D75">
        <w:rPr>
          <w:rFonts w:ascii="Times New Roman" w:hAnsi="Times New Roman"/>
          <w:lang w:val="en-US"/>
        </w:rPr>
        <w:t xml:space="preserve">sample of Codex Trust Fund beneficiary countries </w:t>
      </w:r>
    </w:p>
    <w:p w:rsidR="00231C30" w:rsidRPr="00920D75" w:rsidRDefault="00231C30" w:rsidP="00231C30">
      <w:pPr>
        <w:spacing w:after="0"/>
        <w:ind w:left="1125"/>
        <w:rPr>
          <w:rFonts w:ascii="Times New Roman" w:hAnsi="Times New Roman"/>
          <w:lang w:val="en-US"/>
        </w:rPr>
      </w:pPr>
    </w:p>
    <w:p w:rsidR="00231C30" w:rsidRDefault="00231C30" w:rsidP="00231C30">
      <w:pPr>
        <w:numPr>
          <w:ilvl w:val="0"/>
          <w:numId w:val="19"/>
        </w:numPr>
        <w:spacing w:after="120"/>
        <w:rPr>
          <w:rFonts w:ascii="Times New Roman" w:hAnsi="Times New Roman"/>
          <w:lang w:val="en-US"/>
        </w:rPr>
      </w:pPr>
      <w:r w:rsidRPr="00920D75">
        <w:rPr>
          <w:rFonts w:ascii="Times New Roman" w:hAnsi="Times New Roman"/>
          <w:lang w:val="en-US"/>
        </w:rPr>
        <w:t>Telephone and</w:t>
      </w:r>
      <w:r>
        <w:rPr>
          <w:rFonts w:ascii="Times New Roman" w:hAnsi="Times New Roman"/>
          <w:color w:val="3366FF"/>
          <w:lang w:val="en-US"/>
        </w:rPr>
        <w:t>/</w:t>
      </w:r>
      <w:r w:rsidRPr="00621292">
        <w:rPr>
          <w:rFonts w:ascii="Times New Roman" w:hAnsi="Times New Roman"/>
          <w:lang w:val="en-US"/>
        </w:rPr>
        <w:t>or</w:t>
      </w:r>
      <w:r>
        <w:rPr>
          <w:rFonts w:ascii="Times New Roman" w:hAnsi="Times New Roman"/>
          <w:color w:val="3366FF"/>
          <w:lang w:val="en-US"/>
        </w:rPr>
        <w:t xml:space="preserve"> </w:t>
      </w:r>
      <w:r w:rsidRPr="00920D75">
        <w:rPr>
          <w:rFonts w:ascii="Times New Roman" w:hAnsi="Times New Roman"/>
          <w:lang w:val="en-US"/>
        </w:rPr>
        <w:t>in-person interviews with donors contributing to the Fund and non-donors.</w:t>
      </w:r>
    </w:p>
    <w:p w:rsidR="00231C30" w:rsidRPr="00920D75" w:rsidRDefault="00231C30" w:rsidP="00231C30">
      <w:pPr>
        <w:numPr>
          <w:ilvl w:val="0"/>
          <w:numId w:val="19"/>
        </w:numPr>
        <w:spacing w:after="120"/>
        <w:rPr>
          <w:rFonts w:ascii="Times New Roman" w:hAnsi="Times New Roman"/>
          <w:lang w:val="en-US"/>
        </w:rPr>
      </w:pPr>
      <w:r w:rsidRPr="00621292">
        <w:rPr>
          <w:rFonts w:ascii="Times New Roman" w:hAnsi="Times New Roman"/>
          <w:lang w:val="en-US"/>
        </w:rPr>
        <w:lastRenderedPageBreak/>
        <w:t>Telephone, electronic and/or in-person interviews with: 1) countries currently serving as regional Codex coordinators; 2) countries currently hosting Codex committees</w:t>
      </w:r>
      <w:r>
        <w:rPr>
          <w:rFonts w:ascii="Times New Roman" w:hAnsi="Times New Roman"/>
          <w:color w:val="3366FF"/>
          <w:lang w:val="en-US"/>
        </w:rPr>
        <w:t>.</w:t>
      </w:r>
    </w:p>
    <w:p w:rsidR="00231C30" w:rsidRPr="00920D75" w:rsidRDefault="00231C30" w:rsidP="00231C30">
      <w:pPr>
        <w:numPr>
          <w:ilvl w:val="0"/>
          <w:numId w:val="19"/>
        </w:numPr>
        <w:spacing w:after="120"/>
        <w:rPr>
          <w:rFonts w:ascii="Times New Roman" w:hAnsi="Times New Roman"/>
          <w:lang w:val="en-US"/>
        </w:rPr>
      </w:pPr>
      <w:r w:rsidRPr="00920D75">
        <w:rPr>
          <w:rFonts w:ascii="Times New Roman" w:hAnsi="Times New Roman"/>
          <w:lang w:val="en-US"/>
        </w:rPr>
        <w:t>Discussions with consultants involved in past evaluations of the Codex Trust Fund.</w:t>
      </w:r>
    </w:p>
    <w:p w:rsidR="00231C30" w:rsidRDefault="00231C30" w:rsidP="00231C30">
      <w:pPr>
        <w:autoSpaceDE w:val="0"/>
        <w:autoSpaceDN w:val="0"/>
        <w:adjustRightInd w:val="0"/>
        <w:spacing w:line="257" w:lineRule="auto"/>
        <w:rPr>
          <w:rFonts w:ascii="Times New Roman" w:hAnsi="Times New Roman"/>
          <w:color w:val="000000"/>
          <w:lang w:val="en-US"/>
        </w:rPr>
      </w:pPr>
      <w:r w:rsidRPr="00920D75">
        <w:rPr>
          <w:rFonts w:ascii="Times New Roman" w:hAnsi="Times New Roman"/>
          <w:color w:val="000000"/>
          <w:lang w:val="en-US"/>
        </w:rPr>
        <w:t>It is expected that all conclusions by the external evaluator would be based on solid evidence that includes a combination of quantitative and qualitative approaches. The evaluator will be expected to propose a program of meetings</w:t>
      </w:r>
      <w:r w:rsidRPr="00621292">
        <w:rPr>
          <w:rFonts w:ascii="Times New Roman" w:hAnsi="Times New Roman"/>
          <w:lang w:val="en-US"/>
        </w:rPr>
        <w:t xml:space="preserve">, </w:t>
      </w:r>
      <w:r w:rsidRPr="00920D75">
        <w:rPr>
          <w:rFonts w:ascii="Times New Roman" w:hAnsi="Times New Roman"/>
          <w:color w:val="000000"/>
          <w:lang w:val="en-US"/>
        </w:rPr>
        <w:t>interviews</w:t>
      </w:r>
      <w:r>
        <w:rPr>
          <w:rFonts w:ascii="Times New Roman" w:hAnsi="Times New Roman"/>
          <w:color w:val="000000"/>
          <w:lang w:val="en-US"/>
        </w:rPr>
        <w:t xml:space="preserve">, </w:t>
      </w:r>
      <w:r w:rsidRPr="00621292">
        <w:rPr>
          <w:rFonts w:ascii="Times New Roman" w:hAnsi="Times New Roman"/>
          <w:lang w:val="en-US"/>
        </w:rPr>
        <w:t xml:space="preserve">proposed </w:t>
      </w:r>
      <w:r>
        <w:rPr>
          <w:rFonts w:ascii="Times New Roman" w:hAnsi="Times New Roman"/>
          <w:lang w:val="en-US"/>
        </w:rPr>
        <w:t xml:space="preserve">methodology and data collection </w:t>
      </w:r>
      <w:r w:rsidRPr="00621292">
        <w:rPr>
          <w:rFonts w:ascii="Times New Roman" w:hAnsi="Times New Roman"/>
          <w:lang w:val="en-US"/>
        </w:rPr>
        <w:t>instruments</w:t>
      </w:r>
      <w:r>
        <w:rPr>
          <w:rFonts w:ascii="Times New Roman" w:hAnsi="Times New Roman"/>
          <w:lang w:val="en-US"/>
        </w:rPr>
        <w:t>, timeline and milestones for progress fo</w:t>
      </w:r>
      <w:r w:rsidRPr="00920D75">
        <w:rPr>
          <w:rFonts w:ascii="Times New Roman" w:hAnsi="Times New Roman"/>
          <w:color w:val="000000"/>
          <w:lang w:val="en-US"/>
        </w:rPr>
        <w:t xml:space="preserve">r consideration by the </w:t>
      </w:r>
      <w:r>
        <w:rPr>
          <w:rFonts w:ascii="Times New Roman" w:hAnsi="Times New Roman"/>
          <w:color w:val="000000"/>
          <w:lang w:val="en-US"/>
        </w:rPr>
        <w:t xml:space="preserve">Consultative Group for the Trust Fund. </w:t>
      </w:r>
    </w:p>
    <w:p w:rsidR="00231C30" w:rsidRDefault="00231C30" w:rsidP="00231C30">
      <w:pPr>
        <w:autoSpaceDE w:val="0"/>
        <w:autoSpaceDN w:val="0"/>
        <w:adjustRightInd w:val="0"/>
        <w:spacing w:line="257" w:lineRule="auto"/>
        <w:rPr>
          <w:rFonts w:ascii="Times New Roman" w:hAnsi="Times New Roman"/>
          <w:color w:val="000000"/>
          <w:lang w:val="en-US"/>
        </w:rPr>
      </w:pPr>
    </w:p>
    <w:p w:rsidR="00231C30" w:rsidRPr="00920D75" w:rsidRDefault="00231C30" w:rsidP="00231C30">
      <w:pPr>
        <w:autoSpaceDE w:val="0"/>
        <w:autoSpaceDN w:val="0"/>
        <w:adjustRightInd w:val="0"/>
        <w:spacing w:line="257" w:lineRule="auto"/>
        <w:rPr>
          <w:rFonts w:ascii="Times New Roman" w:hAnsi="Times New Roman"/>
          <w:color w:val="000000"/>
          <w:lang w:val="en-US"/>
        </w:rPr>
      </w:pPr>
    </w:p>
    <w:p w:rsidR="00231C30" w:rsidRPr="00920D75" w:rsidRDefault="000829F6" w:rsidP="00231C30">
      <w:pPr>
        <w:spacing w:after="0"/>
        <w:rPr>
          <w:rFonts w:ascii="Times New Roman" w:hAnsi="Times New Roman"/>
          <w:lang w:val="en-US"/>
        </w:rPr>
      </w:pPr>
      <w:r>
        <w:rPr>
          <w:rFonts w:ascii="Times New Roman" w:hAnsi="Times New Roman"/>
          <w:noProof/>
          <w:lang w:val="en-GB" w:eastAsia="en-GB"/>
        </w:rP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88900</wp:posOffset>
                </wp:positionV>
                <wp:extent cx="5715000" cy="278765"/>
                <wp:effectExtent l="0" t="3175" r="0" b="381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278765"/>
                        </a:xfrm>
                        <a:prstGeom prst="rect">
                          <a:avLst/>
                        </a:prstGeom>
                        <a:solidFill>
                          <a:srgbClr val="EAEAEA"/>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75C62" w:rsidRPr="00C057D3" w:rsidRDefault="00B75C62" w:rsidP="00231C30">
                            <w:pPr>
                              <w:rPr>
                                <w:rFonts w:ascii="Times New Roman" w:hAnsi="Times New Roman"/>
                                <w:b/>
                                <w:bCs/>
                                <w:lang w:val="en-GB"/>
                              </w:rPr>
                            </w:pPr>
                            <w:r w:rsidRPr="00C057D3">
                              <w:rPr>
                                <w:rFonts w:ascii="Times New Roman" w:hAnsi="Times New Roman"/>
                                <w:b/>
                                <w:bCs/>
                                <w:lang w:val="en-GB"/>
                              </w:rPr>
                              <w:t>V. Management Arrangements, Outputs and Timeline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0" type="#_x0000_t202" style="position:absolute;left:0;text-align:left;margin-left:0;margin-top:7pt;width:450pt;height:21.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" fillcolor="#eaeaea" stroked="f">
                <v:textbox>
                  <w:txbxContent>
                    <w:p w:rsidR="00B75C62" w:rsidRPr="00C057D3" w:rsidRDefault="00B75C62" w:rsidP="00231C30">
                      <w:pPr>
                        <w:rPr>
                          <w:rFonts w:ascii="Times New Roman" w:hAnsi="Times New Roman"/>
                          <w:b/>
                          <w:bCs/>
                          <w:lang w:val="en-GB"/>
                        </w:rPr>
                      </w:pPr>
                      <w:r w:rsidRPr="00C057D3">
                        <w:rPr>
                          <w:rFonts w:ascii="Times New Roman" w:hAnsi="Times New Roman"/>
                          <w:b/>
                          <w:bCs/>
                          <w:lang w:val="en-GB"/>
                        </w:rPr>
                        <w:t>V. Management Arrangements, Outputs and Timeline</w:t>
                      </w:r>
                    </w:p>
                  </w:txbxContent>
                </v:textbox>
              </v:shape>
            </w:pict>
          </mc:Fallback>
        </mc:AlternateContent>
      </w:r>
    </w:p>
    <w:p w:rsidR="00231C30" w:rsidRPr="00920D75" w:rsidRDefault="00231C30" w:rsidP="00231C30">
      <w:pPr>
        <w:rPr>
          <w:rFonts w:ascii="Times New Roman" w:hAnsi="Times New Roman"/>
          <w:lang w:val="en-US"/>
        </w:rPr>
      </w:pPr>
    </w:p>
    <w:p w:rsidR="00231C30" w:rsidRPr="00920D75" w:rsidRDefault="00231C30" w:rsidP="00231C30">
      <w:pPr>
        <w:autoSpaceDE w:val="0"/>
        <w:autoSpaceDN w:val="0"/>
        <w:adjustRightInd w:val="0"/>
        <w:spacing w:after="0"/>
        <w:rPr>
          <w:rFonts w:ascii="Times New Roman" w:eastAsia="SimSun" w:hAnsi="Times New Roman"/>
          <w:lang w:val="en-US" w:eastAsia="zh-CN"/>
        </w:rPr>
      </w:pPr>
      <w:r w:rsidRPr="00920D75">
        <w:rPr>
          <w:rFonts w:ascii="Times New Roman" w:hAnsi="Times New Roman"/>
          <w:lang w:val="en-US"/>
        </w:rPr>
        <w:t>The evaluator</w:t>
      </w:r>
      <w:r>
        <w:rPr>
          <w:rFonts w:ascii="Times New Roman" w:hAnsi="Times New Roman"/>
          <w:lang w:val="en-US"/>
        </w:rPr>
        <w:t xml:space="preserve">/evaluation team will be selected by the Consultative Group of the Trust Fund among responses to a "Call for Expression of Interest" that will be circulated widely using all relevant channels.  The evaluator/evaluation team </w:t>
      </w:r>
      <w:r w:rsidRPr="00920D75">
        <w:rPr>
          <w:rFonts w:ascii="Times New Roman" w:hAnsi="Times New Roman"/>
          <w:lang w:val="en-US"/>
        </w:rPr>
        <w:t xml:space="preserve">will report to </w:t>
      </w:r>
      <w:r w:rsidRPr="00920D75">
        <w:rPr>
          <w:rFonts w:ascii="Times New Roman" w:eastAsia="SimSun" w:hAnsi="Times New Roman"/>
          <w:lang w:val="en-US" w:eastAsia="zh-CN"/>
        </w:rPr>
        <w:t>the Consultative Group for the Trust Fund.</w:t>
      </w:r>
      <w:r>
        <w:rPr>
          <w:rFonts w:ascii="Times New Roman" w:eastAsia="SimSun" w:hAnsi="Times New Roman"/>
          <w:lang w:val="en-US" w:eastAsia="zh-CN"/>
        </w:rPr>
        <w:t xml:space="preserve">  </w:t>
      </w:r>
    </w:p>
    <w:p w:rsidR="00231C30" w:rsidRPr="00920D75" w:rsidRDefault="00231C30" w:rsidP="00231C30">
      <w:pPr>
        <w:autoSpaceDE w:val="0"/>
        <w:autoSpaceDN w:val="0"/>
        <w:adjustRightInd w:val="0"/>
        <w:spacing w:after="0"/>
        <w:rPr>
          <w:rFonts w:ascii="Times New Roman" w:eastAsia="SimSun" w:hAnsi="Times New Roman"/>
          <w:lang w:val="en-US" w:eastAsia="zh-CN"/>
        </w:rPr>
      </w:pPr>
    </w:p>
    <w:p w:rsidR="00231C30" w:rsidRPr="00920D75" w:rsidRDefault="00231C30" w:rsidP="00231C30">
      <w:pPr>
        <w:autoSpaceDE w:val="0"/>
        <w:autoSpaceDN w:val="0"/>
        <w:adjustRightInd w:val="0"/>
        <w:spacing w:after="0"/>
        <w:rPr>
          <w:rFonts w:ascii="Times New Roman" w:eastAsia="SimSun" w:hAnsi="Times New Roman"/>
          <w:lang w:val="en-US" w:eastAsia="zh-CN"/>
        </w:rPr>
      </w:pPr>
      <w:r>
        <w:rPr>
          <w:rFonts w:ascii="Times New Roman" w:eastAsia="SimSun" w:hAnsi="Times New Roman"/>
          <w:lang w:val="en-US" w:eastAsia="zh-CN"/>
        </w:rPr>
        <w:t xml:space="preserve">A </w:t>
      </w:r>
      <w:r w:rsidRPr="00920D75">
        <w:rPr>
          <w:rFonts w:ascii="Times New Roman" w:eastAsia="SimSun" w:hAnsi="Times New Roman"/>
          <w:lang w:val="en-US" w:eastAsia="zh-CN"/>
        </w:rPr>
        <w:t>stakeholder advisory panel be formed</w:t>
      </w:r>
      <w:r>
        <w:rPr>
          <w:rFonts w:ascii="Times New Roman" w:eastAsia="SimSun" w:hAnsi="Times New Roman"/>
          <w:lang w:val="en-US" w:eastAsia="zh-CN"/>
        </w:rPr>
        <w:t xml:space="preserve"> to </w:t>
      </w:r>
      <w:r w:rsidRPr="00920D75">
        <w:rPr>
          <w:rFonts w:ascii="Times New Roman" w:eastAsia="SimSun" w:hAnsi="Times New Roman"/>
          <w:lang w:val="en-US" w:eastAsia="zh-CN"/>
        </w:rPr>
        <w:t>enable the evaluator</w:t>
      </w:r>
      <w:r>
        <w:rPr>
          <w:rFonts w:ascii="Times New Roman" w:eastAsia="SimSun" w:hAnsi="Times New Roman"/>
          <w:lang w:val="en-US" w:eastAsia="zh-CN"/>
        </w:rPr>
        <w:t>/evaluation team</w:t>
      </w:r>
      <w:r w:rsidRPr="00920D75">
        <w:rPr>
          <w:rFonts w:ascii="Times New Roman" w:eastAsia="SimSun" w:hAnsi="Times New Roman"/>
          <w:lang w:val="en-US" w:eastAsia="zh-CN"/>
        </w:rPr>
        <w:t xml:space="preserve"> to have easy access to representatives of each of the key stakeholder groups, thereby enriching the design and implementation of the review with the perspectives and views of different stakeholder groups. It is envisaged that the stakeholder panel will work electronically with the evaluator/evaluation team to provide comments on the methodology</w:t>
      </w:r>
      <w:r>
        <w:rPr>
          <w:rFonts w:ascii="Times New Roman" w:eastAsia="SimSun" w:hAnsi="Times New Roman"/>
          <w:lang w:val="en-US" w:eastAsia="zh-CN"/>
        </w:rPr>
        <w:t xml:space="preserve"> and different instruments</w:t>
      </w:r>
      <w:r w:rsidRPr="00920D75">
        <w:rPr>
          <w:rFonts w:ascii="Times New Roman" w:eastAsia="SimSun" w:hAnsi="Times New Roman"/>
          <w:lang w:val="en-US" w:eastAsia="zh-CN"/>
        </w:rPr>
        <w:t xml:space="preserve"> </w:t>
      </w:r>
      <w:r>
        <w:rPr>
          <w:rFonts w:ascii="Times New Roman" w:eastAsia="SimSun" w:hAnsi="Times New Roman"/>
          <w:lang w:val="en-US" w:eastAsia="zh-CN"/>
        </w:rPr>
        <w:t xml:space="preserve">proposed for use in </w:t>
      </w:r>
      <w:r w:rsidRPr="00920D75">
        <w:rPr>
          <w:rFonts w:ascii="Times New Roman" w:eastAsia="SimSun" w:hAnsi="Times New Roman"/>
          <w:lang w:val="en-US" w:eastAsia="zh-CN"/>
        </w:rPr>
        <w:t xml:space="preserve">the evaluation, and serve as a resource for information and consultation </w:t>
      </w:r>
      <w:r>
        <w:rPr>
          <w:rFonts w:ascii="Times New Roman" w:eastAsia="SimSun" w:hAnsi="Times New Roman"/>
          <w:lang w:val="en-US" w:eastAsia="zh-CN"/>
        </w:rPr>
        <w:t xml:space="preserve">as needed </w:t>
      </w:r>
      <w:r w:rsidRPr="00920D75">
        <w:rPr>
          <w:rFonts w:ascii="Times New Roman" w:eastAsia="SimSun" w:hAnsi="Times New Roman"/>
          <w:lang w:val="en-US" w:eastAsia="zh-CN"/>
        </w:rPr>
        <w:t>by the evaluator</w:t>
      </w:r>
      <w:r>
        <w:rPr>
          <w:rFonts w:ascii="Times New Roman" w:eastAsia="SimSun" w:hAnsi="Times New Roman"/>
          <w:lang w:val="en-US" w:eastAsia="zh-CN"/>
        </w:rPr>
        <w:t>/evaluation team</w:t>
      </w:r>
      <w:r w:rsidRPr="00920D75">
        <w:rPr>
          <w:rFonts w:ascii="Times New Roman" w:eastAsia="SimSun" w:hAnsi="Times New Roman"/>
          <w:lang w:val="en-US" w:eastAsia="zh-CN"/>
        </w:rPr>
        <w:t>.</w:t>
      </w:r>
    </w:p>
    <w:p w:rsidR="00231C30" w:rsidRPr="00920D75" w:rsidRDefault="00231C30" w:rsidP="00231C30">
      <w:pPr>
        <w:autoSpaceDE w:val="0"/>
        <w:autoSpaceDN w:val="0"/>
        <w:adjustRightInd w:val="0"/>
        <w:spacing w:after="0"/>
        <w:rPr>
          <w:rFonts w:ascii="Times New Roman" w:eastAsia="SimSun" w:hAnsi="Times New Roman"/>
          <w:lang w:val="en-US" w:eastAsia="zh-CN"/>
        </w:rPr>
      </w:pPr>
    </w:p>
    <w:p w:rsidR="00231C30" w:rsidRPr="00920D75" w:rsidRDefault="00231C30" w:rsidP="00231C30">
      <w:pPr>
        <w:pStyle w:val="Liststycke1"/>
        <w:ind w:left="0"/>
        <w:jc w:val="both"/>
        <w:rPr>
          <w:rFonts w:ascii="Times New Roman" w:hAnsi="Times New Roman" w:cs="Times New Roman"/>
          <w:color w:val="000000"/>
          <w:sz w:val="24"/>
          <w:szCs w:val="24"/>
          <w:lang w:val="en-US"/>
        </w:rPr>
      </w:pPr>
      <w:r w:rsidRPr="00920D75">
        <w:rPr>
          <w:rFonts w:ascii="Times New Roman" w:hAnsi="Times New Roman" w:cs="Times New Roman"/>
          <w:color w:val="000000"/>
          <w:sz w:val="24"/>
          <w:szCs w:val="24"/>
          <w:lang w:val="en-US"/>
        </w:rPr>
        <w:t xml:space="preserve">The </w:t>
      </w:r>
      <w:r w:rsidRPr="00920D75">
        <w:rPr>
          <w:rFonts w:ascii="Times New Roman" w:hAnsi="Times New Roman" w:cs="Times New Roman"/>
          <w:b/>
          <w:bCs/>
          <w:color w:val="000000"/>
          <w:sz w:val="24"/>
          <w:szCs w:val="24"/>
          <w:lang w:val="en-US"/>
        </w:rPr>
        <w:t xml:space="preserve">deliverables </w:t>
      </w:r>
      <w:r w:rsidRPr="00920D75">
        <w:rPr>
          <w:rFonts w:ascii="Times New Roman" w:hAnsi="Times New Roman" w:cs="Times New Roman"/>
          <w:color w:val="000000"/>
          <w:sz w:val="24"/>
          <w:szCs w:val="24"/>
          <w:lang w:val="en-US"/>
        </w:rPr>
        <w:t>expected are:</w:t>
      </w:r>
    </w:p>
    <w:p w:rsidR="00E4655B" w:rsidRDefault="00231C30">
      <w:pPr>
        <w:numPr>
          <w:ilvl w:val="0"/>
          <w:numId w:val="23"/>
        </w:numPr>
        <w:spacing w:after="120"/>
        <w:ind w:left="714" w:hanging="357"/>
        <w:rPr>
          <w:rFonts w:ascii="Times New Roman" w:hAnsi="Times New Roman"/>
          <w:lang w:val="en-GB"/>
        </w:rPr>
      </w:pPr>
      <w:r w:rsidRPr="00920D75">
        <w:rPr>
          <w:rFonts w:ascii="Times New Roman" w:hAnsi="Times New Roman"/>
          <w:lang w:val="en-GB"/>
        </w:rPr>
        <w:t>Detailed work plan and timeline which elaborate further the methodology proposed in the TOR.</w:t>
      </w:r>
    </w:p>
    <w:p w:rsidR="00E4655B" w:rsidRDefault="00231C30">
      <w:pPr>
        <w:numPr>
          <w:ilvl w:val="0"/>
          <w:numId w:val="23"/>
        </w:numPr>
        <w:spacing w:after="120"/>
        <w:ind w:left="714" w:hanging="357"/>
        <w:rPr>
          <w:rFonts w:ascii="Times New Roman" w:hAnsi="Times New Roman"/>
          <w:lang w:val="en-GB"/>
        </w:rPr>
      </w:pPr>
      <w:r w:rsidRPr="00920D75">
        <w:rPr>
          <w:rFonts w:ascii="Times New Roman" w:hAnsi="Times New Roman"/>
          <w:lang w:val="en-GB"/>
        </w:rPr>
        <w:t>Draft report containing preliminary findings/conclusions.</w:t>
      </w:r>
    </w:p>
    <w:p w:rsidR="00E4655B" w:rsidRDefault="00231C30">
      <w:pPr>
        <w:numPr>
          <w:ilvl w:val="0"/>
          <w:numId w:val="23"/>
        </w:numPr>
        <w:spacing w:after="120"/>
        <w:ind w:left="714" w:hanging="357"/>
        <w:rPr>
          <w:rFonts w:ascii="Times New Roman" w:hAnsi="Times New Roman"/>
          <w:lang w:val="en-GB"/>
        </w:rPr>
      </w:pPr>
      <w:r w:rsidRPr="00920D75">
        <w:rPr>
          <w:rFonts w:ascii="Times New Roman" w:hAnsi="Times New Roman"/>
          <w:lang w:val="en-GB"/>
        </w:rPr>
        <w:t xml:space="preserve">Final report of 50-60 pages in English, including an executive summary of 1-2 pages. </w:t>
      </w:r>
    </w:p>
    <w:p w:rsidR="00E4655B" w:rsidRDefault="00231C30">
      <w:pPr>
        <w:numPr>
          <w:ilvl w:val="0"/>
          <w:numId w:val="23"/>
        </w:numPr>
        <w:spacing w:after="120"/>
        <w:ind w:left="714" w:hanging="357"/>
        <w:rPr>
          <w:rFonts w:ascii="Times New Roman" w:hAnsi="Times New Roman"/>
          <w:lang w:val="en-GB"/>
        </w:rPr>
      </w:pPr>
      <w:r w:rsidRPr="00920D75">
        <w:rPr>
          <w:rFonts w:ascii="Times New Roman" w:hAnsi="Times New Roman"/>
          <w:lang w:val="en-GB"/>
        </w:rPr>
        <w:t xml:space="preserve">Presentation of conclusions and recommendations at the </w:t>
      </w:r>
      <w:r>
        <w:rPr>
          <w:rFonts w:ascii="Times New Roman" w:hAnsi="Times New Roman"/>
          <w:lang w:val="en-GB"/>
        </w:rPr>
        <w:t>64</w:t>
      </w:r>
      <w:r w:rsidRPr="00B079C4">
        <w:rPr>
          <w:rFonts w:ascii="Times New Roman" w:hAnsi="Times New Roman"/>
          <w:vertAlign w:val="superscript"/>
          <w:lang w:val="en-GB"/>
        </w:rPr>
        <w:t>th</w:t>
      </w:r>
      <w:r>
        <w:rPr>
          <w:rFonts w:ascii="Times New Roman" w:hAnsi="Times New Roman"/>
          <w:lang w:val="en-GB"/>
        </w:rPr>
        <w:t xml:space="preserve"> Session of the Executive Committee of the Codex Alimentarius Commission, and </w:t>
      </w:r>
      <w:r w:rsidRPr="00920D75">
        <w:rPr>
          <w:rFonts w:ascii="Times New Roman" w:hAnsi="Times New Roman"/>
          <w:lang w:val="en-GB"/>
        </w:rPr>
        <w:t>33</w:t>
      </w:r>
      <w:r w:rsidRPr="00920D75">
        <w:rPr>
          <w:rFonts w:ascii="Times New Roman" w:hAnsi="Times New Roman"/>
          <w:vertAlign w:val="superscript"/>
          <w:lang w:val="en-GB"/>
        </w:rPr>
        <w:t>rd</w:t>
      </w:r>
      <w:r w:rsidRPr="00920D75">
        <w:rPr>
          <w:rFonts w:ascii="Times New Roman" w:hAnsi="Times New Roman"/>
          <w:lang w:val="en-GB"/>
        </w:rPr>
        <w:t xml:space="preserve"> Session of the Codex Alimentarius Commission </w:t>
      </w:r>
      <w:r>
        <w:rPr>
          <w:rFonts w:ascii="Times New Roman" w:hAnsi="Times New Roman"/>
          <w:lang w:val="en-GB"/>
        </w:rPr>
        <w:t xml:space="preserve">which will be held </w:t>
      </w:r>
      <w:r w:rsidRPr="00920D75">
        <w:rPr>
          <w:rFonts w:ascii="Times New Roman" w:hAnsi="Times New Roman"/>
          <w:lang w:val="en-GB"/>
        </w:rPr>
        <w:t>in Geneva between 29 June and 9 July 2010.</w:t>
      </w:r>
    </w:p>
    <w:p w:rsidR="00231C30" w:rsidRPr="00513624" w:rsidRDefault="00231C30" w:rsidP="00231C30">
      <w:pPr>
        <w:spacing w:after="0"/>
        <w:ind w:left="360"/>
        <w:rPr>
          <w:rFonts w:ascii="Times New Roman" w:hAnsi="Times New Roman"/>
          <w:lang w:val="en-GB"/>
        </w:rPr>
      </w:pPr>
    </w:p>
    <w:p w:rsidR="00231C30" w:rsidRPr="00920D75" w:rsidRDefault="00231C30" w:rsidP="00231C30">
      <w:pPr>
        <w:rPr>
          <w:rFonts w:ascii="Times New Roman" w:eastAsia="SimSun" w:hAnsi="Times New Roman"/>
          <w:lang w:val="en-US"/>
        </w:rPr>
      </w:pPr>
      <w:r w:rsidRPr="00920D75">
        <w:rPr>
          <w:rFonts w:ascii="Times New Roman" w:eastAsia="SimSun" w:hAnsi="Times New Roman"/>
          <w:lang w:val="en-US"/>
        </w:rPr>
        <w:t xml:space="preserve">The preliminary </w:t>
      </w:r>
      <w:r w:rsidRPr="00920D75">
        <w:rPr>
          <w:rFonts w:ascii="Times New Roman" w:eastAsia="SimSun" w:hAnsi="Times New Roman"/>
          <w:b/>
          <w:bCs/>
          <w:lang w:val="en-US"/>
        </w:rPr>
        <w:t>timeline</w:t>
      </w:r>
      <w:r w:rsidRPr="00920D75">
        <w:rPr>
          <w:rFonts w:ascii="Times New Roman" w:eastAsia="SimSun" w:hAnsi="Times New Roman"/>
          <w:lang w:val="en-US"/>
        </w:rPr>
        <w:t xml:space="preserve"> for the review is:</w:t>
      </w:r>
    </w:p>
    <w:p w:rsidR="00E4655B" w:rsidRDefault="00231C30">
      <w:pPr>
        <w:numPr>
          <w:ilvl w:val="0"/>
          <w:numId w:val="16"/>
        </w:numPr>
        <w:spacing w:after="120"/>
        <w:ind w:left="714" w:hanging="357"/>
        <w:rPr>
          <w:rFonts w:ascii="Times New Roman" w:eastAsia="SimSun" w:hAnsi="Times New Roman"/>
          <w:lang w:val="en-US"/>
        </w:rPr>
      </w:pPr>
      <w:r w:rsidRPr="00920D75">
        <w:rPr>
          <w:rFonts w:ascii="Times New Roman" w:eastAsia="SimSun" w:hAnsi="Times New Roman"/>
          <w:lang w:val="en-US"/>
        </w:rPr>
        <w:t>June 29</w:t>
      </w:r>
      <w:r w:rsidRPr="00920D75">
        <w:rPr>
          <w:rFonts w:ascii="Times New Roman" w:eastAsia="SimSun" w:hAnsi="Times New Roman"/>
          <w:vertAlign w:val="superscript"/>
          <w:lang w:val="en-US"/>
        </w:rPr>
        <w:t>th</w:t>
      </w:r>
      <w:r w:rsidRPr="00920D75">
        <w:rPr>
          <w:rFonts w:ascii="Times New Roman" w:eastAsia="SimSun" w:hAnsi="Times New Roman"/>
          <w:lang w:val="en-US"/>
        </w:rPr>
        <w:t>-July 4</w:t>
      </w:r>
      <w:r w:rsidRPr="00920D75">
        <w:rPr>
          <w:rFonts w:ascii="Times New Roman" w:eastAsia="SimSun" w:hAnsi="Times New Roman"/>
          <w:vertAlign w:val="superscript"/>
          <w:lang w:val="en-US"/>
        </w:rPr>
        <w:t>th</w:t>
      </w:r>
      <w:r w:rsidRPr="00920D75">
        <w:rPr>
          <w:rFonts w:ascii="Times New Roman" w:eastAsia="SimSun" w:hAnsi="Times New Roman"/>
          <w:lang w:val="en-US"/>
        </w:rPr>
        <w:t xml:space="preserve"> 2009: Presentation of the proposal for the mid-term review at the 32</w:t>
      </w:r>
      <w:r w:rsidRPr="00920D75">
        <w:rPr>
          <w:rFonts w:ascii="Times New Roman" w:eastAsia="SimSun" w:hAnsi="Times New Roman"/>
          <w:vertAlign w:val="superscript"/>
          <w:lang w:val="en-US"/>
        </w:rPr>
        <w:t>nd</w:t>
      </w:r>
      <w:r w:rsidRPr="00920D75">
        <w:rPr>
          <w:rFonts w:ascii="Times New Roman" w:eastAsia="SimSun" w:hAnsi="Times New Roman"/>
          <w:lang w:val="en-US"/>
        </w:rPr>
        <w:t xml:space="preserve"> Codex Alimentarius Commission for discussion.</w:t>
      </w:r>
    </w:p>
    <w:p w:rsidR="00E4655B" w:rsidRDefault="00231C30">
      <w:pPr>
        <w:numPr>
          <w:ilvl w:val="0"/>
          <w:numId w:val="16"/>
        </w:numPr>
        <w:spacing w:after="120"/>
        <w:ind w:left="714" w:hanging="357"/>
        <w:rPr>
          <w:rFonts w:ascii="Times New Roman" w:eastAsia="SimSun" w:hAnsi="Times New Roman"/>
          <w:lang w:val="en-US"/>
        </w:rPr>
      </w:pPr>
      <w:r w:rsidRPr="00920D75">
        <w:rPr>
          <w:rFonts w:ascii="Times New Roman" w:eastAsia="SimSun" w:hAnsi="Times New Roman"/>
          <w:lang w:val="en-US"/>
        </w:rPr>
        <w:t>July 30</w:t>
      </w:r>
      <w:r w:rsidRPr="00920D75">
        <w:rPr>
          <w:rFonts w:ascii="Times New Roman" w:eastAsia="SimSun" w:hAnsi="Times New Roman"/>
          <w:vertAlign w:val="superscript"/>
          <w:lang w:val="en-US"/>
        </w:rPr>
        <w:t>th</w:t>
      </w:r>
      <w:r w:rsidRPr="00920D75">
        <w:rPr>
          <w:rFonts w:ascii="Times New Roman" w:eastAsia="SimSun" w:hAnsi="Times New Roman"/>
          <w:lang w:val="en-US"/>
        </w:rPr>
        <w:t xml:space="preserve"> - </w:t>
      </w:r>
      <w:r>
        <w:rPr>
          <w:rFonts w:ascii="Times New Roman" w:eastAsia="SimSun" w:hAnsi="Times New Roman"/>
          <w:lang w:val="en-US"/>
        </w:rPr>
        <w:t>October 19</w:t>
      </w:r>
      <w:r w:rsidRPr="0074091F">
        <w:rPr>
          <w:rFonts w:ascii="Times New Roman" w:eastAsia="SimSun" w:hAnsi="Times New Roman"/>
          <w:vertAlign w:val="superscript"/>
          <w:lang w:val="en-US"/>
        </w:rPr>
        <w:t>th</w:t>
      </w:r>
      <w:r>
        <w:rPr>
          <w:rFonts w:ascii="Times New Roman" w:eastAsia="SimSun" w:hAnsi="Times New Roman"/>
          <w:lang w:val="en-US"/>
        </w:rPr>
        <w:t xml:space="preserve"> </w:t>
      </w:r>
      <w:r w:rsidRPr="00920D75">
        <w:rPr>
          <w:rFonts w:ascii="Times New Roman" w:eastAsia="SimSun" w:hAnsi="Times New Roman"/>
          <w:lang w:val="en-US"/>
        </w:rPr>
        <w:t xml:space="preserve">2009: </w:t>
      </w:r>
      <w:r>
        <w:rPr>
          <w:rFonts w:ascii="Times New Roman" w:eastAsia="SimSun" w:hAnsi="Times New Roman"/>
          <w:lang w:val="en-US"/>
        </w:rPr>
        <w:t xml:space="preserve">Issuance of Call for Expressions of Interest, </w:t>
      </w:r>
      <w:r w:rsidRPr="00920D75">
        <w:rPr>
          <w:rFonts w:ascii="Times New Roman" w:eastAsia="SimSun" w:hAnsi="Times New Roman"/>
          <w:lang w:val="en-US"/>
        </w:rPr>
        <w:t>Finalization of Terms of reference</w:t>
      </w:r>
    </w:p>
    <w:p w:rsidR="00E4655B" w:rsidRDefault="00231C30">
      <w:pPr>
        <w:numPr>
          <w:ilvl w:val="0"/>
          <w:numId w:val="16"/>
        </w:numPr>
        <w:spacing w:after="120"/>
        <w:ind w:left="714" w:hanging="357"/>
        <w:rPr>
          <w:rFonts w:ascii="Times New Roman" w:eastAsia="SimSun" w:hAnsi="Times New Roman"/>
          <w:lang w:val="en-US"/>
        </w:rPr>
      </w:pPr>
      <w:r w:rsidRPr="00920D75">
        <w:rPr>
          <w:rFonts w:ascii="Times New Roman" w:eastAsia="SimSun" w:hAnsi="Times New Roman"/>
          <w:lang w:val="en-US"/>
        </w:rPr>
        <w:t xml:space="preserve">October </w:t>
      </w:r>
      <w:r>
        <w:rPr>
          <w:rFonts w:ascii="Times New Roman" w:eastAsia="SimSun" w:hAnsi="Times New Roman"/>
          <w:lang w:val="en-US"/>
        </w:rPr>
        <w:t>30</w:t>
      </w:r>
      <w:r w:rsidRPr="00920D75">
        <w:rPr>
          <w:rFonts w:ascii="Times New Roman" w:eastAsia="SimSun" w:hAnsi="Times New Roman"/>
          <w:vertAlign w:val="superscript"/>
          <w:lang w:val="en-US"/>
        </w:rPr>
        <w:t>th</w:t>
      </w:r>
      <w:r w:rsidRPr="00920D75">
        <w:rPr>
          <w:rFonts w:ascii="Times New Roman" w:eastAsia="SimSun" w:hAnsi="Times New Roman"/>
          <w:lang w:val="en-US"/>
        </w:rPr>
        <w:t xml:space="preserve"> 2009: Selection of evaluator</w:t>
      </w:r>
      <w:r>
        <w:rPr>
          <w:rFonts w:ascii="Times New Roman" w:eastAsia="SimSun" w:hAnsi="Times New Roman"/>
          <w:lang w:val="en-US"/>
        </w:rPr>
        <w:t>/evaluation team.</w:t>
      </w:r>
    </w:p>
    <w:p w:rsidR="00E4655B" w:rsidRDefault="00231C30">
      <w:pPr>
        <w:numPr>
          <w:ilvl w:val="0"/>
          <w:numId w:val="16"/>
        </w:numPr>
        <w:spacing w:after="120"/>
        <w:ind w:left="714" w:hanging="357"/>
        <w:rPr>
          <w:rFonts w:ascii="Times New Roman" w:eastAsia="SimSun" w:hAnsi="Times New Roman"/>
          <w:lang w:val="en-US"/>
        </w:rPr>
      </w:pPr>
      <w:r w:rsidRPr="00920D75">
        <w:rPr>
          <w:rFonts w:ascii="Times New Roman" w:eastAsia="SimSun" w:hAnsi="Times New Roman"/>
          <w:lang w:val="en-US"/>
        </w:rPr>
        <w:lastRenderedPageBreak/>
        <w:t>November 2</w:t>
      </w:r>
      <w:r w:rsidRPr="00920D75">
        <w:rPr>
          <w:rFonts w:ascii="Times New Roman" w:eastAsia="SimSun" w:hAnsi="Times New Roman"/>
          <w:vertAlign w:val="superscript"/>
          <w:lang w:val="en-US"/>
        </w:rPr>
        <w:t>nd</w:t>
      </w:r>
      <w:r w:rsidRPr="00920D75">
        <w:rPr>
          <w:rFonts w:ascii="Times New Roman" w:eastAsia="SimSun" w:hAnsi="Times New Roman"/>
          <w:lang w:val="en-US"/>
        </w:rPr>
        <w:t xml:space="preserve"> 2009: Start of the assignment.</w:t>
      </w:r>
      <w:r>
        <w:rPr>
          <w:rFonts w:ascii="Times New Roman" w:eastAsia="SimSun" w:hAnsi="Times New Roman"/>
          <w:lang w:val="en-US"/>
        </w:rPr>
        <w:t xml:space="preserve"> </w:t>
      </w:r>
    </w:p>
    <w:p w:rsidR="00E4655B" w:rsidRDefault="00231C30">
      <w:pPr>
        <w:numPr>
          <w:ilvl w:val="0"/>
          <w:numId w:val="16"/>
        </w:numPr>
        <w:spacing w:after="120"/>
        <w:ind w:left="714" w:hanging="357"/>
        <w:rPr>
          <w:rFonts w:ascii="Times New Roman" w:eastAsia="SimSun" w:hAnsi="Times New Roman"/>
          <w:lang w:val="en-US"/>
        </w:rPr>
      </w:pPr>
      <w:r>
        <w:rPr>
          <w:rFonts w:ascii="Times New Roman" w:eastAsia="SimSun" w:hAnsi="Times New Roman"/>
          <w:lang w:val="en-US"/>
        </w:rPr>
        <w:t>November 2009 - March 2010: Visits to Rome, Geneva. Focus group discussions at Codex Committee meetings. Country visits. Administration of data-gathering instruments.</w:t>
      </w:r>
      <w:r w:rsidRPr="00920D75">
        <w:rPr>
          <w:rFonts w:ascii="Times New Roman" w:eastAsia="SimSun" w:hAnsi="Times New Roman"/>
          <w:lang w:val="en-US"/>
        </w:rPr>
        <w:t xml:space="preserve"> </w:t>
      </w:r>
    </w:p>
    <w:p w:rsidR="00E4655B" w:rsidRDefault="00231C30">
      <w:pPr>
        <w:numPr>
          <w:ilvl w:val="0"/>
          <w:numId w:val="16"/>
        </w:numPr>
        <w:spacing w:after="120"/>
        <w:ind w:left="714" w:hanging="357"/>
        <w:rPr>
          <w:rFonts w:ascii="Times New Roman" w:eastAsia="SimSun" w:hAnsi="Times New Roman"/>
          <w:lang w:val="en-US"/>
        </w:rPr>
      </w:pPr>
      <w:r w:rsidRPr="00920D75">
        <w:rPr>
          <w:rFonts w:ascii="Times New Roman" w:eastAsia="SimSun" w:hAnsi="Times New Roman"/>
          <w:lang w:val="en-US"/>
        </w:rPr>
        <w:t>March 1</w:t>
      </w:r>
      <w:r>
        <w:rPr>
          <w:rFonts w:ascii="Times New Roman" w:eastAsia="SimSun" w:hAnsi="Times New Roman"/>
          <w:lang w:val="en-US"/>
        </w:rPr>
        <w:t>5</w:t>
      </w:r>
      <w:r w:rsidRPr="000E6739">
        <w:rPr>
          <w:rFonts w:ascii="Times New Roman" w:eastAsia="SimSun" w:hAnsi="Times New Roman"/>
          <w:vertAlign w:val="superscript"/>
          <w:lang w:val="en-US"/>
        </w:rPr>
        <w:t>th</w:t>
      </w:r>
      <w:r w:rsidRPr="00920D75">
        <w:rPr>
          <w:rFonts w:ascii="Times New Roman" w:eastAsia="SimSun" w:hAnsi="Times New Roman"/>
          <w:vertAlign w:val="superscript"/>
          <w:lang w:val="en-US"/>
        </w:rPr>
        <w:t xml:space="preserve"> </w:t>
      </w:r>
      <w:r w:rsidRPr="00920D75">
        <w:rPr>
          <w:rFonts w:ascii="Times New Roman" w:eastAsia="SimSun" w:hAnsi="Times New Roman"/>
          <w:lang w:val="en-US"/>
        </w:rPr>
        <w:t xml:space="preserve">2010:  Submission of first draft report to the </w:t>
      </w:r>
      <w:r>
        <w:rPr>
          <w:rFonts w:ascii="Times New Roman" w:eastAsia="SimSun" w:hAnsi="Times New Roman"/>
          <w:lang w:val="en-US"/>
        </w:rPr>
        <w:t xml:space="preserve">Consultative Group for the Trust Fund </w:t>
      </w:r>
      <w:r w:rsidRPr="00920D75">
        <w:rPr>
          <w:rFonts w:ascii="Times New Roman" w:eastAsia="SimSun" w:hAnsi="Times New Roman"/>
          <w:lang w:val="en-US"/>
        </w:rPr>
        <w:t>for comments.</w:t>
      </w:r>
    </w:p>
    <w:p w:rsidR="00E4655B" w:rsidRDefault="00231C30">
      <w:pPr>
        <w:numPr>
          <w:ilvl w:val="0"/>
          <w:numId w:val="16"/>
        </w:numPr>
        <w:spacing w:after="120"/>
        <w:ind w:left="714" w:hanging="357"/>
        <w:rPr>
          <w:rFonts w:ascii="Times New Roman" w:eastAsia="SimSun" w:hAnsi="Times New Roman"/>
          <w:lang w:val="en-US"/>
        </w:rPr>
      </w:pPr>
      <w:r w:rsidRPr="00920D75">
        <w:rPr>
          <w:rFonts w:ascii="Times New Roman" w:eastAsia="SimSun" w:hAnsi="Times New Roman"/>
          <w:lang w:val="en-US"/>
        </w:rPr>
        <w:t xml:space="preserve">April </w:t>
      </w:r>
      <w:r>
        <w:rPr>
          <w:rFonts w:ascii="Times New Roman" w:eastAsia="SimSun" w:hAnsi="Times New Roman"/>
          <w:lang w:val="en-US"/>
        </w:rPr>
        <w:t>30</w:t>
      </w:r>
      <w:r w:rsidRPr="00920D75">
        <w:rPr>
          <w:rFonts w:ascii="Times New Roman" w:eastAsia="SimSun" w:hAnsi="Times New Roman"/>
          <w:vertAlign w:val="superscript"/>
          <w:lang w:val="en-US"/>
        </w:rPr>
        <w:t>th</w:t>
      </w:r>
      <w:r w:rsidRPr="00920D75">
        <w:rPr>
          <w:rFonts w:ascii="Times New Roman" w:eastAsia="SimSun" w:hAnsi="Times New Roman"/>
          <w:lang w:val="en-US"/>
        </w:rPr>
        <w:t xml:space="preserve"> 2010: Submission of final report</w:t>
      </w:r>
      <w:r>
        <w:rPr>
          <w:rFonts w:ascii="Times New Roman" w:eastAsia="SimSun" w:hAnsi="Times New Roman"/>
          <w:lang w:val="en-US"/>
        </w:rPr>
        <w:t>.</w:t>
      </w:r>
    </w:p>
    <w:p w:rsidR="00E4655B" w:rsidRDefault="00231C30">
      <w:pPr>
        <w:numPr>
          <w:ilvl w:val="0"/>
          <w:numId w:val="16"/>
        </w:numPr>
        <w:spacing w:after="120"/>
        <w:ind w:left="714" w:hanging="357"/>
        <w:rPr>
          <w:rFonts w:ascii="Times New Roman" w:eastAsia="SimSun" w:hAnsi="Times New Roman"/>
          <w:lang w:val="en-US"/>
        </w:rPr>
      </w:pPr>
      <w:r w:rsidRPr="00920D75">
        <w:rPr>
          <w:rFonts w:ascii="Times New Roman" w:eastAsia="SimSun" w:hAnsi="Times New Roman"/>
          <w:lang w:val="en-US"/>
        </w:rPr>
        <w:t>June 29</w:t>
      </w:r>
      <w:r w:rsidRPr="00920D75">
        <w:rPr>
          <w:rFonts w:ascii="Times New Roman" w:eastAsia="SimSun" w:hAnsi="Times New Roman"/>
          <w:vertAlign w:val="superscript"/>
          <w:lang w:val="en-US"/>
        </w:rPr>
        <w:t>th</w:t>
      </w:r>
      <w:r w:rsidRPr="00920D75">
        <w:rPr>
          <w:rFonts w:ascii="Times New Roman" w:eastAsia="SimSun" w:hAnsi="Times New Roman"/>
          <w:lang w:val="en-US"/>
        </w:rPr>
        <w:t xml:space="preserve"> - July 2</w:t>
      </w:r>
      <w:r w:rsidRPr="00920D75">
        <w:rPr>
          <w:rFonts w:ascii="Times New Roman" w:eastAsia="SimSun" w:hAnsi="Times New Roman"/>
          <w:vertAlign w:val="superscript"/>
          <w:lang w:val="en-US"/>
        </w:rPr>
        <w:t>nd</w:t>
      </w:r>
      <w:r w:rsidRPr="00920D75">
        <w:rPr>
          <w:rFonts w:ascii="Times New Roman" w:eastAsia="SimSun" w:hAnsi="Times New Roman"/>
          <w:lang w:val="en-US"/>
        </w:rPr>
        <w:t xml:space="preserve"> 2010: Presentation and discussion of final report at the 64</w:t>
      </w:r>
      <w:r w:rsidRPr="00920D75">
        <w:rPr>
          <w:rFonts w:ascii="Times New Roman" w:eastAsia="SimSun" w:hAnsi="Times New Roman"/>
          <w:vertAlign w:val="superscript"/>
          <w:lang w:val="en-US"/>
        </w:rPr>
        <w:t>th</w:t>
      </w:r>
      <w:r w:rsidRPr="00920D75">
        <w:rPr>
          <w:rFonts w:ascii="Times New Roman" w:eastAsia="SimSun" w:hAnsi="Times New Roman"/>
          <w:lang w:val="en-US"/>
        </w:rPr>
        <w:t xml:space="preserve"> Executive Committee of the Codex Alimentarius Committee</w:t>
      </w:r>
    </w:p>
    <w:p w:rsidR="00E4655B" w:rsidRDefault="00231C30">
      <w:pPr>
        <w:numPr>
          <w:ilvl w:val="0"/>
          <w:numId w:val="16"/>
        </w:numPr>
        <w:spacing w:after="120"/>
        <w:ind w:left="714" w:hanging="357"/>
        <w:rPr>
          <w:rFonts w:ascii="Times New Roman" w:eastAsia="SimSun" w:hAnsi="Times New Roman"/>
          <w:lang w:val="en-US"/>
        </w:rPr>
      </w:pPr>
      <w:r w:rsidRPr="00920D75">
        <w:rPr>
          <w:rFonts w:ascii="Times New Roman" w:eastAsia="SimSun" w:hAnsi="Times New Roman"/>
          <w:lang w:val="en-US"/>
        </w:rPr>
        <w:t>July 5</w:t>
      </w:r>
      <w:r w:rsidRPr="00920D75">
        <w:rPr>
          <w:rFonts w:ascii="Times New Roman" w:eastAsia="SimSun" w:hAnsi="Times New Roman"/>
          <w:vertAlign w:val="superscript"/>
          <w:lang w:val="en-US"/>
        </w:rPr>
        <w:t>th</w:t>
      </w:r>
      <w:r w:rsidRPr="00920D75">
        <w:rPr>
          <w:rFonts w:ascii="Times New Roman" w:eastAsia="SimSun" w:hAnsi="Times New Roman"/>
          <w:lang w:val="en-US"/>
        </w:rPr>
        <w:t xml:space="preserve"> - 9</w:t>
      </w:r>
      <w:r w:rsidRPr="00920D75">
        <w:rPr>
          <w:rFonts w:ascii="Times New Roman" w:eastAsia="SimSun" w:hAnsi="Times New Roman"/>
          <w:vertAlign w:val="superscript"/>
          <w:lang w:val="en-US"/>
        </w:rPr>
        <w:t>th</w:t>
      </w:r>
      <w:r w:rsidRPr="00920D75">
        <w:rPr>
          <w:rFonts w:ascii="Times New Roman" w:eastAsia="SimSun" w:hAnsi="Times New Roman"/>
          <w:lang w:val="en-US"/>
        </w:rPr>
        <w:t xml:space="preserve"> 2010 : Presentation, discussion and adoption of the review and its recommendations at the 33</w:t>
      </w:r>
      <w:r w:rsidRPr="00920D75">
        <w:rPr>
          <w:rFonts w:ascii="Times New Roman" w:eastAsia="SimSun" w:hAnsi="Times New Roman"/>
          <w:vertAlign w:val="superscript"/>
          <w:lang w:val="en-US"/>
        </w:rPr>
        <w:t>rd</w:t>
      </w:r>
      <w:r w:rsidRPr="00920D75">
        <w:rPr>
          <w:rFonts w:ascii="Times New Roman" w:eastAsia="SimSun" w:hAnsi="Times New Roman"/>
          <w:lang w:val="en-US"/>
        </w:rPr>
        <w:t xml:space="preserve"> Session of the Codex Alimentarius Commission</w:t>
      </w:r>
      <w:r>
        <w:rPr>
          <w:rFonts w:ascii="Times New Roman" w:eastAsia="SimSun" w:hAnsi="Times New Roman"/>
          <w:lang w:val="en-US"/>
        </w:rPr>
        <w:t>.</w:t>
      </w:r>
    </w:p>
    <w:p w:rsidR="00231C30" w:rsidRDefault="00231C30" w:rsidP="00231C30">
      <w:pPr>
        <w:spacing w:after="120"/>
        <w:rPr>
          <w:rFonts w:ascii="Times New Roman" w:eastAsia="SimSun" w:hAnsi="Times New Roman"/>
          <w:lang w:val="en-US"/>
        </w:rPr>
      </w:pPr>
    </w:p>
    <w:p w:rsidR="00231C30" w:rsidRDefault="00231C30" w:rsidP="00231C30">
      <w:pPr>
        <w:spacing w:after="120"/>
        <w:jc w:val="center"/>
        <w:rPr>
          <w:rFonts w:ascii="Times New Roman" w:eastAsia="SimSun" w:hAnsi="Times New Roman"/>
          <w:lang w:val="en-US"/>
        </w:rPr>
      </w:pPr>
      <w:r>
        <w:rPr>
          <w:rFonts w:ascii="Times New Roman" w:eastAsia="SimSun" w:hAnsi="Times New Roman"/>
          <w:lang w:val="en-US"/>
        </w:rPr>
        <w:t>****</w:t>
      </w:r>
    </w:p>
    <w:p w:rsidR="00231C30" w:rsidRPr="00920D75" w:rsidRDefault="00231C30" w:rsidP="00231C30">
      <w:pPr>
        <w:autoSpaceDE w:val="0"/>
        <w:autoSpaceDN w:val="0"/>
        <w:adjustRightInd w:val="0"/>
        <w:spacing w:after="0"/>
        <w:rPr>
          <w:rFonts w:ascii="Times New Roman" w:eastAsia="SimSun" w:hAnsi="Times New Roman"/>
          <w:b/>
          <w:bCs/>
          <w:lang w:val="en-US" w:eastAsia="zh-CN"/>
        </w:rPr>
      </w:pPr>
      <w:r>
        <w:rPr>
          <w:rFonts w:ascii="Times New Roman" w:eastAsia="SimSun" w:hAnsi="Times New Roman"/>
          <w:b/>
          <w:bCs/>
          <w:lang w:val="en-US" w:eastAsia="zh-CN"/>
        </w:rPr>
        <w:br w:type="page"/>
      </w:r>
      <w:r w:rsidR="00A84844">
        <w:rPr>
          <w:rFonts w:ascii="Times New Roman" w:eastAsia="SimSun" w:hAnsi="Times New Roman"/>
          <w:b/>
          <w:bCs/>
          <w:lang w:val="en-US" w:eastAsia="zh-CN"/>
        </w:rPr>
        <w:lastRenderedPageBreak/>
        <w:t>Annex</w:t>
      </w:r>
      <w:r w:rsidRPr="00920D75">
        <w:rPr>
          <w:rFonts w:ascii="Times New Roman" w:eastAsia="SimSun" w:hAnsi="Times New Roman"/>
          <w:b/>
          <w:bCs/>
          <w:lang w:val="en-US" w:eastAsia="zh-CN"/>
        </w:rPr>
        <w:t>: Summary of Codex Trust Fund Objectives and Expected Outputs (extracted from the Project Document)</w:t>
      </w:r>
    </w:p>
    <w:p w:rsidR="00231C30" w:rsidRPr="00920D75" w:rsidRDefault="00231C30" w:rsidP="00231C30">
      <w:pPr>
        <w:autoSpaceDE w:val="0"/>
        <w:autoSpaceDN w:val="0"/>
        <w:adjustRightInd w:val="0"/>
        <w:spacing w:after="0"/>
        <w:rPr>
          <w:rFonts w:ascii="Times New Roman" w:eastAsia="SimSun" w:hAnsi="Times New Roman"/>
          <w:b/>
          <w:bCs/>
          <w:lang w:val="en-US" w:eastAsia="zh-CN"/>
        </w:rPr>
      </w:pPr>
    </w:p>
    <w:p w:rsidR="00231C30" w:rsidRPr="00920D75" w:rsidRDefault="00231C30" w:rsidP="00231C30">
      <w:pPr>
        <w:pStyle w:val="BodyText"/>
        <w:spacing w:after="0" w:line="240" w:lineRule="auto"/>
        <w:rPr>
          <w:rFonts w:ascii="Times New Roman" w:eastAsia="SimSun" w:hAnsi="Times New Roman" w:cs="Times New Roman"/>
          <w:sz w:val="24"/>
          <w:szCs w:val="24"/>
          <w:lang w:val="en-US"/>
        </w:rPr>
      </w:pPr>
      <w:r w:rsidRPr="00920D75">
        <w:rPr>
          <w:rFonts w:ascii="Times New Roman" w:eastAsia="SimSun" w:hAnsi="Times New Roman" w:cs="Times New Roman"/>
          <w:b/>
          <w:bCs/>
          <w:sz w:val="24"/>
          <w:szCs w:val="24"/>
          <w:lang w:val="en-US"/>
        </w:rPr>
        <w:t>Key objective:</w:t>
      </w:r>
      <w:r w:rsidRPr="00920D75">
        <w:rPr>
          <w:rFonts w:ascii="Times New Roman" w:eastAsia="SimSun" w:hAnsi="Times New Roman" w:cs="Times New Roman"/>
          <w:b/>
          <w:bCs/>
          <w:sz w:val="24"/>
          <w:szCs w:val="24"/>
          <w:lang w:val="en-US"/>
        </w:rPr>
        <w:br/>
      </w:r>
      <w:r w:rsidRPr="00920D75">
        <w:rPr>
          <w:rFonts w:ascii="Times New Roman" w:eastAsia="SimSun" w:hAnsi="Times New Roman" w:cs="Times New Roman"/>
          <w:sz w:val="24"/>
          <w:szCs w:val="24"/>
          <w:lang w:val="en-US"/>
        </w:rPr>
        <w:t>To help developing countries and those with economies in transition (target countries of the CTF) to enhance their level of effective participation in the development of global food safety and quality standards by the Codex Alimentarius Commission (CAC).</w:t>
      </w:r>
    </w:p>
    <w:p w:rsidR="00231C30" w:rsidRPr="00920D75" w:rsidRDefault="00231C30" w:rsidP="00231C30">
      <w:pPr>
        <w:pStyle w:val="BodyText"/>
        <w:spacing w:after="0" w:line="240" w:lineRule="auto"/>
        <w:rPr>
          <w:rFonts w:ascii="Times New Roman" w:eastAsia="SimSun" w:hAnsi="Times New Roman" w:cs="Times New Roman"/>
          <w:sz w:val="24"/>
          <w:szCs w:val="24"/>
          <w:lang w:val="en-US"/>
        </w:rPr>
      </w:pPr>
    </w:p>
    <w:p w:rsidR="00231C30" w:rsidRPr="00920D75" w:rsidRDefault="00231C30" w:rsidP="00231C30">
      <w:pPr>
        <w:pStyle w:val="BodyText"/>
        <w:spacing w:after="0" w:line="240" w:lineRule="auto"/>
        <w:outlineLvl w:val="0"/>
        <w:rPr>
          <w:rFonts w:ascii="Times New Roman" w:eastAsia="SimSun" w:hAnsi="Times New Roman" w:cs="Times New Roman"/>
          <w:b/>
          <w:bCs/>
          <w:sz w:val="24"/>
          <w:szCs w:val="24"/>
          <w:lang w:val="en-US"/>
        </w:rPr>
      </w:pPr>
      <w:r w:rsidRPr="00920D75">
        <w:rPr>
          <w:rFonts w:ascii="Times New Roman" w:eastAsia="SimSun" w:hAnsi="Times New Roman" w:cs="Times New Roman"/>
          <w:b/>
          <w:bCs/>
          <w:sz w:val="24"/>
          <w:szCs w:val="24"/>
          <w:lang w:val="en-US"/>
        </w:rPr>
        <w:t>Immediate objective 1</w:t>
      </w:r>
    </w:p>
    <w:p w:rsidR="00231C30" w:rsidRPr="00920D75" w:rsidRDefault="00231C30" w:rsidP="00231C30">
      <w:pPr>
        <w:pStyle w:val="BodyText"/>
        <w:spacing w:after="0" w:line="240" w:lineRule="auto"/>
        <w:rPr>
          <w:rFonts w:ascii="Times New Roman" w:eastAsia="SimSun" w:hAnsi="Times New Roman" w:cs="Times New Roman"/>
          <w:sz w:val="24"/>
          <w:szCs w:val="24"/>
          <w:lang w:val="en-US"/>
        </w:rPr>
      </w:pPr>
      <w:r w:rsidRPr="00920D75">
        <w:rPr>
          <w:rFonts w:ascii="Times New Roman" w:eastAsia="SimSun" w:hAnsi="Times New Roman" w:cs="Times New Roman"/>
          <w:sz w:val="24"/>
          <w:szCs w:val="24"/>
          <w:lang w:val="en-US"/>
        </w:rPr>
        <w:t>Countries that are members of the CAC, but which are unable to effectively participate in the CAC and its committee/task force process because of the limited availability of government funds to support an ongoing presence in the continuing work of the Commission and its committees, will be assisted to initiate a programme of participation in Commission meetings and in the work of those committees/task forces addressing issues of priority health and economic concern to them.</w:t>
      </w:r>
    </w:p>
    <w:p w:rsidR="00231C30" w:rsidRPr="00920D75" w:rsidRDefault="00231C30" w:rsidP="00231C30">
      <w:pPr>
        <w:pStyle w:val="BodyText"/>
        <w:spacing w:after="0" w:line="240" w:lineRule="auto"/>
        <w:rPr>
          <w:rFonts w:ascii="Times New Roman" w:eastAsia="SimSun" w:hAnsi="Times New Roman" w:cs="Times New Roman"/>
          <w:sz w:val="24"/>
          <w:szCs w:val="24"/>
          <w:lang w:val="en-US"/>
        </w:rPr>
      </w:pPr>
    </w:p>
    <w:p w:rsidR="00231C30" w:rsidRPr="00920D75" w:rsidRDefault="00231C30" w:rsidP="00231C30">
      <w:pPr>
        <w:pStyle w:val="BodyText"/>
        <w:spacing w:after="0" w:line="240" w:lineRule="auto"/>
        <w:outlineLvl w:val="0"/>
        <w:rPr>
          <w:rFonts w:ascii="Times New Roman" w:eastAsia="SimSun" w:hAnsi="Times New Roman" w:cs="Times New Roman"/>
          <w:b/>
          <w:bCs/>
          <w:sz w:val="24"/>
          <w:szCs w:val="24"/>
          <w:lang w:val="en-US"/>
        </w:rPr>
      </w:pPr>
      <w:r w:rsidRPr="00920D75">
        <w:rPr>
          <w:rFonts w:ascii="Times New Roman" w:eastAsia="SimSun" w:hAnsi="Times New Roman" w:cs="Times New Roman"/>
          <w:b/>
          <w:bCs/>
          <w:sz w:val="24"/>
          <w:szCs w:val="24"/>
          <w:lang w:val="en-US"/>
        </w:rPr>
        <w:t>Immediate objective 2</w:t>
      </w:r>
    </w:p>
    <w:p w:rsidR="00231C30" w:rsidRPr="00920D75" w:rsidRDefault="00231C30" w:rsidP="00231C30">
      <w:pPr>
        <w:pStyle w:val="BodyText"/>
        <w:spacing w:after="0" w:line="240" w:lineRule="auto"/>
        <w:rPr>
          <w:rFonts w:ascii="Times New Roman" w:eastAsia="SimSun" w:hAnsi="Times New Roman" w:cs="Times New Roman"/>
          <w:sz w:val="24"/>
          <w:szCs w:val="24"/>
          <w:lang w:val="en-US"/>
        </w:rPr>
      </w:pPr>
      <w:r w:rsidRPr="00920D75">
        <w:rPr>
          <w:rFonts w:ascii="Times New Roman" w:eastAsia="SimSun" w:hAnsi="Times New Roman" w:cs="Times New Roman"/>
          <w:sz w:val="24"/>
          <w:szCs w:val="24"/>
          <w:lang w:val="en-US"/>
        </w:rPr>
        <w:t>Countries that are members of the CAC, that have as yet to routinely develop and put forth national considerations in the Codex standard setting process, will be empowered to effectively prepare for and participate in the work of those committees addressing issues of priority health and economic concern to them.</w:t>
      </w:r>
    </w:p>
    <w:p w:rsidR="00231C30" w:rsidRPr="00920D75" w:rsidRDefault="00231C30" w:rsidP="00231C30">
      <w:pPr>
        <w:pStyle w:val="BodyText"/>
        <w:spacing w:after="0" w:line="240" w:lineRule="auto"/>
        <w:rPr>
          <w:rFonts w:ascii="Times New Roman" w:eastAsia="SimSun" w:hAnsi="Times New Roman" w:cs="Times New Roman"/>
          <w:sz w:val="24"/>
          <w:szCs w:val="24"/>
          <w:lang w:val="en-US"/>
        </w:rPr>
      </w:pPr>
    </w:p>
    <w:p w:rsidR="00231C30" w:rsidRPr="00920D75" w:rsidRDefault="00231C30" w:rsidP="00231C30">
      <w:pPr>
        <w:pStyle w:val="BodyText"/>
        <w:spacing w:after="0" w:line="240" w:lineRule="auto"/>
        <w:outlineLvl w:val="0"/>
        <w:rPr>
          <w:rFonts w:ascii="Times New Roman" w:eastAsia="SimSun" w:hAnsi="Times New Roman" w:cs="Times New Roman"/>
          <w:b/>
          <w:bCs/>
          <w:sz w:val="24"/>
          <w:szCs w:val="24"/>
          <w:lang w:val="en-US"/>
        </w:rPr>
      </w:pPr>
      <w:r w:rsidRPr="00920D75">
        <w:rPr>
          <w:rFonts w:ascii="Times New Roman" w:eastAsia="SimSun" w:hAnsi="Times New Roman" w:cs="Times New Roman"/>
          <w:b/>
          <w:bCs/>
          <w:sz w:val="24"/>
          <w:szCs w:val="24"/>
          <w:lang w:val="en-US"/>
        </w:rPr>
        <w:t>Immediate objective 3</w:t>
      </w:r>
    </w:p>
    <w:p w:rsidR="00231C30" w:rsidRPr="00920D75" w:rsidRDefault="00231C30" w:rsidP="00231C30">
      <w:pPr>
        <w:pStyle w:val="BodyText"/>
        <w:spacing w:after="0" w:line="240" w:lineRule="auto"/>
        <w:rPr>
          <w:rFonts w:ascii="Times New Roman" w:eastAsia="SimSun" w:hAnsi="Times New Roman" w:cs="Times New Roman"/>
          <w:sz w:val="24"/>
          <w:szCs w:val="24"/>
          <w:lang w:val="en-US"/>
        </w:rPr>
      </w:pPr>
      <w:r w:rsidRPr="00920D75">
        <w:rPr>
          <w:rFonts w:ascii="Times New Roman" w:eastAsia="SimSun" w:hAnsi="Times New Roman" w:cs="Times New Roman"/>
          <w:sz w:val="24"/>
          <w:szCs w:val="24"/>
          <w:lang w:val="en-US"/>
        </w:rPr>
        <w:t>Countries that are members of the CAC, that have as yet to participate actively in the provision of scientific/technical data in support of the standard setting process, will be assisted to initiate a programme of scientific/technical participation in committees addressing issues of priority health and economic concern to them.</w:t>
      </w:r>
    </w:p>
    <w:p w:rsidR="00231C30" w:rsidRPr="00920D75" w:rsidRDefault="00231C30" w:rsidP="00231C30">
      <w:pPr>
        <w:pStyle w:val="BodyText"/>
        <w:spacing w:after="0" w:line="240" w:lineRule="auto"/>
        <w:rPr>
          <w:rFonts w:ascii="Times New Roman" w:eastAsia="SimSun" w:hAnsi="Times New Roman" w:cs="Times New Roman"/>
          <w:sz w:val="24"/>
          <w:szCs w:val="24"/>
          <w:lang w:val="en-US"/>
        </w:rPr>
      </w:pPr>
    </w:p>
    <w:p w:rsidR="00231C30" w:rsidRPr="00920D75" w:rsidRDefault="00231C30" w:rsidP="00231C30">
      <w:pPr>
        <w:pStyle w:val="BodyText"/>
        <w:spacing w:after="0" w:line="240" w:lineRule="auto"/>
        <w:outlineLvl w:val="0"/>
        <w:rPr>
          <w:rFonts w:ascii="Times New Roman" w:eastAsia="SimSun" w:hAnsi="Times New Roman" w:cs="Times New Roman"/>
          <w:b/>
          <w:bCs/>
          <w:sz w:val="24"/>
          <w:szCs w:val="24"/>
          <w:lang w:val="en-US"/>
        </w:rPr>
      </w:pPr>
      <w:r w:rsidRPr="00920D75">
        <w:rPr>
          <w:rFonts w:ascii="Times New Roman" w:eastAsia="SimSun" w:hAnsi="Times New Roman" w:cs="Times New Roman"/>
          <w:b/>
          <w:bCs/>
          <w:sz w:val="24"/>
          <w:szCs w:val="24"/>
          <w:lang w:val="en-US"/>
        </w:rPr>
        <w:t>Output I – Widening participation in Codex</w:t>
      </w:r>
    </w:p>
    <w:p w:rsidR="00231C30" w:rsidRPr="00920D75" w:rsidRDefault="00231C30" w:rsidP="00231C30">
      <w:pPr>
        <w:pStyle w:val="BodyText"/>
        <w:spacing w:after="0" w:line="240" w:lineRule="auto"/>
        <w:rPr>
          <w:rFonts w:ascii="Times New Roman" w:eastAsia="SimSun" w:hAnsi="Times New Roman" w:cs="Times New Roman"/>
          <w:sz w:val="24"/>
          <w:szCs w:val="24"/>
          <w:lang w:val="en-US"/>
        </w:rPr>
      </w:pPr>
      <w:r w:rsidRPr="00920D75">
        <w:rPr>
          <w:rFonts w:ascii="Times New Roman" w:eastAsia="SimSun" w:hAnsi="Times New Roman" w:cs="Times New Roman"/>
          <w:sz w:val="24"/>
          <w:szCs w:val="24"/>
          <w:lang w:val="en-US"/>
        </w:rPr>
        <w:t>The number of countries routinely providing delegations to CAC sessions and to its committees/task forces, that address issues of priority health and economic concern for their specific countries, will have increased.</w:t>
      </w:r>
    </w:p>
    <w:p w:rsidR="00231C30" w:rsidRPr="00920D75" w:rsidRDefault="00231C30" w:rsidP="00231C30">
      <w:pPr>
        <w:pStyle w:val="BodyText"/>
        <w:spacing w:after="0" w:line="240" w:lineRule="auto"/>
        <w:rPr>
          <w:rFonts w:ascii="Times New Roman" w:eastAsia="SimSun" w:hAnsi="Times New Roman" w:cs="Times New Roman"/>
          <w:sz w:val="24"/>
          <w:szCs w:val="24"/>
          <w:lang w:val="en-US"/>
        </w:rPr>
      </w:pPr>
    </w:p>
    <w:p w:rsidR="00231C30" w:rsidRPr="00920D75" w:rsidRDefault="00231C30" w:rsidP="00231C30">
      <w:pPr>
        <w:pStyle w:val="BodyText"/>
        <w:spacing w:after="0" w:line="240" w:lineRule="auto"/>
        <w:outlineLvl w:val="0"/>
        <w:rPr>
          <w:rFonts w:ascii="Times New Roman" w:eastAsia="SimSun" w:hAnsi="Times New Roman" w:cs="Times New Roman"/>
          <w:b/>
          <w:bCs/>
          <w:sz w:val="24"/>
          <w:szCs w:val="24"/>
          <w:lang w:val="en-US"/>
        </w:rPr>
      </w:pPr>
      <w:r w:rsidRPr="00920D75">
        <w:rPr>
          <w:rFonts w:ascii="Times New Roman" w:eastAsia="SimSun" w:hAnsi="Times New Roman" w:cs="Times New Roman"/>
          <w:b/>
          <w:bCs/>
          <w:sz w:val="24"/>
          <w:szCs w:val="24"/>
          <w:lang w:val="en-US"/>
        </w:rPr>
        <w:t>Output II – Strengthening overall participation in Codex</w:t>
      </w:r>
    </w:p>
    <w:p w:rsidR="00231C30" w:rsidRPr="00920D75" w:rsidRDefault="00231C30" w:rsidP="00231C30">
      <w:pPr>
        <w:pStyle w:val="BodyText"/>
        <w:spacing w:after="0" w:line="240" w:lineRule="auto"/>
        <w:rPr>
          <w:rFonts w:ascii="Times New Roman" w:eastAsia="SimSun" w:hAnsi="Times New Roman" w:cs="Times New Roman"/>
          <w:sz w:val="24"/>
          <w:szCs w:val="24"/>
          <w:lang w:val="en-US"/>
        </w:rPr>
      </w:pPr>
      <w:r w:rsidRPr="00920D75">
        <w:rPr>
          <w:rFonts w:ascii="Times New Roman" w:eastAsia="SimSun" w:hAnsi="Times New Roman" w:cs="Times New Roman"/>
          <w:sz w:val="24"/>
          <w:szCs w:val="24"/>
          <w:lang w:val="en-US"/>
        </w:rPr>
        <w:t>The number of countries routinely developing and putting forth national considerations in the Codex standard setting process will have increased along with their participation in Codex committees/task forces.</w:t>
      </w:r>
    </w:p>
    <w:p w:rsidR="00231C30" w:rsidRPr="00920D75" w:rsidRDefault="00231C30" w:rsidP="00231C30">
      <w:pPr>
        <w:pStyle w:val="BodyText"/>
        <w:spacing w:after="0" w:line="240" w:lineRule="auto"/>
        <w:rPr>
          <w:rFonts w:ascii="Times New Roman" w:eastAsia="SimSun" w:hAnsi="Times New Roman" w:cs="Times New Roman"/>
          <w:sz w:val="24"/>
          <w:szCs w:val="24"/>
          <w:lang w:val="en-US"/>
        </w:rPr>
      </w:pPr>
    </w:p>
    <w:p w:rsidR="00231C30" w:rsidRPr="00920D75" w:rsidRDefault="00231C30" w:rsidP="00231C30">
      <w:pPr>
        <w:pStyle w:val="BodyText"/>
        <w:spacing w:after="0" w:line="240" w:lineRule="auto"/>
        <w:outlineLvl w:val="0"/>
        <w:rPr>
          <w:rFonts w:ascii="Times New Roman" w:eastAsia="SimSun" w:hAnsi="Times New Roman" w:cs="Times New Roman"/>
          <w:b/>
          <w:bCs/>
          <w:sz w:val="24"/>
          <w:szCs w:val="24"/>
          <w:lang w:val="en-US"/>
        </w:rPr>
      </w:pPr>
      <w:r w:rsidRPr="00920D75">
        <w:rPr>
          <w:rFonts w:ascii="Times New Roman" w:eastAsia="SimSun" w:hAnsi="Times New Roman" w:cs="Times New Roman"/>
          <w:b/>
          <w:bCs/>
          <w:sz w:val="24"/>
          <w:szCs w:val="24"/>
          <w:lang w:val="en-US"/>
        </w:rPr>
        <w:t>Output III – Enhancing scientific/technical participation in Codex</w:t>
      </w:r>
    </w:p>
    <w:p w:rsidR="00231C30" w:rsidRPr="00920D75" w:rsidRDefault="00231C30" w:rsidP="00231C30">
      <w:pPr>
        <w:spacing w:after="0"/>
        <w:rPr>
          <w:rFonts w:ascii="Times New Roman" w:hAnsi="Times New Roman"/>
          <w:lang w:val="en-US"/>
        </w:rPr>
      </w:pPr>
      <w:r w:rsidRPr="00920D75">
        <w:rPr>
          <w:rFonts w:ascii="Times New Roman" w:eastAsia="SimSun" w:hAnsi="Times New Roman"/>
          <w:lang w:val="en-US"/>
        </w:rPr>
        <w:t>The number of countries that are actively providing scientific/technical advice in support of  the Codex standard setting process will have increased.</w:t>
      </w:r>
      <w:r w:rsidRPr="00920D75">
        <w:rPr>
          <w:rFonts w:ascii="Times New Roman" w:hAnsi="Times New Roman"/>
          <w:lang w:val="en-US"/>
        </w:rPr>
        <w:t xml:space="preserve"> </w:t>
      </w:r>
    </w:p>
    <w:p w:rsidR="00231C30" w:rsidRPr="00920D75" w:rsidRDefault="00231C30" w:rsidP="00231C30">
      <w:pPr>
        <w:spacing w:after="0"/>
        <w:rPr>
          <w:rFonts w:ascii="Times New Roman" w:hAnsi="Times New Roman"/>
          <w:lang w:val="en-US"/>
        </w:rPr>
      </w:pPr>
    </w:p>
    <w:p w:rsidR="00FF23A7" w:rsidRDefault="00FF23A7" w:rsidP="00FF23A7">
      <w:pPr>
        <w:spacing w:after="0"/>
        <w:rPr>
          <w:lang w:val="en-GB"/>
        </w:rPr>
      </w:pPr>
    </w:p>
    <w:p w:rsidR="00FF23A7" w:rsidRDefault="00FF23A7" w:rsidP="00FF23A7">
      <w:pPr>
        <w:spacing w:after="0"/>
        <w:rPr>
          <w:lang w:val="en-GB"/>
        </w:rPr>
      </w:pPr>
    </w:p>
    <w:p w:rsidR="00FF23A7" w:rsidRDefault="00FF23A7" w:rsidP="00FF23A7">
      <w:pPr>
        <w:spacing w:after="0"/>
        <w:rPr>
          <w:lang w:val="en-GB"/>
        </w:rPr>
      </w:pPr>
    </w:p>
    <w:p w:rsidR="00FF23A7" w:rsidRDefault="00FF23A7" w:rsidP="00FF23A7">
      <w:pPr>
        <w:pStyle w:val="Heading1"/>
        <w:rPr>
          <w:lang w:val="en-GB"/>
        </w:rPr>
      </w:pPr>
      <w:r>
        <w:rPr>
          <w:lang w:val="en-GB"/>
        </w:rPr>
        <w:br w:type="page"/>
      </w:r>
      <w:bookmarkStart w:id="114" w:name="_Toc260389750"/>
      <w:r w:rsidR="00A84844">
        <w:rPr>
          <w:lang w:val="en-GB"/>
        </w:rPr>
        <w:lastRenderedPageBreak/>
        <w:t>Annex</w:t>
      </w:r>
      <w:r>
        <w:rPr>
          <w:lang w:val="en-GB"/>
        </w:rPr>
        <w:t xml:space="preserve"> 2. List of Persons Interviewed</w:t>
      </w:r>
      <w:bookmarkEnd w:id="114"/>
    </w:p>
    <w:p w:rsidR="00FF23A7" w:rsidRDefault="00FF23A7" w:rsidP="00FF23A7">
      <w:pPr>
        <w:spacing w:after="0"/>
        <w:rPr>
          <w:lang w:val="en-GB"/>
        </w:rPr>
      </w:pPr>
    </w:p>
    <w:tbl>
      <w:tblPr>
        <w:tblStyle w:val="MediumGrid3-Accent1"/>
        <w:tblW w:w="0" w:type="auto"/>
        <w:tblLayout w:type="fixed"/>
        <w:tblLook w:val="04A0" w:firstRow="1" w:lastRow="0" w:firstColumn="1" w:lastColumn="0" w:noHBand="0" w:noVBand="1"/>
      </w:tblPr>
      <w:tblGrid>
        <w:gridCol w:w="2943"/>
        <w:gridCol w:w="3969"/>
        <w:gridCol w:w="2368"/>
      </w:tblGrid>
      <w:tr w:rsidR="00231C30" w:rsidRPr="00231C3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943" w:type="dxa"/>
          </w:tcPr>
          <w:p w:rsidR="00231C30" w:rsidRPr="00231C30" w:rsidRDefault="00231C30" w:rsidP="00231C30">
            <w:pPr>
              <w:spacing w:after="0"/>
              <w:jc w:val="left"/>
              <w:rPr>
                <w:rFonts w:asciiTheme="minorHAnsi" w:hAnsiTheme="minorHAnsi"/>
                <w:szCs w:val="20"/>
                <w:lang w:val="en-GB"/>
              </w:rPr>
            </w:pPr>
            <w:r w:rsidRPr="00231C30">
              <w:rPr>
                <w:rFonts w:asciiTheme="minorHAnsi" w:hAnsiTheme="minorHAnsi"/>
                <w:szCs w:val="20"/>
                <w:lang w:val="en-GB"/>
              </w:rPr>
              <w:t>Name</w:t>
            </w:r>
          </w:p>
        </w:tc>
        <w:tc>
          <w:tcPr>
            <w:tcW w:w="3969" w:type="dxa"/>
          </w:tcPr>
          <w:p w:rsidR="00231C30" w:rsidRPr="00231C30" w:rsidRDefault="00231C30" w:rsidP="00231C30">
            <w:pPr>
              <w:spacing w:after="0"/>
              <w:jc w:val="left"/>
              <w:cnfStyle w:val="100000000000" w:firstRow="1" w:lastRow="0" w:firstColumn="0" w:lastColumn="0" w:oddVBand="0" w:evenVBand="0" w:oddHBand="0" w:evenHBand="0" w:firstRowFirstColumn="0" w:firstRowLastColumn="0" w:lastRowFirstColumn="0" w:lastRowLastColumn="0"/>
              <w:rPr>
                <w:rFonts w:asciiTheme="minorHAnsi" w:hAnsiTheme="minorHAnsi"/>
                <w:szCs w:val="20"/>
                <w:lang w:val="en-GB"/>
              </w:rPr>
            </w:pPr>
            <w:r w:rsidRPr="00231C30">
              <w:rPr>
                <w:rFonts w:asciiTheme="minorHAnsi" w:hAnsiTheme="minorHAnsi"/>
                <w:szCs w:val="20"/>
                <w:lang w:val="en-GB"/>
              </w:rPr>
              <w:t>Position/Organisation</w:t>
            </w:r>
          </w:p>
        </w:tc>
        <w:tc>
          <w:tcPr>
            <w:tcW w:w="2368" w:type="dxa"/>
          </w:tcPr>
          <w:p w:rsidR="00231C30" w:rsidRPr="00231C30" w:rsidRDefault="00231C30" w:rsidP="00231C30">
            <w:pPr>
              <w:spacing w:after="0"/>
              <w:jc w:val="left"/>
              <w:cnfStyle w:val="100000000000" w:firstRow="1" w:lastRow="0" w:firstColumn="0" w:lastColumn="0" w:oddVBand="0" w:evenVBand="0" w:oddHBand="0" w:evenHBand="0" w:firstRowFirstColumn="0" w:firstRowLastColumn="0" w:lastRowFirstColumn="0" w:lastRowLastColumn="0"/>
              <w:rPr>
                <w:rFonts w:asciiTheme="minorHAnsi" w:hAnsiTheme="minorHAnsi"/>
                <w:szCs w:val="20"/>
                <w:lang w:val="en-GB"/>
              </w:rPr>
            </w:pPr>
            <w:r w:rsidRPr="00231C30">
              <w:rPr>
                <w:rFonts w:asciiTheme="minorHAnsi" w:hAnsiTheme="minorHAnsi"/>
                <w:szCs w:val="20"/>
                <w:lang w:val="en-GB"/>
              </w:rPr>
              <w:t>Country</w:t>
            </w:r>
          </w:p>
        </w:tc>
      </w:tr>
      <w:tr w:rsidR="00231C30" w:rsidRPr="00B75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231C30" w:rsidRPr="00231C30" w:rsidRDefault="00231C30" w:rsidP="00231C30">
            <w:pPr>
              <w:spacing w:after="0"/>
              <w:jc w:val="left"/>
              <w:rPr>
                <w:rFonts w:asciiTheme="minorHAnsi" w:hAnsiTheme="minorHAnsi"/>
                <w:b/>
                <w:szCs w:val="20"/>
                <w:lang w:val="en-GB"/>
              </w:rPr>
            </w:pPr>
            <w:r w:rsidRPr="00231C30">
              <w:rPr>
                <w:rFonts w:asciiTheme="minorHAnsi" w:hAnsiTheme="minorHAnsi"/>
                <w:b/>
                <w:szCs w:val="20"/>
                <w:lang w:val="en-GB"/>
              </w:rPr>
              <w:t>Committee chairs and regional coordinators</w:t>
            </w:r>
          </w:p>
        </w:tc>
        <w:tc>
          <w:tcPr>
            <w:tcW w:w="3969" w:type="dxa"/>
          </w:tcPr>
          <w:p w:rsidR="00231C30" w:rsidRPr="00231C30" w:rsidRDefault="00231C30" w:rsidP="00231C30">
            <w:pPr>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0"/>
                <w:u w:val="single"/>
                <w:lang w:val="en-GB"/>
              </w:rPr>
            </w:pPr>
          </w:p>
        </w:tc>
        <w:tc>
          <w:tcPr>
            <w:tcW w:w="2368" w:type="dxa"/>
          </w:tcPr>
          <w:p w:rsidR="00231C30" w:rsidRPr="00231C30" w:rsidRDefault="00231C30" w:rsidP="00231C30">
            <w:pPr>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0"/>
                <w:u w:val="single"/>
                <w:lang w:val="en-GB"/>
              </w:rPr>
            </w:pPr>
          </w:p>
        </w:tc>
      </w:tr>
      <w:tr w:rsidR="00231C30" w:rsidRPr="00231C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231C30" w:rsidRPr="00231C30" w:rsidRDefault="00231C30" w:rsidP="00231C30">
            <w:pPr>
              <w:spacing w:after="0"/>
              <w:jc w:val="left"/>
              <w:rPr>
                <w:rFonts w:asciiTheme="minorHAnsi" w:hAnsiTheme="minorHAnsi"/>
                <w:szCs w:val="20"/>
                <w:lang w:val="en-GB"/>
              </w:rPr>
            </w:pPr>
            <w:r w:rsidRPr="00231C30">
              <w:rPr>
                <w:rFonts w:asciiTheme="minorHAnsi" w:hAnsiTheme="minorHAnsi"/>
                <w:szCs w:val="20"/>
                <w:lang w:val="en-GB"/>
              </w:rPr>
              <w:t>Prof.Dr. Xiongwu  QIAO</w:t>
            </w:r>
          </w:p>
        </w:tc>
        <w:tc>
          <w:tcPr>
            <w:tcW w:w="3969" w:type="dxa"/>
          </w:tcPr>
          <w:p w:rsidR="00231C30" w:rsidRPr="00231C30" w:rsidRDefault="00231C30" w:rsidP="00231C30">
            <w:pPr>
              <w:spacing w:after="0"/>
              <w:jc w:val="left"/>
              <w:cnfStyle w:val="000000010000" w:firstRow="0" w:lastRow="0" w:firstColumn="0" w:lastColumn="0" w:oddVBand="0" w:evenVBand="0" w:oddHBand="0" w:evenHBand="1" w:firstRowFirstColumn="0" w:firstRowLastColumn="0" w:lastRowFirstColumn="0" w:lastRowLastColumn="0"/>
              <w:rPr>
                <w:rFonts w:asciiTheme="minorHAnsi" w:hAnsiTheme="minorHAnsi"/>
                <w:szCs w:val="20"/>
                <w:lang w:val="en-GB"/>
              </w:rPr>
            </w:pPr>
            <w:r w:rsidRPr="00231C30">
              <w:rPr>
                <w:rFonts w:asciiTheme="minorHAnsi" w:hAnsiTheme="minorHAnsi"/>
                <w:szCs w:val="20"/>
                <w:lang w:val="en-GB"/>
              </w:rPr>
              <w:t>Chair CCPR</w:t>
            </w:r>
          </w:p>
        </w:tc>
        <w:tc>
          <w:tcPr>
            <w:tcW w:w="2368" w:type="dxa"/>
          </w:tcPr>
          <w:p w:rsidR="00231C30" w:rsidRPr="00231C30" w:rsidRDefault="00231C30" w:rsidP="00231C30">
            <w:pPr>
              <w:spacing w:after="0"/>
              <w:jc w:val="left"/>
              <w:cnfStyle w:val="000000010000" w:firstRow="0" w:lastRow="0" w:firstColumn="0" w:lastColumn="0" w:oddVBand="0" w:evenVBand="0" w:oddHBand="0" w:evenHBand="1" w:firstRowFirstColumn="0" w:firstRowLastColumn="0" w:lastRowFirstColumn="0" w:lastRowLastColumn="0"/>
              <w:rPr>
                <w:rFonts w:asciiTheme="minorHAnsi" w:hAnsiTheme="minorHAnsi"/>
                <w:szCs w:val="20"/>
                <w:lang w:val="en-GB"/>
              </w:rPr>
            </w:pPr>
            <w:r w:rsidRPr="00231C30">
              <w:rPr>
                <w:rFonts w:asciiTheme="minorHAnsi" w:hAnsiTheme="minorHAnsi"/>
                <w:szCs w:val="20"/>
                <w:lang w:val="en-GB"/>
              </w:rPr>
              <w:t>China (e-mail communication)</w:t>
            </w:r>
          </w:p>
        </w:tc>
      </w:tr>
      <w:tr w:rsidR="00231C30" w:rsidRPr="0023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231C30" w:rsidRPr="00231C30" w:rsidRDefault="00231C30" w:rsidP="00231C30">
            <w:pPr>
              <w:spacing w:after="0"/>
              <w:jc w:val="left"/>
              <w:rPr>
                <w:rFonts w:asciiTheme="minorHAnsi" w:hAnsiTheme="minorHAnsi"/>
                <w:szCs w:val="20"/>
                <w:lang w:val="en-GB"/>
              </w:rPr>
            </w:pPr>
            <w:r w:rsidRPr="00231C30">
              <w:rPr>
                <w:rFonts w:asciiTheme="minorHAnsi" w:hAnsiTheme="minorHAnsi"/>
                <w:szCs w:val="20"/>
                <w:lang w:val="en-GB"/>
              </w:rPr>
              <w:t>Mr Sanjay Dave</w:t>
            </w:r>
          </w:p>
        </w:tc>
        <w:tc>
          <w:tcPr>
            <w:tcW w:w="3969" w:type="dxa"/>
          </w:tcPr>
          <w:p w:rsidR="00231C30" w:rsidRPr="00231C30" w:rsidRDefault="00231C30" w:rsidP="00231C30">
            <w:pPr>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0"/>
                <w:lang w:val="en-GB"/>
              </w:rPr>
            </w:pPr>
            <w:r w:rsidRPr="00231C30">
              <w:rPr>
                <w:rFonts w:asciiTheme="minorHAnsi" w:hAnsiTheme="minorHAnsi"/>
                <w:szCs w:val="20"/>
                <w:lang w:val="en-GB"/>
              </w:rPr>
              <w:t>Vice-Chair CCEXEC</w:t>
            </w:r>
          </w:p>
        </w:tc>
        <w:tc>
          <w:tcPr>
            <w:tcW w:w="2368" w:type="dxa"/>
          </w:tcPr>
          <w:p w:rsidR="00231C30" w:rsidRPr="00231C30" w:rsidRDefault="00231C30" w:rsidP="00231C30">
            <w:pPr>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0"/>
                <w:lang w:val="en-GB"/>
              </w:rPr>
            </w:pPr>
            <w:r w:rsidRPr="00231C30">
              <w:rPr>
                <w:rFonts w:asciiTheme="minorHAnsi" w:hAnsiTheme="minorHAnsi"/>
                <w:szCs w:val="20"/>
                <w:lang w:val="en-GB"/>
              </w:rPr>
              <w:t>India</w:t>
            </w:r>
          </w:p>
        </w:tc>
      </w:tr>
      <w:tr w:rsidR="00231C30" w:rsidRPr="00231C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231C30" w:rsidRPr="00231C30" w:rsidRDefault="00231C30" w:rsidP="00231C30">
            <w:pPr>
              <w:spacing w:after="0"/>
              <w:jc w:val="left"/>
              <w:rPr>
                <w:rFonts w:asciiTheme="minorHAnsi" w:hAnsiTheme="minorHAnsi"/>
                <w:szCs w:val="20"/>
                <w:lang w:val="en-GB"/>
              </w:rPr>
            </w:pPr>
            <w:r w:rsidRPr="00231C30">
              <w:rPr>
                <w:rFonts w:asciiTheme="minorHAnsi" w:hAnsiTheme="minorHAnsi"/>
                <w:szCs w:val="20"/>
                <w:lang w:val="en-GB"/>
              </w:rPr>
              <w:t>Michel Thibier</w:t>
            </w:r>
          </w:p>
        </w:tc>
        <w:tc>
          <w:tcPr>
            <w:tcW w:w="3969" w:type="dxa"/>
          </w:tcPr>
          <w:p w:rsidR="00231C30" w:rsidRPr="00231C30" w:rsidRDefault="00231C30" w:rsidP="00231C30">
            <w:pPr>
              <w:spacing w:after="0"/>
              <w:jc w:val="left"/>
              <w:cnfStyle w:val="000000010000" w:firstRow="0" w:lastRow="0" w:firstColumn="0" w:lastColumn="0" w:oddVBand="0" w:evenVBand="0" w:oddHBand="0" w:evenHBand="1" w:firstRowFirstColumn="0" w:firstRowLastColumn="0" w:lastRowFirstColumn="0" w:lastRowLastColumn="0"/>
              <w:rPr>
                <w:rFonts w:asciiTheme="minorHAnsi" w:hAnsiTheme="minorHAnsi"/>
                <w:szCs w:val="20"/>
                <w:lang w:val="en-GB"/>
              </w:rPr>
            </w:pPr>
            <w:r w:rsidRPr="00231C30">
              <w:rPr>
                <w:rFonts w:asciiTheme="minorHAnsi" w:hAnsiTheme="minorHAnsi"/>
                <w:szCs w:val="20"/>
                <w:lang w:val="en-GB"/>
              </w:rPr>
              <w:t>Chair CCGP</w:t>
            </w:r>
          </w:p>
        </w:tc>
        <w:tc>
          <w:tcPr>
            <w:tcW w:w="2368" w:type="dxa"/>
          </w:tcPr>
          <w:p w:rsidR="00231C30" w:rsidRPr="00231C30" w:rsidRDefault="00231C30" w:rsidP="00231C30">
            <w:pPr>
              <w:spacing w:after="0"/>
              <w:jc w:val="left"/>
              <w:cnfStyle w:val="000000010000" w:firstRow="0" w:lastRow="0" w:firstColumn="0" w:lastColumn="0" w:oddVBand="0" w:evenVBand="0" w:oddHBand="0" w:evenHBand="1" w:firstRowFirstColumn="0" w:firstRowLastColumn="0" w:lastRowFirstColumn="0" w:lastRowLastColumn="0"/>
              <w:rPr>
                <w:rFonts w:asciiTheme="minorHAnsi" w:hAnsiTheme="minorHAnsi"/>
                <w:szCs w:val="20"/>
                <w:lang w:val="en-GB"/>
              </w:rPr>
            </w:pPr>
            <w:r w:rsidRPr="00231C30">
              <w:rPr>
                <w:rFonts w:asciiTheme="minorHAnsi" w:hAnsiTheme="minorHAnsi"/>
                <w:szCs w:val="20"/>
                <w:lang w:val="en-GB"/>
              </w:rPr>
              <w:t>France</w:t>
            </w:r>
          </w:p>
        </w:tc>
      </w:tr>
      <w:tr w:rsidR="00231C30" w:rsidRPr="0023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231C30" w:rsidRPr="00231C30" w:rsidRDefault="00231C30" w:rsidP="00231C30">
            <w:pPr>
              <w:spacing w:after="0"/>
              <w:jc w:val="left"/>
              <w:rPr>
                <w:rFonts w:asciiTheme="minorHAnsi" w:hAnsiTheme="minorHAnsi"/>
                <w:szCs w:val="20"/>
                <w:lang w:val="en-GB"/>
              </w:rPr>
            </w:pPr>
            <w:r w:rsidRPr="00231C30">
              <w:rPr>
                <w:rFonts w:asciiTheme="minorHAnsi" w:hAnsiTheme="minorHAnsi"/>
                <w:szCs w:val="20"/>
                <w:lang w:val="en-GB"/>
              </w:rPr>
              <w:t>Dr Karen L. Hulebak</w:t>
            </w:r>
          </w:p>
        </w:tc>
        <w:tc>
          <w:tcPr>
            <w:tcW w:w="3969" w:type="dxa"/>
          </w:tcPr>
          <w:p w:rsidR="00231C30" w:rsidRPr="00231C30" w:rsidRDefault="00231C30" w:rsidP="00231C30">
            <w:pPr>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0"/>
                <w:lang w:val="en-GB"/>
              </w:rPr>
            </w:pPr>
            <w:r w:rsidRPr="00231C30">
              <w:rPr>
                <w:rFonts w:asciiTheme="minorHAnsi" w:hAnsiTheme="minorHAnsi"/>
                <w:szCs w:val="20"/>
                <w:lang w:val="en-GB"/>
              </w:rPr>
              <w:t>Chair CCEXEC and CAC</w:t>
            </w:r>
          </w:p>
        </w:tc>
        <w:tc>
          <w:tcPr>
            <w:tcW w:w="2368" w:type="dxa"/>
          </w:tcPr>
          <w:p w:rsidR="00231C30" w:rsidRPr="00231C30" w:rsidRDefault="00231C30" w:rsidP="00231C30">
            <w:pPr>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0"/>
                <w:lang w:val="en-GB"/>
              </w:rPr>
            </w:pPr>
            <w:r w:rsidRPr="00231C30">
              <w:rPr>
                <w:rFonts w:asciiTheme="minorHAnsi" w:hAnsiTheme="minorHAnsi"/>
                <w:szCs w:val="20"/>
                <w:lang w:val="en-GB"/>
              </w:rPr>
              <w:t>USA</w:t>
            </w:r>
          </w:p>
        </w:tc>
      </w:tr>
      <w:tr w:rsidR="00231C30" w:rsidRPr="00231C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231C30" w:rsidRPr="00231C30" w:rsidRDefault="00231C30" w:rsidP="00231C30">
            <w:pPr>
              <w:spacing w:after="0"/>
              <w:jc w:val="left"/>
              <w:rPr>
                <w:rFonts w:asciiTheme="minorHAnsi" w:hAnsiTheme="minorHAnsi"/>
                <w:szCs w:val="20"/>
                <w:lang w:val="es-ES"/>
              </w:rPr>
            </w:pPr>
            <w:r w:rsidRPr="00231C30">
              <w:rPr>
                <w:rFonts w:asciiTheme="minorHAnsi" w:hAnsiTheme="minorHAnsi"/>
                <w:szCs w:val="20"/>
                <w:lang w:val="es-ES"/>
              </w:rPr>
              <w:t>M.en C. Ingrid Maciel Pedrote</w:t>
            </w:r>
          </w:p>
        </w:tc>
        <w:tc>
          <w:tcPr>
            <w:tcW w:w="3969" w:type="dxa"/>
          </w:tcPr>
          <w:p w:rsidR="00231C30" w:rsidRPr="00231C30" w:rsidRDefault="00231C30" w:rsidP="00231C30">
            <w:pPr>
              <w:spacing w:after="0"/>
              <w:jc w:val="left"/>
              <w:cnfStyle w:val="000000010000" w:firstRow="0" w:lastRow="0" w:firstColumn="0" w:lastColumn="0" w:oddVBand="0" w:evenVBand="0" w:oddHBand="0" w:evenHBand="1" w:firstRowFirstColumn="0" w:firstRowLastColumn="0" w:lastRowFirstColumn="0" w:lastRowLastColumn="0"/>
              <w:rPr>
                <w:rFonts w:asciiTheme="minorHAnsi" w:hAnsiTheme="minorHAnsi"/>
                <w:szCs w:val="20"/>
                <w:lang w:val="en-US"/>
              </w:rPr>
            </w:pPr>
            <w:r w:rsidRPr="00231C30">
              <w:rPr>
                <w:rFonts w:asciiTheme="minorHAnsi" w:hAnsiTheme="minorHAnsi"/>
                <w:szCs w:val="20"/>
                <w:lang w:val="en-US"/>
              </w:rPr>
              <w:t>Chair CCFFV and Coordinator for Latin America</w:t>
            </w:r>
          </w:p>
        </w:tc>
        <w:tc>
          <w:tcPr>
            <w:tcW w:w="2368" w:type="dxa"/>
          </w:tcPr>
          <w:p w:rsidR="00231C30" w:rsidRPr="00231C30" w:rsidRDefault="00231C30" w:rsidP="00231C30">
            <w:pPr>
              <w:spacing w:after="0"/>
              <w:jc w:val="left"/>
              <w:cnfStyle w:val="000000010000" w:firstRow="0" w:lastRow="0" w:firstColumn="0" w:lastColumn="0" w:oddVBand="0" w:evenVBand="0" w:oddHBand="0" w:evenHBand="1" w:firstRowFirstColumn="0" w:firstRowLastColumn="0" w:lastRowFirstColumn="0" w:lastRowLastColumn="0"/>
              <w:rPr>
                <w:rFonts w:asciiTheme="minorHAnsi" w:hAnsiTheme="minorHAnsi"/>
                <w:szCs w:val="20"/>
                <w:lang w:val="en-US"/>
              </w:rPr>
            </w:pPr>
            <w:r w:rsidRPr="00231C30">
              <w:rPr>
                <w:rFonts w:asciiTheme="minorHAnsi" w:hAnsiTheme="minorHAnsi"/>
                <w:szCs w:val="20"/>
                <w:lang w:val="en-US"/>
              </w:rPr>
              <w:t>Mexico</w:t>
            </w:r>
          </w:p>
        </w:tc>
      </w:tr>
      <w:tr w:rsidR="00231C30" w:rsidRPr="0023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231C30" w:rsidRPr="00231C30" w:rsidRDefault="00231C30" w:rsidP="00231C30">
            <w:pPr>
              <w:spacing w:after="0"/>
              <w:jc w:val="left"/>
              <w:rPr>
                <w:rFonts w:asciiTheme="minorHAnsi" w:hAnsiTheme="minorHAnsi"/>
                <w:szCs w:val="20"/>
                <w:lang w:val="en-US"/>
              </w:rPr>
            </w:pPr>
            <w:r w:rsidRPr="00231C30">
              <w:rPr>
                <w:rFonts w:asciiTheme="minorHAnsi" w:hAnsiTheme="minorHAnsi"/>
                <w:szCs w:val="20"/>
                <w:lang w:val="en-US"/>
              </w:rPr>
              <w:t>Dr Viliami Toalei Manu</w:t>
            </w:r>
          </w:p>
        </w:tc>
        <w:tc>
          <w:tcPr>
            <w:tcW w:w="3969" w:type="dxa"/>
          </w:tcPr>
          <w:p w:rsidR="00231C30" w:rsidRPr="00231C30" w:rsidRDefault="00231C30" w:rsidP="00231C30">
            <w:pPr>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0"/>
                <w:lang w:val="en-US"/>
              </w:rPr>
            </w:pPr>
            <w:r w:rsidRPr="00231C30">
              <w:rPr>
                <w:rFonts w:asciiTheme="minorHAnsi" w:hAnsiTheme="minorHAnsi"/>
                <w:szCs w:val="20"/>
                <w:lang w:val="en-US"/>
              </w:rPr>
              <w:t>Coordinator for North America and South West Pacific</w:t>
            </w:r>
          </w:p>
        </w:tc>
        <w:tc>
          <w:tcPr>
            <w:tcW w:w="2368" w:type="dxa"/>
          </w:tcPr>
          <w:p w:rsidR="00231C30" w:rsidRPr="00231C30" w:rsidRDefault="00231C30" w:rsidP="00231C30">
            <w:pPr>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0"/>
                <w:lang w:val="en-US"/>
              </w:rPr>
            </w:pPr>
            <w:r w:rsidRPr="00231C30">
              <w:rPr>
                <w:rFonts w:asciiTheme="minorHAnsi" w:hAnsiTheme="minorHAnsi"/>
                <w:szCs w:val="20"/>
                <w:lang w:val="en-US"/>
              </w:rPr>
              <w:t>Tonga</w:t>
            </w:r>
          </w:p>
        </w:tc>
      </w:tr>
      <w:tr w:rsidR="00231C30" w:rsidRPr="00231C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231C30" w:rsidRPr="00231C30" w:rsidRDefault="00231C30" w:rsidP="00231C30">
            <w:pPr>
              <w:spacing w:after="0"/>
              <w:jc w:val="left"/>
              <w:rPr>
                <w:rFonts w:asciiTheme="minorHAnsi" w:hAnsiTheme="minorHAnsi"/>
                <w:szCs w:val="20"/>
                <w:lang w:val="en-US"/>
              </w:rPr>
            </w:pPr>
            <w:r w:rsidRPr="00231C30">
              <w:rPr>
                <w:rFonts w:asciiTheme="minorHAnsi" w:hAnsiTheme="minorHAnsi"/>
                <w:szCs w:val="20"/>
                <w:lang w:val="en-US"/>
              </w:rPr>
              <w:t>Prof. Krzysztof Kwiatek</w:t>
            </w:r>
          </w:p>
        </w:tc>
        <w:tc>
          <w:tcPr>
            <w:tcW w:w="3969" w:type="dxa"/>
          </w:tcPr>
          <w:p w:rsidR="00231C30" w:rsidRPr="00231C30" w:rsidRDefault="00231C30" w:rsidP="00231C30">
            <w:pPr>
              <w:spacing w:after="0"/>
              <w:jc w:val="left"/>
              <w:cnfStyle w:val="000000010000" w:firstRow="0" w:lastRow="0" w:firstColumn="0" w:lastColumn="0" w:oddVBand="0" w:evenVBand="0" w:oddHBand="0" w:evenHBand="1" w:firstRowFirstColumn="0" w:firstRowLastColumn="0" w:lastRowFirstColumn="0" w:lastRowLastColumn="0"/>
              <w:rPr>
                <w:rFonts w:asciiTheme="minorHAnsi" w:hAnsiTheme="minorHAnsi"/>
                <w:szCs w:val="20"/>
                <w:lang w:val="en-US"/>
              </w:rPr>
            </w:pPr>
            <w:r w:rsidRPr="00231C30">
              <w:rPr>
                <w:rFonts w:asciiTheme="minorHAnsi" w:hAnsiTheme="minorHAnsi"/>
                <w:szCs w:val="20"/>
                <w:lang w:val="en-US"/>
              </w:rPr>
              <w:t>Coordinator for Europe</w:t>
            </w:r>
          </w:p>
        </w:tc>
        <w:tc>
          <w:tcPr>
            <w:tcW w:w="2368" w:type="dxa"/>
          </w:tcPr>
          <w:p w:rsidR="00231C30" w:rsidRPr="00231C30" w:rsidRDefault="00231C30" w:rsidP="00231C30">
            <w:pPr>
              <w:spacing w:after="0"/>
              <w:jc w:val="left"/>
              <w:cnfStyle w:val="000000010000" w:firstRow="0" w:lastRow="0" w:firstColumn="0" w:lastColumn="0" w:oddVBand="0" w:evenVBand="0" w:oddHBand="0" w:evenHBand="1" w:firstRowFirstColumn="0" w:firstRowLastColumn="0" w:lastRowFirstColumn="0" w:lastRowLastColumn="0"/>
              <w:rPr>
                <w:rFonts w:asciiTheme="minorHAnsi" w:hAnsiTheme="minorHAnsi"/>
                <w:szCs w:val="20"/>
                <w:lang w:val="en-US"/>
              </w:rPr>
            </w:pPr>
            <w:r w:rsidRPr="00231C30">
              <w:rPr>
                <w:rFonts w:asciiTheme="minorHAnsi" w:hAnsiTheme="minorHAnsi"/>
                <w:szCs w:val="20"/>
                <w:lang w:val="en-US"/>
              </w:rPr>
              <w:t>Poland</w:t>
            </w:r>
          </w:p>
        </w:tc>
      </w:tr>
      <w:tr w:rsidR="00231C30" w:rsidRPr="0023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231C30" w:rsidRPr="00231C30" w:rsidRDefault="00231C30" w:rsidP="00231C30">
            <w:pPr>
              <w:spacing w:after="0"/>
              <w:jc w:val="left"/>
              <w:rPr>
                <w:rFonts w:asciiTheme="minorHAnsi" w:hAnsiTheme="minorHAnsi"/>
                <w:szCs w:val="20"/>
                <w:lang w:val="en-US"/>
              </w:rPr>
            </w:pPr>
          </w:p>
        </w:tc>
        <w:tc>
          <w:tcPr>
            <w:tcW w:w="3969" w:type="dxa"/>
          </w:tcPr>
          <w:p w:rsidR="00231C30" w:rsidRPr="00231C30" w:rsidRDefault="00231C30" w:rsidP="00231C30">
            <w:pPr>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0"/>
                <w:lang w:val="en-US"/>
              </w:rPr>
            </w:pPr>
          </w:p>
        </w:tc>
        <w:tc>
          <w:tcPr>
            <w:tcW w:w="2368" w:type="dxa"/>
          </w:tcPr>
          <w:p w:rsidR="00231C30" w:rsidRPr="00231C30" w:rsidRDefault="00231C30" w:rsidP="00231C30">
            <w:pPr>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0"/>
                <w:lang w:val="en-US"/>
              </w:rPr>
            </w:pPr>
          </w:p>
        </w:tc>
      </w:tr>
      <w:tr w:rsidR="00231C30" w:rsidRPr="00231C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231C30" w:rsidRPr="008543B2" w:rsidRDefault="00231C30" w:rsidP="00231C30">
            <w:pPr>
              <w:spacing w:after="0"/>
              <w:jc w:val="left"/>
              <w:rPr>
                <w:rFonts w:asciiTheme="minorHAnsi" w:hAnsiTheme="minorHAnsi"/>
                <w:b/>
                <w:szCs w:val="20"/>
                <w:lang w:val="en-US"/>
              </w:rPr>
            </w:pPr>
            <w:r w:rsidRPr="008543B2">
              <w:rPr>
                <w:rFonts w:asciiTheme="minorHAnsi" w:hAnsiTheme="minorHAnsi"/>
                <w:b/>
                <w:szCs w:val="20"/>
                <w:lang w:val="en-US"/>
              </w:rPr>
              <w:t>Donor representatives</w:t>
            </w:r>
          </w:p>
        </w:tc>
        <w:tc>
          <w:tcPr>
            <w:tcW w:w="3969" w:type="dxa"/>
          </w:tcPr>
          <w:p w:rsidR="00231C30" w:rsidRPr="00231C30" w:rsidRDefault="00231C30" w:rsidP="00231C30">
            <w:pPr>
              <w:spacing w:after="0"/>
              <w:jc w:val="left"/>
              <w:cnfStyle w:val="000000010000" w:firstRow="0" w:lastRow="0" w:firstColumn="0" w:lastColumn="0" w:oddVBand="0" w:evenVBand="0" w:oddHBand="0" w:evenHBand="1" w:firstRowFirstColumn="0" w:firstRowLastColumn="0" w:lastRowFirstColumn="0" w:lastRowLastColumn="0"/>
              <w:rPr>
                <w:rFonts w:asciiTheme="minorHAnsi" w:hAnsiTheme="minorHAnsi"/>
                <w:szCs w:val="20"/>
                <w:u w:val="single"/>
                <w:lang w:val="en-US"/>
              </w:rPr>
            </w:pPr>
          </w:p>
        </w:tc>
        <w:tc>
          <w:tcPr>
            <w:tcW w:w="2368" w:type="dxa"/>
          </w:tcPr>
          <w:p w:rsidR="00231C30" w:rsidRPr="00231C30" w:rsidRDefault="00231C30" w:rsidP="00231C30">
            <w:pPr>
              <w:spacing w:after="0"/>
              <w:jc w:val="left"/>
              <w:cnfStyle w:val="000000010000" w:firstRow="0" w:lastRow="0" w:firstColumn="0" w:lastColumn="0" w:oddVBand="0" w:evenVBand="0" w:oddHBand="0" w:evenHBand="1" w:firstRowFirstColumn="0" w:firstRowLastColumn="0" w:lastRowFirstColumn="0" w:lastRowLastColumn="0"/>
              <w:rPr>
                <w:rFonts w:asciiTheme="minorHAnsi" w:hAnsiTheme="minorHAnsi"/>
                <w:szCs w:val="20"/>
                <w:u w:val="single"/>
                <w:lang w:val="en-US"/>
              </w:rPr>
            </w:pPr>
          </w:p>
        </w:tc>
      </w:tr>
      <w:tr w:rsidR="00231C30" w:rsidRPr="0023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231C30" w:rsidRPr="00231C30" w:rsidRDefault="00231C30" w:rsidP="00231C30">
            <w:pPr>
              <w:spacing w:after="0"/>
              <w:jc w:val="left"/>
              <w:rPr>
                <w:rFonts w:asciiTheme="minorHAnsi" w:hAnsiTheme="minorHAnsi"/>
                <w:szCs w:val="20"/>
                <w:lang w:val="en-US"/>
              </w:rPr>
            </w:pPr>
            <w:r w:rsidRPr="00231C30">
              <w:rPr>
                <w:rFonts w:asciiTheme="minorHAnsi" w:hAnsiTheme="minorHAnsi"/>
                <w:szCs w:val="20"/>
                <w:lang w:val="en-US"/>
              </w:rPr>
              <w:t xml:space="preserve">Mr. Allan McCarville  </w:t>
            </w:r>
          </w:p>
        </w:tc>
        <w:tc>
          <w:tcPr>
            <w:tcW w:w="3969" w:type="dxa"/>
          </w:tcPr>
          <w:p w:rsidR="00231C30" w:rsidRPr="00231C30" w:rsidRDefault="00231C30" w:rsidP="00231C30">
            <w:pPr>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0"/>
                <w:lang w:val="en-US"/>
              </w:rPr>
            </w:pPr>
            <w:r w:rsidRPr="00231C30">
              <w:rPr>
                <w:rFonts w:asciiTheme="minorHAnsi" w:hAnsiTheme="minorHAnsi"/>
                <w:szCs w:val="20"/>
                <w:lang w:val="en-US"/>
              </w:rPr>
              <w:t>Health Canada</w:t>
            </w:r>
          </w:p>
        </w:tc>
        <w:tc>
          <w:tcPr>
            <w:tcW w:w="2368" w:type="dxa"/>
          </w:tcPr>
          <w:p w:rsidR="00231C30" w:rsidRPr="00231C30" w:rsidRDefault="00231C30" w:rsidP="00231C30">
            <w:pPr>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0"/>
                <w:lang w:val="en-US"/>
              </w:rPr>
            </w:pPr>
            <w:r w:rsidRPr="00231C30">
              <w:rPr>
                <w:rFonts w:asciiTheme="minorHAnsi" w:hAnsiTheme="minorHAnsi"/>
                <w:szCs w:val="20"/>
                <w:lang w:val="en-US"/>
              </w:rPr>
              <w:t>Canada</w:t>
            </w:r>
          </w:p>
        </w:tc>
      </w:tr>
      <w:tr w:rsidR="00231C30" w:rsidRPr="00231C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231C30" w:rsidRPr="00231C30" w:rsidRDefault="00231C30" w:rsidP="00231C30">
            <w:pPr>
              <w:spacing w:after="0"/>
              <w:jc w:val="left"/>
              <w:rPr>
                <w:rFonts w:asciiTheme="minorHAnsi" w:hAnsiTheme="minorHAnsi"/>
                <w:szCs w:val="20"/>
                <w:lang w:val="en-US"/>
              </w:rPr>
            </w:pPr>
            <w:r w:rsidRPr="00231C30">
              <w:rPr>
                <w:rFonts w:asciiTheme="minorHAnsi" w:hAnsiTheme="minorHAnsi"/>
                <w:szCs w:val="20"/>
                <w:lang w:val="en-US"/>
              </w:rPr>
              <w:t xml:space="preserve">Mr. Bertrand Gagnon </w:t>
            </w:r>
          </w:p>
        </w:tc>
        <w:tc>
          <w:tcPr>
            <w:tcW w:w="3969" w:type="dxa"/>
          </w:tcPr>
          <w:p w:rsidR="00231C30" w:rsidRPr="00231C30" w:rsidRDefault="00231C30" w:rsidP="00231C30">
            <w:pPr>
              <w:spacing w:after="0"/>
              <w:jc w:val="left"/>
              <w:cnfStyle w:val="000000010000" w:firstRow="0" w:lastRow="0" w:firstColumn="0" w:lastColumn="0" w:oddVBand="0" w:evenVBand="0" w:oddHBand="0" w:evenHBand="1" w:firstRowFirstColumn="0" w:firstRowLastColumn="0" w:lastRowFirstColumn="0" w:lastRowLastColumn="0"/>
              <w:rPr>
                <w:rFonts w:asciiTheme="minorHAnsi" w:hAnsiTheme="minorHAnsi"/>
                <w:szCs w:val="20"/>
                <w:lang w:val="en-US"/>
              </w:rPr>
            </w:pPr>
            <w:r w:rsidRPr="00231C30">
              <w:rPr>
                <w:rFonts w:asciiTheme="minorHAnsi" w:hAnsiTheme="minorHAnsi"/>
                <w:szCs w:val="20"/>
                <w:lang w:val="en-US"/>
              </w:rPr>
              <w:t>Canadian Food Inspection Agency</w:t>
            </w:r>
          </w:p>
        </w:tc>
        <w:tc>
          <w:tcPr>
            <w:tcW w:w="2368" w:type="dxa"/>
          </w:tcPr>
          <w:p w:rsidR="00231C30" w:rsidRPr="00231C30" w:rsidRDefault="00231C30" w:rsidP="00231C30">
            <w:pPr>
              <w:spacing w:after="0"/>
              <w:jc w:val="left"/>
              <w:cnfStyle w:val="000000010000" w:firstRow="0" w:lastRow="0" w:firstColumn="0" w:lastColumn="0" w:oddVBand="0" w:evenVBand="0" w:oddHBand="0" w:evenHBand="1" w:firstRowFirstColumn="0" w:firstRowLastColumn="0" w:lastRowFirstColumn="0" w:lastRowLastColumn="0"/>
              <w:rPr>
                <w:rFonts w:asciiTheme="minorHAnsi" w:hAnsiTheme="minorHAnsi"/>
                <w:szCs w:val="20"/>
                <w:lang w:val="en-US"/>
              </w:rPr>
            </w:pPr>
            <w:r w:rsidRPr="00231C30">
              <w:rPr>
                <w:rFonts w:asciiTheme="minorHAnsi" w:hAnsiTheme="minorHAnsi"/>
                <w:szCs w:val="20"/>
                <w:lang w:val="en-US"/>
              </w:rPr>
              <w:t>Canada</w:t>
            </w:r>
          </w:p>
        </w:tc>
      </w:tr>
      <w:tr w:rsidR="00231C30" w:rsidRPr="0023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231C30" w:rsidRPr="00231C30" w:rsidRDefault="00231C30" w:rsidP="00231C30">
            <w:pPr>
              <w:spacing w:after="0"/>
              <w:jc w:val="left"/>
              <w:rPr>
                <w:rFonts w:asciiTheme="minorHAnsi" w:hAnsiTheme="minorHAnsi"/>
                <w:szCs w:val="20"/>
                <w:lang w:val="en-US"/>
              </w:rPr>
            </w:pPr>
            <w:r w:rsidRPr="00231C30">
              <w:rPr>
                <w:rFonts w:asciiTheme="minorHAnsi" w:hAnsiTheme="minorHAnsi"/>
                <w:szCs w:val="20"/>
              </w:rPr>
              <w:t>Sofie H. Flensborg</w:t>
            </w:r>
          </w:p>
        </w:tc>
        <w:tc>
          <w:tcPr>
            <w:tcW w:w="3969" w:type="dxa"/>
          </w:tcPr>
          <w:p w:rsidR="00231C30" w:rsidRPr="00231C30" w:rsidRDefault="00231C30" w:rsidP="00231C30">
            <w:pPr>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0"/>
                <w:lang w:val="en-US"/>
              </w:rPr>
            </w:pPr>
            <w:r w:rsidRPr="00231C30">
              <w:rPr>
                <w:rFonts w:asciiTheme="minorHAnsi" w:hAnsiTheme="minorHAnsi"/>
                <w:szCs w:val="20"/>
                <w:lang w:val="en-US"/>
              </w:rPr>
              <w:t>Permanent Mission of Denmark Geneva</w:t>
            </w:r>
          </w:p>
        </w:tc>
        <w:tc>
          <w:tcPr>
            <w:tcW w:w="2368" w:type="dxa"/>
          </w:tcPr>
          <w:p w:rsidR="00231C30" w:rsidRPr="00231C30" w:rsidRDefault="00231C30" w:rsidP="00231C30">
            <w:pPr>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0"/>
                <w:lang w:val="en-US"/>
              </w:rPr>
            </w:pPr>
            <w:r w:rsidRPr="00231C30">
              <w:rPr>
                <w:rFonts w:asciiTheme="minorHAnsi" w:hAnsiTheme="minorHAnsi"/>
                <w:szCs w:val="20"/>
                <w:lang w:val="en-US"/>
              </w:rPr>
              <w:t>Denmark</w:t>
            </w:r>
          </w:p>
        </w:tc>
      </w:tr>
      <w:tr w:rsidR="00231C30" w:rsidRPr="00B75C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231C30" w:rsidRPr="00231C30" w:rsidRDefault="00231C30" w:rsidP="00231C30">
            <w:pPr>
              <w:spacing w:after="0"/>
              <w:jc w:val="left"/>
              <w:rPr>
                <w:rFonts w:asciiTheme="minorHAnsi" w:hAnsiTheme="minorHAnsi"/>
                <w:szCs w:val="20"/>
                <w:lang w:val="en-US"/>
              </w:rPr>
            </w:pPr>
            <w:r w:rsidRPr="00231C30">
              <w:rPr>
                <w:rFonts w:asciiTheme="minorHAnsi" w:hAnsiTheme="minorHAnsi"/>
                <w:szCs w:val="20"/>
                <w:lang w:val="en-US"/>
              </w:rPr>
              <w:t xml:space="preserve">Jérôme Lepeintre </w:t>
            </w:r>
          </w:p>
          <w:p w:rsidR="00231C30" w:rsidRPr="00231C30" w:rsidRDefault="00231C30" w:rsidP="00231C30">
            <w:pPr>
              <w:spacing w:after="0"/>
              <w:jc w:val="left"/>
              <w:rPr>
                <w:rFonts w:asciiTheme="minorHAnsi" w:hAnsiTheme="minorHAnsi"/>
                <w:szCs w:val="20"/>
                <w:lang w:val="en-US"/>
              </w:rPr>
            </w:pPr>
          </w:p>
        </w:tc>
        <w:tc>
          <w:tcPr>
            <w:tcW w:w="3969" w:type="dxa"/>
          </w:tcPr>
          <w:p w:rsidR="00231C30" w:rsidRPr="00231C30" w:rsidRDefault="00231C30" w:rsidP="00231C30">
            <w:pPr>
              <w:spacing w:after="0"/>
              <w:jc w:val="left"/>
              <w:cnfStyle w:val="000000010000" w:firstRow="0" w:lastRow="0" w:firstColumn="0" w:lastColumn="0" w:oddVBand="0" w:evenVBand="0" w:oddHBand="0" w:evenHBand="1" w:firstRowFirstColumn="0" w:firstRowLastColumn="0" w:lastRowFirstColumn="0" w:lastRowLastColumn="0"/>
              <w:rPr>
                <w:rFonts w:asciiTheme="minorHAnsi" w:hAnsiTheme="minorHAnsi"/>
                <w:szCs w:val="20"/>
                <w:lang w:val="en-US"/>
              </w:rPr>
            </w:pPr>
            <w:r w:rsidRPr="00231C30">
              <w:rPr>
                <w:rFonts w:asciiTheme="minorHAnsi" w:hAnsiTheme="minorHAnsi"/>
                <w:szCs w:val="20"/>
                <w:lang w:val="en-US"/>
              </w:rPr>
              <w:t xml:space="preserve">European Commission </w:t>
            </w:r>
          </w:p>
          <w:p w:rsidR="00231C30" w:rsidRPr="00231C30" w:rsidRDefault="00231C30" w:rsidP="00231C30">
            <w:pPr>
              <w:spacing w:after="0"/>
              <w:jc w:val="left"/>
              <w:cnfStyle w:val="000000010000" w:firstRow="0" w:lastRow="0" w:firstColumn="0" w:lastColumn="0" w:oddVBand="0" w:evenVBand="0" w:oddHBand="0" w:evenHBand="1" w:firstRowFirstColumn="0" w:firstRowLastColumn="0" w:lastRowFirstColumn="0" w:lastRowLastColumn="0"/>
              <w:rPr>
                <w:rFonts w:asciiTheme="minorHAnsi" w:hAnsiTheme="minorHAnsi"/>
                <w:szCs w:val="20"/>
                <w:lang w:val="en-US"/>
              </w:rPr>
            </w:pPr>
            <w:r w:rsidRPr="00231C30">
              <w:rPr>
                <w:rFonts w:asciiTheme="minorHAnsi" w:hAnsiTheme="minorHAnsi"/>
                <w:szCs w:val="20"/>
                <w:lang w:val="en-US"/>
              </w:rPr>
              <w:t>DG Health and Consumers</w:t>
            </w:r>
          </w:p>
        </w:tc>
        <w:tc>
          <w:tcPr>
            <w:tcW w:w="2368" w:type="dxa"/>
          </w:tcPr>
          <w:p w:rsidR="00231C30" w:rsidRPr="00231C30" w:rsidRDefault="00231C30" w:rsidP="00231C30">
            <w:pPr>
              <w:spacing w:after="0"/>
              <w:jc w:val="left"/>
              <w:cnfStyle w:val="000000010000" w:firstRow="0" w:lastRow="0" w:firstColumn="0" w:lastColumn="0" w:oddVBand="0" w:evenVBand="0" w:oddHBand="0" w:evenHBand="1" w:firstRowFirstColumn="0" w:firstRowLastColumn="0" w:lastRowFirstColumn="0" w:lastRowLastColumn="0"/>
              <w:rPr>
                <w:rFonts w:asciiTheme="minorHAnsi" w:hAnsiTheme="minorHAnsi"/>
                <w:szCs w:val="20"/>
                <w:lang w:val="en-US"/>
              </w:rPr>
            </w:pPr>
          </w:p>
        </w:tc>
      </w:tr>
      <w:tr w:rsidR="00231C30" w:rsidRPr="0023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231C30" w:rsidRPr="00231C30" w:rsidRDefault="00231C30" w:rsidP="00231C30">
            <w:pPr>
              <w:spacing w:after="0"/>
              <w:jc w:val="left"/>
              <w:rPr>
                <w:rFonts w:asciiTheme="minorHAnsi" w:hAnsiTheme="minorHAnsi"/>
                <w:szCs w:val="20"/>
                <w:lang w:val="en-US"/>
              </w:rPr>
            </w:pPr>
            <w:r w:rsidRPr="00231C30">
              <w:rPr>
                <w:rFonts w:asciiTheme="minorHAnsi" w:hAnsiTheme="minorHAnsi"/>
                <w:szCs w:val="20"/>
                <w:lang w:val="en-US"/>
              </w:rPr>
              <w:t>Sebastian Hielm</w:t>
            </w:r>
          </w:p>
        </w:tc>
        <w:tc>
          <w:tcPr>
            <w:tcW w:w="3969" w:type="dxa"/>
          </w:tcPr>
          <w:p w:rsidR="00231C30" w:rsidRPr="00231C30" w:rsidRDefault="00231C30" w:rsidP="00231C30">
            <w:pPr>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0"/>
                <w:lang w:val="en-US"/>
              </w:rPr>
            </w:pPr>
            <w:r w:rsidRPr="00231C30">
              <w:rPr>
                <w:rFonts w:asciiTheme="minorHAnsi" w:hAnsiTheme="minorHAnsi"/>
                <w:szCs w:val="20"/>
                <w:lang w:val="en-US"/>
              </w:rPr>
              <w:t>Ministry of Agriculture and Forestry</w:t>
            </w:r>
          </w:p>
        </w:tc>
        <w:tc>
          <w:tcPr>
            <w:tcW w:w="2368" w:type="dxa"/>
          </w:tcPr>
          <w:p w:rsidR="00231C30" w:rsidRPr="00231C30" w:rsidRDefault="00231C30" w:rsidP="00231C30">
            <w:pPr>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0"/>
                <w:lang w:val="en-US"/>
              </w:rPr>
            </w:pPr>
            <w:r w:rsidRPr="00231C30">
              <w:rPr>
                <w:rFonts w:asciiTheme="minorHAnsi" w:hAnsiTheme="minorHAnsi"/>
                <w:szCs w:val="20"/>
                <w:lang w:val="en-US"/>
              </w:rPr>
              <w:t>Finland</w:t>
            </w:r>
          </w:p>
        </w:tc>
      </w:tr>
      <w:tr w:rsidR="00231C30" w:rsidRPr="00231C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231C30" w:rsidRPr="00231C30" w:rsidRDefault="00231C30" w:rsidP="00231C30">
            <w:pPr>
              <w:spacing w:after="0"/>
              <w:jc w:val="left"/>
              <w:rPr>
                <w:rFonts w:asciiTheme="minorHAnsi" w:hAnsiTheme="minorHAnsi"/>
                <w:szCs w:val="20"/>
                <w:lang w:val="en-US"/>
              </w:rPr>
            </w:pPr>
            <w:r w:rsidRPr="00231C30">
              <w:rPr>
                <w:rFonts w:asciiTheme="minorHAnsi" w:hAnsiTheme="minorHAnsi"/>
                <w:szCs w:val="20"/>
                <w:lang w:val="en-US"/>
              </w:rPr>
              <w:t>Ms. Saskia de Smidt</w:t>
            </w:r>
          </w:p>
        </w:tc>
        <w:tc>
          <w:tcPr>
            <w:tcW w:w="3969" w:type="dxa"/>
          </w:tcPr>
          <w:p w:rsidR="00231C30" w:rsidRPr="00231C30" w:rsidRDefault="00231C30" w:rsidP="00231C30">
            <w:pPr>
              <w:spacing w:after="0"/>
              <w:jc w:val="left"/>
              <w:cnfStyle w:val="000000010000" w:firstRow="0" w:lastRow="0" w:firstColumn="0" w:lastColumn="0" w:oddVBand="0" w:evenVBand="0" w:oddHBand="0" w:evenHBand="1" w:firstRowFirstColumn="0" w:firstRowLastColumn="0" w:lastRowFirstColumn="0" w:lastRowLastColumn="0"/>
              <w:rPr>
                <w:rFonts w:asciiTheme="minorHAnsi" w:hAnsiTheme="minorHAnsi"/>
                <w:szCs w:val="20"/>
                <w:lang w:val="en-US"/>
              </w:rPr>
            </w:pPr>
            <w:r w:rsidRPr="00231C30">
              <w:rPr>
                <w:rFonts w:asciiTheme="minorHAnsi" w:hAnsiTheme="minorHAnsi"/>
                <w:szCs w:val="20"/>
                <w:lang w:val="en-US"/>
              </w:rPr>
              <w:t>Ministry of Foreign Affairs</w:t>
            </w:r>
          </w:p>
        </w:tc>
        <w:tc>
          <w:tcPr>
            <w:tcW w:w="2368" w:type="dxa"/>
          </w:tcPr>
          <w:p w:rsidR="00231C30" w:rsidRPr="00231C30" w:rsidRDefault="00231C30" w:rsidP="00231C30">
            <w:pPr>
              <w:spacing w:after="0"/>
              <w:jc w:val="left"/>
              <w:cnfStyle w:val="000000010000" w:firstRow="0" w:lastRow="0" w:firstColumn="0" w:lastColumn="0" w:oddVBand="0" w:evenVBand="0" w:oddHBand="0" w:evenHBand="1" w:firstRowFirstColumn="0" w:firstRowLastColumn="0" w:lastRowFirstColumn="0" w:lastRowLastColumn="0"/>
              <w:rPr>
                <w:rFonts w:asciiTheme="minorHAnsi" w:hAnsiTheme="minorHAnsi"/>
                <w:szCs w:val="20"/>
                <w:lang w:val="en-US"/>
              </w:rPr>
            </w:pPr>
            <w:r w:rsidRPr="00231C30">
              <w:rPr>
                <w:rFonts w:asciiTheme="minorHAnsi" w:hAnsiTheme="minorHAnsi"/>
                <w:szCs w:val="20"/>
                <w:lang w:val="en-US"/>
              </w:rPr>
              <w:t>The Netherlands</w:t>
            </w:r>
          </w:p>
        </w:tc>
      </w:tr>
      <w:tr w:rsidR="00231C30" w:rsidRPr="0023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231C30" w:rsidRPr="00231C30" w:rsidRDefault="00231C30" w:rsidP="00231C30">
            <w:pPr>
              <w:spacing w:after="0"/>
              <w:jc w:val="left"/>
              <w:rPr>
                <w:rFonts w:asciiTheme="minorHAnsi" w:hAnsiTheme="minorHAnsi"/>
                <w:szCs w:val="20"/>
                <w:lang w:val="en-US"/>
              </w:rPr>
            </w:pPr>
            <w:r w:rsidRPr="00231C30">
              <w:rPr>
                <w:rFonts w:asciiTheme="minorHAnsi" w:hAnsiTheme="minorHAnsi"/>
                <w:szCs w:val="20"/>
                <w:lang w:val="en-US"/>
              </w:rPr>
              <w:t>Kerstin Jansson</w:t>
            </w:r>
          </w:p>
        </w:tc>
        <w:tc>
          <w:tcPr>
            <w:tcW w:w="3969" w:type="dxa"/>
          </w:tcPr>
          <w:p w:rsidR="00231C30" w:rsidRPr="00231C30" w:rsidRDefault="00231C30" w:rsidP="00231C30">
            <w:pPr>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0"/>
                <w:lang w:val="en-US"/>
              </w:rPr>
            </w:pPr>
            <w:r w:rsidRPr="00231C30">
              <w:rPr>
                <w:rFonts w:asciiTheme="minorHAnsi" w:hAnsiTheme="minorHAnsi"/>
                <w:szCs w:val="20"/>
                <w:lang w:val="en-US"/>
              </w:rPr>
              <w:t>Ministry of Agriculture</w:t>
            </w:r>
          </w:p>
        </w:tc>
        <w:tc>
          <w:tcPr>
            <w:tcW w:w="2368" w:type="dxa"/>
          </w:tcPr>
          <w:p w:rsidR="00231C30" w:rsidRPr="00231C30" w:rsidRDefault="00231C30" w:rsidP="00231C30">
            <w:pPr>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0"/>
                <w:lang w:val="en-US"/>
              </w:rPr>
            </w:pPr>
            <w:r w:rsidRPr="00231C30">
              <w:rPr>
                <w:rFonts w:asciiTheme="minorHAnsi" w:hAnsiTheme="minorHAnsi"/>
                <w:szCs w:val="20"/>
                <w:lang w:val="en-US"/>
              </w:rPr>
              <w:t>Sweden</w:t>
            </w:r>
          </w:p>
        </w:tc>
      </w:tr>
      <w:tr w:rsidR="00231C30" w:rsidRPr="00231C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231C30" w:rsidRPr="00231C30" w:rsidRDefault="00231C30" w:rsidP="00231C30">
            <w:pPr>
              <w:spacing w:after="0"/>
              <w:jc w:val="left"/>
              <w:rPr>
                <w:rFonts w:asciiTheme="minorHAnsi" w:hAnsiTheme="minorHAnsi"/>
                <w:szCs w:val="20"/>
                <w:lang w:val="en-US"/>
              </w:rPr>
            </w:pPr>
            <w:r w:rsidRPr="00231C30">
              <w:rPr>
                <w:rFonts w:asciiTheme="minorHAnsi" w:hAnsiTheme="minorHAnsi"/>
                <w:szCs w:val="20"/>
                <w:lang w:val="en-US"/>
              </w:rPr>
              <w:t>Carmina Ionescu</w:t>
            </w:r>
          </w:p>
        </w:tc>
        <w:tc>
          <w:tcPr>
            <w:tcW w:w="3969" w:type="dxa"/>
          </w:tcPr>
          <w:p w:rsidR="00231C30" w:rsidRPr="00231C30" w:rsidRDefault="00231C30" w:rsidP="00231C30">
            <w:pPr>
              <w:spacing w:after="0"/>
              <w:jc w:val="left"/>
              <w:cnfStyle w:val="000000010000" w:firstRow="0" w:lastRow="0" w:firstColumn="0" w:lastColumn="0" w:oddVBand="0" w:evenVBand="0" w:oddHBand="0" w:evenHBand="1" w:firstRowFirstColumn="0" w:firstRowLastColumn="0" w:lastRowFirstColumn="0" w:lastRowLastColumn="0"/>
              <w:rPr>
                <w:rFonts w:asciiTheme="minorHAnsi" w:hAnsiTheme="minorHAnsi"/>
                <w:szCs w:val="20"/>
                <w:lang w:val="en-US"/>
              </w:rPr>
            </w:pPr>
            <w:r w:rsidRPr="00231C30">
              <w:rPr>
                <w:rFonts w:asciiTheme="minorHAnsi" w:hAnsiTheme="minorHAnsi"/>
                <w:szCs w:val="20"/>
                <w:lang w:val="en-US"/>
              </w:rPr>
              <w:t>National Food Administration</w:t>
            </w:r>
          </w:p>
        </w:tc>
        <w:tc>
          <w:tcPr>
            <w:tcW w:w="2368" w:type="dxa"/>
          </w:tcPr>
          <w:p w:rsidR="00231C30" w:rsidRPr="00231C30" w:rsidRDefault="00231C30" w:rsidP="00231C30">
            <w:pPr>
              <w:spacing w:after="0"/>
              <w:jc w:val="left"/>
              <w:cnfStyle w:val="000000010000" w:firstRow="0" w:lastRow="0" w:firstColumn="0" w:lastColumn="0" w:oddVBand="0" w:evenVBand="0" w:oddHBand="0" w:evenHBand="1" w:firstRowFirstColumn="0" w:firstRowLastColumn="0" w:lastRowFirstColumn="0" w:lastRowLastColumn="0"/>
              <w:rPr>
                <w:rFonts w:asciiTheme="minorHAnsi" w:hAnsiTheme="minorHAnsi"/>
                <w:szCs w:val="20"/>
                <w:lang w:val="en-US"/>
              </w:rPr>
            </w:pPr>
            <w:r w:rsidRPr="00231C30">
              <w:rPr>
                <w:rFonts w:asciiTheme="minorHAnsi" w:hAnsiTheme="minorHAnsi"/>
                <w:szCs w:val="20"/>
                <w:lang w:val="en-US"/>
              </w:rPr>
              <w:t>Sweden</w:t>
            </w:r>
          </w:p>
        </w:tc>
      </w:tr>
      <w:tr w:rsidR="00231C30" w:rsidRPr="0023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231C30" w:rsidRPr="00231C30" w:rsidRDefault="00231C30" w:rsidP="00231C30">
            <w:pPr>
              <w:spacing w:after="0"/>
              <w:jc w:val="left"/>
              <w:rPr>
                <w:rFonts w:asciiTheme="minorHAnsi" w:hAnsiTheme="minorHAnsi"/>
                <w:szCs w:val="20"/>
                <w:lang w:val="en-US"/>
              </w:rPr>
            </w:pPr>
            <w:r w:rsidRPr="00231C30">
              <w:rPr>
                <w:rFonts w:asciiTheme="minorHAnsi" w:hAnsiTheme="minorHAnsi"/>
                <w:szCs w:val="20"/>
                <w:lang w:val="en-US"/>
              </w:rPr>
              <w:t>Erik Ringborg</w:t>
            </w:r>
          </w:p>
          <w:p w:rsidR="00231C30" w:rsidRPr="00231C30" w:rsidRDefault="00231C30" w:rsidP="00231C30">
            <w:pPr>
              <w:spacing w:after="0"/>
              <w:jc w:val="left"/>
              <w:rPr>
                <w:rFonts w:asciiTheme="minorHAnsi" w:hAnsiTheme="minorHAnsi"/>
                <w:szCs w:val="20"/>
                <w:lang w:val="en-US"/>
              </w:rPr>
            </w:pPr>
          </w:p>
        </w:tc>
        <w:tc>
          <w:tcPr>
            <w:tcW w:w="3969" w:type="dxa"/>
          </w:tcPr>
          <w:p w:rsidR="00231C30" w:rsidRPr="00231C30" w:rsidRDefault="00231C30" w:rsidP="00231C30">
            <w:pPr>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0"/>
                <w:lang w:val="en-US"/>
              </w:rPr>
            </w:pPr>
            <w:r w:rsidRPr="00231C30">
              <w:rPr>
                <w:rFonts w:asciiTheme="minorHAnsi" w:hAnsiTheme="minorHAnsi"/>
                <w:szCs w:val="20"/>
                <w:lang w:val="en-US"/>
              </w:rPr>
              <w:t>Swedish International Development Cooperation Agency (Sida)</w:t>
            </w:r>
          </w:p>
        </w:tc>
        <w:tc>
          <w:tcPr>
            <w:tcW w:w="2368" w:type="dxa"/>
          </w:tcPr>
          <w:p w:rsidR="00231C30" w:rsidRPr="00231C30" w:rsidRDefault="00231C30" w:rsidP="00231C30">
            <w:pPr>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0"/>
                <w:lang w:val="en-US"/>
              </w:rPr>
            </w:pPr>
            <w:r w:rsidRPr="00231C30">
              <w:rPr>
                <w:rFonts w:asciiTheme="minorHAnsi" w:hAnsiTheme="minorHAnsi"/>
                <w:szCs w:val="20"/>
                <w:lang w:val="en-US"/>
              </w:rPr>
              <w:t>Sweden</w:t>
            </w:r>
          </w:p>
        </w:tc>
      </w:tr>
      <w:tr w:rsidR="00231C30" w:rsidRPr="00231C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231C30" w:rsidRPr="00231C30" w:rsidRDefault="00231C30" w:rsidP="00231C30">
            <w:pPr>
              <w:spacing w:after="0"/>
              <w:jc w:val="left"/>
              <w:rPr>
                <w:rFonts w:asciiTheme="minorHAnsi" w:hAnsiTheme="minorHAnsi"/>
                <w:szCs w:val="20"/>
                <w:lang w:val="en-US"/>
              </w:rPr>
            </w:pPr>
            <w:r w:rsidRPr="00231C30">
              <w:rPr>
                <w:rFonts w:asciiTheme="minorHAnsi" w:hAnsiTheme="minorHAnsi"/>
                <w:szCs w:val="20"/>
                <w:lang w:val="en-US"/>
              </w:rPr>
              <w:t xml:space="preserve">Louise Horner </w:t>
            </w:r>
          </w:p>
        </w:tc>
        <w:tc>
          <w:tcPr>
            <w:tcW w:w="3969" w:type="dxa"/>
          </w:tcPr>
          <w:p w:rsidR="00231C30" w:rsidRPr="00231C30" w:rsidRDefault="00231C30" w:rsidP="00231C30">
            <w:pPr>
              <w:spacing w:after="0"/>
              <w:jc w:val="left"/>
              <w:cnfStyle w:val="000000010000" w:firstRow="0" w:lastRow="0" w:firstColumn="0" w:lastColumn="0" w:oddVBand="0" w:evenVBand="0" w:oddHBand="0" w:evenHBand="1" w:firstRowFirstColumn="0" w:firstRowLastColumn="0" w:lastRowFirstColumn="0" w:lastRowLastColumn="0"/>
              <w:rPr>
                <w:rFonts w:asciiTheme="minorHAnsi" w:hAnsiTheme="minorHAnsi"/>
                <w:szCs w:val="20"/>
                <w:lang w:val="en-US"/>
              </w:rPr>
            </w:pPr>
            <w:r w:rsidRPr="00231C30">
              <w:rPr>
                <w:rFonts w:asciiTheme="minorHAnsi" w:hAnsiTheme="minorHAnsi"/>
                <w:szCs w:val="20"/>
                <w:lang w:val="en-US"/>
              </w:rPr>
              <w:t>DFID</w:t>
            </w:r>
          </w:p>
        </w:tc>
        <w:tc>
          <w:tcPr>
            <w:tcW w:w="2368" w:type="dxa"/>
          </w:tcPr>
          <w:p w:rsidR="00231C30" w:rsidRPr="00231C30" w:rsidRDefault="00231C30" w:rsidP="00231C30">
            <w:pPr>
              <w:spacing w:after="0"/>
              <w:jc w:val="left"/>
              <w:cnfStyle w:val="000000010000" w:firstRow="0" w:lastRow="0" w:firstColumn="0" w:lastColumn="0" w:oddVBand="0" w:evenVBand="0" w:oddHBand="0" w:evenHBand="1" w:firstRowFirstColumn="0" w:firstRowLastColumn="0" w:lastRowFirstColumn="0" w:lastRowLastColumn="0"/>
              <w:rPr>
                <w:rFonts w:asciiTheme="minorHAnsi" w:hAnsiTheme="minorHAnsi"/>
                <w:szCs w:val="20"/>
                <w:lang w:val="en-US"/>
              </w:rPr>
            </w:pPr>
            <w:r w:rsidRPr="00231C30">
              <w:rPr>
                <w:rFonts w:asciiTheme="minorHAnsi" w:hAnsiTheme="minorHAnsi"/>
                <w:szCs w:val="20"/>
                <w:lang w:val="en-US"/>
              </w:rPr>
              <w:t>UK</w:t>
            </w:r>
          </w:p>
        </w:tc>
      </w:tr>
      <w:tr w:rsidR="00231C30" w:rsidRPr="0023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231C30" w:rsidRPr="00231C30" w:rsidRDefault="00231C30" w:rsidP="00231C30">
            <w:pPr>
              <w:spacing w:after="0"/>
              <w:jc w:val="left"/>
              <w:rPr>
                <w:rFonts w:asciiTheme="minorHAnsi" w:hAnsiTheme="minorHAnsi"/>
                <w:szCs w:val="20"/>
                <w:lang w:val="en-US"/>
              </w:rPr>
            </w:pPr>
            <w:r w:rsidRPr="00231C30">
              <w:rPr>
                <w:rFonts w:asciiTheme="minorHAnsi" w:hAnsiTheme="minorHAnsi"/>
                <w:szCs w:val="20"/>
                <w:lang w:val="en-US"/>
              </w:rPr>
              <w:t>Ms Karen Stuck</w:t>
            </w:r>
          </w:p>
        </w:tc>
        <w:tc>
          <w:tcPr>
            <w:tcW w:w="3969" w:type="dxa"/>
          </w:tcPr>
          <w:p w:rsidR="00231C30" w:rsidRPr="00231C30" w:rsidRDefault="00231C30" w:rsidP="00231C30">
            <w:pPr>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0"/>
                <w:lang w:val="en-US"/>
              </w:rPr>
            </w:pPr>
            <w:r w:rsidRPr="00231C30">
              <w:rPr>
                <w:rFonts w:asciiTheme="minorHAnsi" w:hAnsiTheme="minorHAnsi"/>
                <w:szCs w:val="20"/>
                <w:lang w:val="en-US"/>
              </w:rPr>
              <w:t>U.S. Department of Agriculture</w:t>
            </w:r>
          </w:p>
        </w:tc>
        <w:tc>
          <w:tcPr>
            <w:tcW w:w="2368" w:type="dxa"/>
          </w:tcPr>
          <w:p w:rsidR="00231C30" w:rsidRPr="00231C30" w:rsidRDefault="00231C30" w:rsidP="00231C30">
            <w:pPr>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0"/>
                <w:lang w:val="en-US"/>
              </w:rPr>
            </w:pPr>
            <w:r w:rsidRPr="00231C30">
              <w:rPr>
                <w:rFonts w:asciiTheme="minorHAnsi" w:hAnsiTheme="minorHAnsi"/>
                <w:szCs w:val="20"/>
                <w:lang w:val="en-US"/>
              </w:rPr>
              <w:t>USA</w:t>
            </w:r>
          </w:p>
        </w:tc>
      </w:tr>
      <w:tr w:rsidR="00231C30" w:rsidRPr="00231C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231C30" w:rsidRPr="00231C30" w:rsidRDefault="00231C30" w:rsidP="00231C30">
            <w:pPr>
              <w:spacing w:after="0"/>
              <w:jc w:val="left"/>
              <w:rPr>
                <w:rFonts w:asciiTheme="minorHAnsi" w:hAnsiTheme="minorHAnsi"/>
                <w:szCs w:val="20"/>
                <w:lang w:val="en-US"/>
              </w:rPr>
            </w:pPr>
            <w:r w:rsidRPr="00231C30">
              <w:rPr>
                <w:rFonts w:asciiTheme="minorHAnsi" w:hAnsiTheme="minorHAnsi"/>
                <w:szCs w:val="20"/>
                <w:lang w:val="en-US"/>
              </w:rPr>
              <w:t>Dr. H. Michael Wehr</w:t>
            </w:r>
          </w:p>
        </w:tc>
        <w:tc>
          <w:tcPr>
            <w:tcW w:w="3969" w:type="dxa"/>
          </w:tcPr>
          <w:p w:rsidR="00231C30" w:rsidRPr="00231C30" w:rsidRDefault="00231C30" w:rsidP="00231C30">
            <w:pPr>
              <w:spacing w:after="0"/>
              <w:jc w:val="left"/>
              <w:cnfStyle w:val="000000010000" w:firstRow="0" w:lastRow="0" w:firstColumn="0" w:lastColumn="0" w:oddVBand="0" w:evenVBand="0" w:oddHBand="0" w:evenHBand="1" w:firstRowFirstColumn="0" w:firstRowLastColumn="0" w:lastRowFirstColumn="0" w:lastRowLastColumn="0"/>
              <w:rPr>
                <w:rFonts w:asciiTheme="minorHAnsi" w:hAnsiTheme="minorHAnsi"/>
                <w:szCs w:val="20"/>
                <w:lang w:val="en-US"/>
              </w:rPr>
            </w:pPr>
            <w:r w:rsidRPr="00231C30">
              <w:rPr>
                <w:rFonts w:asciiTheme="minorHAnsi" w:hAnsiTheme="minorHAnsi"/>
                <w:szCs w:val="20"/>
                <w:lang w:val="en-US"/>
              </w:rPr>
              <w:t>U.S. Food and Drug Administration</w:t>
            </w:r>
          </w:p>
        </w:tc>
        <w:tc>
          <w:tcPr>
            <w:tcW w:w="2368" w:type="dxa"/>
          </w:tcPr>
          <w:p w:rsidR="00231C30" w:rsidRPr="00231C30" w:rsidRDefault="00231C30" w:rsidP="00231C30">
            <w:pPr>
              <w:spacing w:after="0"/>
              <w:jc w:val="left"/>
              <w:cnfStyle w:val="000000010000" w:firstRow="0" w:lastRow="0" w:firstColumn="0" w:lastColumn="0" w:oddVBand="0" w:evenVBand="0" w:oddHBand="0" w:evenHBand="1" w:firstRowFirstColumn="0" w:firstRowLastColumn="0" w:lastRowFirstColumn="0" w:lastRowLastColumn="0"/>
              <w:rPr>
                <w:rFonts w:asciiTheme="minorHAnsi" w:hAnsiTheme="minorHAnsi"/>
                <w:szCs w:val="20"/>
                <w:lang w:val="en-US"/>
              </w:rPr>
            </w:pPr>
            <w:r w:rsidRPr="00231C30">
              <w:rPr>
                <w:rFonts w:asciiTheme="minorHAnsi" w:hAnsiTheme="minorHAnsi"/>
                <w:szCs w:val="20"/>
                <w:lang w:val="en-US"/>
              </w:rPr>
              <w:t>USA</w:t>
            </w:r>
          </w:p>
        </w:tc>
      </w:tr>
      <w:tr w:rsidR="00231C30" w:rsidRPr="0023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231C30" w:rsidRPr="00231C30" w:rsidRDefault="00231C30" w:rsidP="00231C30">
            <w:pPr>
              <w:spacing w:after="0"/>
              <w:jc w:val="left"/>
              <w:rPr>
                <w:rFonts w:asciiTheme="minorHAnsi" w:hAnsiTheme="minorHAnsi"/>
                <w:szCs w:val="20"/>
                <w:lang w:val="en-US"/>
              </w:rPr>
            </w:pPr>
            <w:r w:rsidRPr="00231C30">
              <w:rPr>
                <w:rFonts w:asciiTheme="minorHAnsi" w:hAnsiTheme="minorHAnsi"/>
                <w:szCs w:val="20"/>
                <w:lang w:val="en-US"/>
              </w:rPr>
              <w:t>Ms. Camille Brewer</w:t>
            </w:r>
          </w:p>
        </w:tc>
        <w:tc>
          <w:tcPr>
            <w:tcW w:w="3969" w:type="dxa"/>
          </w:tcPr>
          <w:p w:rsidR="00231C30" w:rsidRPr="00231C30" w:rsidRDefault="00231C30" w:rsidP="00231C30">
            <w:pPr>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0"/>
                <w:lang w:val="en-US"/>
              </w:rPr>
            </w:pPr>
            <w:r w:rsidRPr="00231C30">
              <w:rPr>
                <w:rFonts w:asciiTheme="minorHAnsi" w:hAnsiTheme="minorHAnsi"/>
                <w:szCs w:val="20"/>
                <w:lang w:val="en-US"/>
              </w:rPr>
              <w:t>U.S. Food and Drug Administration</w:t>
            </w:r>
          </w:p>
        </w:tc>
        <w:tc>
          <w:tcPr>
            <w:tcW w:w="2368" w:type="dxa"/>
          </w:tcPr>
          <w:p w:rsidR="00231C30" w:rsidRPr="00231C30" w:rsidRDefault="00231C30" w:rsidP="00231C30">
            <w:pPr>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0"/>
                <w:lang w:val="en-US"/>
              </w:rPr>
            </w:pPr>
            <w:r w:rsidRPr="00231C30">
              <w:rPr>
                <w:rFonts w:asciiTheme="minorHAnsi" w:hAnsiTheme="minorHAnsi"/>
                <w:szCs w:val="20"/>
                <w:lang w:val="en-US"/>
              </w:rPr>
              <w:t>USA</w:t>
            </w:r>
          </w:p>
        </w:tc>
      </w:tr>
      <w:tr w:rsidR="00231C30" w:rsidRPr="00231C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231C30" w:rsidRPr="00231C30" w:rsidRDefault="00231C30" w:rsidP="00231C30">
            <w:pPr>
              <w:spacing w:after="0"/>
              <w:jc w:val="left"/>
              <w:rPr>
                <w:rFonts w:asciiTheme="minorHAnsi" w:hAnsiTheme="minorHAnsi"/>
                <w:szCs w:val="20"/>
                <w:lang w:val="en-US"/>
              </w:rPr>
            </w:pPr>
            <w:r w:rsidRPr="00231C30">
              <w:rPr>
                <w:rFonts w:asciiTheme="minorHAnsi" w:hAnsiTheme="minorHAnsi"/>
                <w:szCs w:val="20"/>
                <w:lang w:val="en-US"/>
              </w:rPr>
              <w:t>Mr. Richard Capwell</w:t>
            </w:r>
          </w:p>
        </w:tc>
        <w:tc>
          <w:tcPr>
            <w:tcW w:w="3969" w:type="dxa"/>
          </w:tcPr>
          <w:p w:rsidR="00231C30" w:rsidRPr="00231C30" w:rsidRDefault="00231C30" w:rsidP="00231C30">
            <w:pPr>
              <w:spacing w:after="0"/>
              <w:jc w:val="left"/>
              <w:cnfStyle w:val="000000010000" w:firstRow="0" w:lastRow="0" w:firstColumn="0" w:lastColumn="0" w:oddVBand="0" w:evenVBand="0" w:oddHBand="0" w:evenHBand="1" w:firstRowFirstColumn="0" w:firstRowLastColumn="0" w:lastRowFirstColumn="0" w:lastRowLastColumn="0"/>
              <w:rPr>
                <w:rFonts w:asciiTheme="minorHAnsi" w:hAnsiTheme="minorHAnsi"/>
                <w:szCs w:val="20"/>
                <w:lang w:val="en-US"/>
              </w:rPr>
            </w:pPr>
            <w:r w:rsidRPr="00231C30">
              <w:rPr>
                <w:rFonts w:asciiTheme="minorHAnsi" w:hAnsiTheme="minorHAnsi"/>
                <w:szCs w:val="20"/>
                <w:lang w:val="en-US"/>
              </w:rPr>
              <w:t>U.S. Department of Agriculture</w:t>
            </w:r>
          </w:p>
        </w:tc>
        <w:tc>
          <w:tcPr>
            <w:tcW w:w="2368" w:type="dxa"/>
          </w:tcPr>
          <w:p w:rsidR="00231C30" w:rsidRPr="00231C30" w:rsidRDefault="00231C30" w:rsidP="00231C30">
            <w:pPr>
              <w:spacing w:after="0"/>
              <w:jc w:val="left"/>
              <w:cnfStyle w:val="000000010000" w:firstRow="0" w:lastRow="0" w:firstColumn="0" w:lastColumn="0" w:oddVBand="0" w:evenVBand="0" w:oddHBand="0" w:evenHBand="1" w:firstRowFirstColumn="0" w:firstRowLastColumn="0" w:lastRowFirstColumn="0" w:lastRowLastColumn="0"/>
              <w:rPr>
                <w:rFonts w:asciiTheme="minorHAnsi" w:hAnsiTheme="minorHAnsi"/>
                <w:szCs w:val="20"/>
                <w:lang w:val="en-US"/>
              </w:rPr>
            </w:pPr>
            <w:r w:rsidRPr="00231C30">
              <w:rPr>
                <w:rFonts w:asciiTheme="minorHAnsi" w:hAnsiTheme="minorHAnsi"/>
                <w:szCs w:val="20"/>
                <w:lang w:val="en-US"/>
              </w:rPr>
              <w:t>USA</w:t>
            </w:r>
          </w:p>
        </w:tc>
      </w:tr>
      <w:tr w:rsidR="00231C30" w:rsidRPr="0023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231C30" w:rsidRPr="00231C30" w:rsidRDefault="00231C30" w:rsidP="00231C30">
            <w:pPr>
              <w:spacing w:after="0"/>
              <w:jc w:val="left"/>
              <w:rPr>
                <w:rFonts w:asciiTheme="minorHAnsi" w:hAnsiTheme="minorHAnsi"/>
                <w:szCs w:val="20"/>
                <w:lang w:val="en-US"/>
              </w:rPr>
            </w:pPr>
            <w:r w:rsidRPr="00231C30">
              <w:rPr>
                <w:rFonts w:asciiTheme="minorHAnsi" w:hAnsiTheme="minorHAnsi"/>
                <w:szCs w:val="20"/>
                <w:lang w:val="en-US"/>
              </w:rPr>
              <w:t>Ms. Renee Hancher</w:t>
            </w:r>
          </w:p>
        </w:tc>
        <w:tc>
          <w:tcPr>
            <w:tcW w:w="3969" w:type="dxa"/>
          </w:tcPr>
          <w:p w:rsidR="00231C30" w:rsidRPr="00231C30" w:rsidRDefault="00231C30" w:rsidP="00231C30">
            <w:pPr>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0"/>
                <w:lang w:val="en-US"/>
              </w:rPr>
            </w:pPr>
            <w:r w:rsidRPr="00231C30">
              <w:rPr>
                <w:rFonts w:asciiTheme="minorHAnsi" w:hAnsiTheme="minorHAnsi"/>
                <w:szCs w:val="20"/>
                <w:lang w:val="en-US"/>
              </w:rPr>
              <w:t>U.S. Department of Commerce</w:t>
            </w:r>
          </w:p>
        </w:tc>
        <w:tc>
          <w:tcPr>
            <w:tcW w:w="2368" w:type="dxa"/>
          </w:tcPr>
          <w:p w:rsidR="00231C30" w:rsidRPr="00231C30" w:rsidRDefault="00231C30" w:rsidP="00231C30">
            <w:pPr>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0"/>
                <w:lang w:val="en-US"/>
              </w:rPr>
            </w:pPr>
            <w:r w:rsidRPr="00231C30">
              <w:rPr>
                <w:rFonts w:asciiTheme="minorHAnsi" w:hAnsiTheme="minorHAnsi"/>
                <w:szCs w:val="20"/>
                <w:lang w:val="en-US"/>
              </w:rPr>
              <w:t>USA</w:t>
            </w:r>
          </w:p>
        </w:tc>
      </w:tr>
      <w:tr w:rsidR="00231C30" w:rsidRPr="00231C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231C30" w:rsidRPr="00231C30" w:rsidRDefault="00231C30" w:rsidP="00231C30">
            <w:pPr>
              <w:spacing w:after="0"/>
              <w:jc w:val="left"/>
              <w:rPr>
                <w:rFonts w:asciiTheme="minorHAnsi" w:hAnsiTheme="minorHAnsi"/>
                <w:szCs w:val="20"/>
                <w:lang w:val="en-US"/>
              </w:rPr>
            </w:pPr>
            <w:r w:rsidRPr="00231C30">
              <w:rPr>
                <w:rFonts w:asciiTheme="minorHAnsi" w:hAnsiTheme="minorHAnsi"/>
                <w:szCs w:val="20"/>
                <w:lang w:val="en-US"/>
              </w:rPr>
              <w:t>NN</w:t>
            </w:r>
          </w:p>
        </w:tc>
        <w:tc>
          <w:tcPr>
            <w:tcW w:w="3969" w:type="dxa"/>
          </w:tcPr>
          <w:p w:rsidR="00231C30" w:rsidRPr="00231C30" w:rsidRDefault="00231C30" w:rsidP="00231C30">
            <w:pPr>
              <w:spacing w:after="0"/>
              <w:jc w:val="left"/>
              <w:cnfStyle w:val="000000010000" w:firstRow="0" w:lastRow="0" w:firstColumn="0" w:lastColumn="0" w:oddVBand="0" w:evenVBand="0" w:oddHBand="0" w:evenHBand="1" w:firstRowFirstColumn="0" w:firstRowLastColumn="0" w:lastRowFirstColumn="0" w:lastRowLastColumn="0"/>
              <w:rPr>
                <w:rFonts w:asciiTheme="minorHAnsi" w:hAnsiTheme="minorHAnsi"/>
                <w:szCs w:val="20"/>
                <w:lang w:val="en-US"/>
              </w:rPr>
            </w:pPr>
            <w:r w:rsidRPr="00231C30">
              <w:rPr>
                <w:rFonts w:asciiTheme="minorHAnsi" w:hAnsiTheme="minorHAnsi"/>
                <w:szCs w:val="20"/>
                <w:lang w:val="en-US"/>
              </w:rPr>
              <w:t>Ministry of Agriculture, Forestry and Fisheries</w:t>
            </w:r>
          </w:p>
        </w:tc>
        <w:tc>
          <w:tcPr>
            <w:tcW w:w="2368" w:type="dxa"/>
          </w:tcPr>
          <w:p w:rsidR="00231C30" w:rsidRPr="00231C30" w:rsidRDefault="00231C30" w:rsidP="00231C30">
            <w:pPr>
              <w:spacing w:after="0"/>
              <w:jc w:val="left"/>
              <w:cnfStyle w:val="000000010000" w:firstRow="0" w:lastRow="0" w:firstColumn="0" w:lastColumn="0" w:oddVBand="0" w:evenVBand="0" w:oddHBand="0" w:evenHBand="1" w:firstRowFirstColumn="0" w:firstRowLastColumn="0" w:lastRowFirstColumn="0" w:lastRowLastColumn="0"/>
              <w:rPr>
                <w:rFonts w:asciiTheme="minorHAnsi" w:hAnsiTheme="minorHAnsi"/>
                <w:szCs w:val="20"/>
                <w:lang w:val="en-US"/>
              </w:rPr>
            </w:pPr>
            <w:r w:rsidRPr="00231C30">
              <w:rPr>
                <w:rFonts w:asciiTheme="minorHAnsi" w:hAnsiTheme="minorHAnsi"/>
                <w:szCs w:val="20"/>
                <w:lang w:val="en-US"/>
              </w:rPr>
              <w:t xml:space="preserve">Japan </w:t>
            </w:r>
            <w:r w:rsidRPr="00231C30">
              <w:rPr>
                <w:rFonts w:asciiTheme="minorHAnsi" w:hAnsiTheme="minorHAnsi"/>
                <w:szCs w:val="20"/>
                <w:lang w:val="en-GB"/>
              </w:rPr>
              <w:t>(e-mail communication)</w:t>
            </w:r>
          </w:p>
        </w:tc>
      </w:tr>
      <w:tr w:rsidR="00231C30" w:rsidRPr="0023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231C30" w:rsidRPr="00231C30" w:rsidRDefault="00231C30" w:rsidP="00231C30">
            <w:pPr>
              <w:spacing w:after="0"/>
              <w:jc w:val="left"/>
              <w:rPr>
                <w:rFonts w:asciiTheme="minorHAnsi" w:hAnsiTheme="minorHAnsi"/>
                <w:szCs w:val="20"/>
                <w:lang w:val="en-US"/>
              </w:rPr>
            </w:pPr>
            <w:r w:rsidRPr="00231C30">
              <w:rPr>
                <w:rFonts w:asciiTheme="minorHAnsi" w:hAnsiTheme="minorHAnsi"/>
                <w:szCs w:val="20"/>
                <w:lang w:val="en-US"/>
              </w:rPr>
              <w:t>NN</w:t>
            </w:r>
          </w:p>
        </w:tc>
        <w:tc>
          <w:tcPr>
            <w:tcW w:w="3969" w:type="dxa"/>
          </w:tcPr>
          <w:p w:rsidR="00231C30" w:rsidRPr="00231C30" w:rsidRDefault="00231C30" w:rsidP="00231C30">
            <w:pPr>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0"/>
                <w:lang w:val="en-US"/>
              </w:rPr>
            </w:pPr>
            <w:r w:rsidRPr="00231C30">
              <w:rPr>
                <w:rFonts w:asciiTheme="minorHAnsi" w:hAnsiTheme="minorHAnsi"/>
                <w:szCs w:val="20"/>
                <w:lang w:val="en-US"/>
              </w:rPr>
              <w:t>Ministry of Health, Labour and Welfare</w:t>
            </w:r>
          </w:p>
        </w:tc>
        <w:tc>
          <w:tcPr>
            <w:tcW w:w="2368" w:type="dxa"/>
          </w:tcPr>
          <w:p w:rsidR="00231C30" w:rsidRPr="00231C30" w:rsidRDefault="00231C30" w:rsidP="00231C30">
            <w:pPr>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0"/>
                <w:lang w:val="en-US"/>
              </w:rPr>
            </w:pPr>
            <w:r w:rsidRPr="00231C30">
              <w:rPr>
                <w:rFonts w:asciiTheme="minorHAnsi" w:hAnsiTheme="minorHAnsi"/>
                <w:szCs w:val="20"/>
                <w:lang w:val="en-US"/>
              </w:rPr>
              <w:t xml:space="preserve">Japan </w:t>
            </w:r>
            <w:r w:rsidRPr="00231C30">
              <w:rPr>
                <w:rFonts w:asciiTheme="minorHAnsi" w:hAnsiTheme="minorHAnsi"/>
                <w:szCs w:val="20"/>
                <w:lang w:val="en-GB"/>
              </w:rPr>
              <w:t>(e-mail communication)</w:t>
            </w:r>
          </w:p>
        </w:tc>
      </w:tr>
      <w:tr w:rsidR="00231C30" w:rsidRPr="00231C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231C30" w:rsidRPr="00231C30" w:rsidRDefault="00231C30" w:rsidP="00231C30">
            <w:pPr>
              <w:spacing w:after="0"/>
              <w:jc w:val="left"/>
              <w:rPr>
                <w:rFonts w:asciiTheme="minorHAnsi" w:hAnsiTheme="minorHAnsi"/>
                <w:szCs w:val="20"/>
              </w:rPr>
            </w:pPr>
            <w:r w:rsidRPr="00231C30">
              <w:rPr>
                <w:rFonts w:asciiTheme="minorHAnsi" w:hAnsiTheme="minorHAnsi"/>
                <w:szCs w:val="20"/>
              </w:rPr>
              <w:t xml:space="preserve">Raj Rajasekar </w:t>
            </w:r>
          </w:p>
        </w:tc>
        <w:tc>
          <w:tcPr>
            <w:tcW w:w="3969" w:type="dxa"/>
          </w:tcPr>
          <w:p w:rsidR="00231C30" w:rsidRPr="00231C30" w:rsidRDefault="00231C30" w:rsidP="00231C30">
            <w:pPr>
              <w:spacing w:after="0"/>
              <w:jc w:val="left"/>
              <w:cnfStyle w:val="000000010000" w:firstRow="0" w:lastRow="0" w:firstColumn="0" w:lastColumn="0" w:oddVBand="0" w:evenVBand="0" w:oddHBand="0" w:evenHBand="1" w:firstRowFirstColumn="0" w:firstRowLastColumn="0" w:lastRowFirstColumn="0" w:lastRowLastColumn="0"/>
              <w:rPr>
                <w:rFonts w:asciiTheme="minorHAnsi" w:hAnsiTheme="minorHAnsi"/>
                <w:szCs w:val="20"/>
                <w:lang w:val="en-US"/>
              </w:rPr>
            </w:pPr>
            <w:r w:rsidRPr="00231C30">
              <w:rPr>
                <w:rFonts w:asciiTheme="minorHAnsi" w:hAnsiTheme="minorHAnsi"/>
                <w:szCs w:val="20"/>
                <w:lang w:val="en-US"/>
              </w:rPr>
              <w:t>New Zealand Food Safety Authority</w:t>
            </w:r>
          </w:p>
        </w:tc>
        <w:tc>
          <w:tcPr>
            <w:tcW w:w="2368" w:type="dxa"/>
          </w:tcPr>
          <w:p w:rsidR="00231C30" w:rsidRPr="00231C30" w:rsidRDefault="00231C30" w:rsidP="00231C30">
            <w:pPr>
              <w:spacing w:after="0"/>
              <w:jc w:val="left"/>
              <w:cnfStyle w:val="000000010000" w:firstRow="0" w:lastRow="0" w:firstColumn="0" w:lastColumn="0" w:oddVBand="0" w:evenVBand="0" w:oddHBand="0" w:evenHBand="1" w:firstRowFirstColumn="0" w:firstRowLastColumn="0" w:lastRowFirstColumn="0" w:lastRowLastColumn="0"/>
              <w:rPr>
                <w:rFonts w:asciiTheme="minorHAnsi" w:hAnsiTheme="minorHAnsi"/>
                <w:szCs w:val="20"/>
                <w:lang w:val="en-US"/>
              </w:rPr>
            </w:pPr>
            <w:r w:rsidRPr="00231C30">
              <w:rPr>
                <w:rFonts w:asciiTheme="minorHAnsi" w:hAnsiTheme="minorHAnsi"/>
                <w:szCs w:val="20"/>
                <w:lang w:val="en-US"/>
              </w:rPr>
              <w:t xml:space="preserve">New Zeeland </w:t>
            </w:r>
            <w:r w:rsidRPr="00231C30">
              <w:rPr>
                <w:rFonts w:asciiTheme="minorHAnsi" w:hAnsiTheme="minorHAnsi"/>
                <w:szCs w:val="20"/>
                <w:lang w:val="en-GB"/>
              </w:rPr>
              <w:t>(e-mail communication)</w:t>
            </w:r>
          </w:p>
        </w:tc>
      </w:tr>
      <w:tr w:rsidR="00231C30" w:rsidRPr="0023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231C30" w:rsidRPr="00231C30" w:rsidRDefault="00231C30" w:rsidP="00231C30">
            <w:pPr>
              <w:spacing w:after="0"/>
              <w:jc w:val="left"/>
              <w:rPr>
                <w:rFonts w:asciiTheme="minorHAnsi" w:hAnsiTheme="minorHAnsi"/>
                <w:szCs w:val="20"/>
                <w:lang w:val="en-US"/>
              </w:rPr>
            </w:pPr>
          </w:p>
        </w:tc>
        <w:tc>
          <w:tcPr>
            <w:tcW w:w="3969" w:type="dxa"/>
          </w:tcPr>
          <w:p w:rsidR="00231C30" w:rsidRPr="00231C30" w:rsidRDefault="00231C30" w:rsidP="00231C30">
            <w:pPr>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0"/>
                <w:lang w:val="en-US"/>
              </w:rPr>
            </w:pPr>
          </w:p>
        </w:tc>
        <w:tc>
          <w:tcPr>
            <w:tcW w:w="2368" w:type="dxa"/>
          </w:tcPr>
          <w:p w:rsidR="00231C30" w:rsidRPr="00231C30" w:rsidRDefault="00231C30" w:rsidP="00231C30">
            <w:pPr>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0"/>
                <w:lang w:val="en-US"/>
              </w:rPr>
            </w:pPr>
          </w:p>
        </w:tc>
      </w:tr>
      <w:tr w:rsidR="00231C30" w:rsidRPr="00231C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231C30" w:rsidRPr="00231C30" w:rsidRDefault="00231C30" w:rsidP="00231C30">
            <w:pPr>
              <w:spacing w:after="0"/>
              <w:jc w:val="left"/>
              <w:rPr>
                <w:rFonts w:asciiTheme="minorHAnsi" w:hAnsiTheme="minorHAnsi"/>
                <w:b/>
                <w:szCs w:val="20"/>
                <w:lang w:val="en-US"/>
              </w:rPr>
            </w:pPr>
            <w:r w:rsidRPr="00231C30">
              <w:rPr>
                <w:rFonts w:asciiTheme="minorHAnsi" w:hAnsiTheme="minorHAnsi"/>
                <w:b/>
                <w:szCs w:val="20"/>
                <w:lang w:val="en-US"/>
              </w:rPr>
              <w:t>CTF Secretariat and stakeholders</w:t>
            </w:r>
          </w:p>
        </w:tc>
        <w:tc>
          <w:tcPr>
            <w:tcW w:w="3969" w:type="dxa"/>
          </w:tcPr>
          <w:p w:rsidR="00231C30" w:rsidRPr="00231C30" w:rsidRDefault="00231C30" w:rsidP="00231C30">
            <w:pPr>
              <w:spacing w:after="0"/>
              <w:jc w:val="left"/>
              <w:cnfStyle w:val="000000010000" w:firstRow="0" w:lastRow="0" w:firstColumn="0" w:lastColumn="0" w:oddVBand="0" w:evenVBand="0" w:oddHBand="0" w:evenHBand="1" w:firstRowFirstColumn="0" w:firstRowLastColumn="0" w:lastRowFirstColumn="0" w:lastRowLastColumn="0"/>
              <w:rPr>
                <w:rFonts w:asciiTheme="minorHAnsi" w:hAnsiTheme="minorHAnsi"/>
                <w:szCs w:val="20"/>
                <w:lang w:val="en-US"/>
              </w:rPr>
            </w:pPr>
          </w:p>
        </w:tc>
        <w:tc>
          <w:tcPr>
            <w:tcW w:w="2368" w:type="dxa"/>
          </w:tcPr>
          <w:p w:rsidR="00231C30" w:rsidRPr="00231C30" w:rsidRDefault="00231C30" w:rsidP="00231C30">
            <w:pPr>
              <w:spacing w:after="0"/>
              <w:jc w:val="left"/>
              <w:cnfStyle w:val="000000010000" w:firstRow="0" w:lastRow="0" w:firstColumn="0" w:lastColumn="0" w:oddVBand="0" w:evenVBand="0" w:oddHBand="0" w:evenHBand="1" w:firstRowFirstColumn="0" w:firstRowLastColumn="0" w:lastRowFirstColumn="0" w:lastRowLastColumn="0"/>
              <w:rPr>
                <w:rFonts w:asciiTheme="minorHAnsi" w:hAnsiTheme="minorHAnsi"/>
                <w:szCs w:val="20"/>
                <w:lang w:val="en-US"/>
              </w:rPr>
            </w:pPr>
          </w:p>
        </w:tc>
      </w:tr>
      <w:tr w:rsidR="00231C30" w:rsidRPr="0023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231C30" w:rsidRPr="00231C30" w:rsidRDefault="00231C30" w:rsidP="00231C30">
            <w:pPr>
              <w:spacing w:after="0"/>
              <w:jc w:val="left"/>
              <w:rPr>
                <w:rFonts w:asciiTheme="minorHAnsi" w:hAnsiTheme="minorHAnsi"/>
                <w:szCs w:val="20"/>
                <w:lang w:val="en-US"/>
              </w:rPr>
            </w:pPr>
            <w:r w:rsidRPr="00231C30">
              <w:rPr>
                <w:rFonts w:asciiTheme="minorHAnsi" w:hAnsiTheme="minorHAnsi"/>
                <w:szCs w:val="20"/>
                <w:lang w:val="en-US"/>
              </w:rPr>
              <w:t xml:space="preserve">Catherine Mulholland </w:t>
            </w:r>
          </w:p>
        </w:tc>
        <w:tc>
          <w:tcPr>
            <w:tcW w:w="3969" w:type="dxa"/>
          </w:tcPr>
          <w:p w:rsidR="00231C30" w:rsidRPr="00231C30" w:rsidRDefault="00231C30" w:rsidP="00231C30">
            <w:pPr>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0"/>
                <w:lang w:val="en-US"/>
              </w:rPr>
            </w:pPr>
            <w:r w:rsidRPr="00231C30">
              <w:rPr>
                <w:rFonts w:asciiTheme="minorHAnsi" w:hAnsiTheme="minorHAnsi"/>
                <w:szCs w:val="20"/>
                <w:lang w:val="en-US"/>
              </w:rPr>
              <w:t>FAO/WHO Codex Trust Fund</w:t>
            </w:r>
          </w:p>
        </w:tc>
        <w:tc>
          <w:tcPr>
            <w:tcW w:w="2368" w:type="dxa"/>
          </w:tcPr>
          <w:p w:rsidR="00231C30" w:rsidRPr="00231C30" w:rsidRDefault="00231C30" w:rsidP="00231C30">
            <w:pPr>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0"/>
                <w:lang w:val="en-US"/>
              </w:rPr>
            </w:pPr>
            <w:r w:rsidRPr="00231C30">
              <w:rPr>
                <w:rFonts w:asciiTheme="minorHAnsi" w:hAnsiTheme="minorHAnsi"/>
                <w:szCs w:val="20"/>
                <w:lang w:val="en-US"/>
              </w:rPr>
              <w:t>Switzerland</w:t>
            </w:r>
          </w:p>
        </w:tc>
      </w:tr>
      <w:tr w:rsidR="00231C30" w:rsidRPr="00231C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231C30" w:rsidRPr="00231C30" w:rsidRDefault="00231C30" w:rsidP="00231C30">
            <w:pPr>
              <w:spacing w:after="0"/>
              <w:jc w:val="left"/>
              <w:rPr>
                <w:rFonts w:asciiTheme="minorHAnsi" w:hAnsiTheme="minorHAnsi"/>
                <w:szCs w:val="20"/>
                <w:lang w:val="en-US"/>
              </w:rPr>
            </w:pPr>
            <w:r w:rsidRPr="00231C30">
              <w:rPr>
                <w:rFonts w:asciiTheme="minorHAnsi" w:hAnsiTheme="minorHAnsi"/>
                <w:szCs w:val="20"/>
                <w:lang w:val="en-US"/>
              </w:rPr>
              <w:t>Noha Yunis</w:t>
            </w:r>
          </w:p>
        </w:tc>
        <w:tc>
          <w:tcPr>
            <w:tcW w:w="3969" w:type="dxa"/>
          </w:tcPr>
          <w:p w:rsidR="00231C30" w:rsidRPr="00231C30" w:rsidRDefault="00231C30" w:rsidP="00231C30">
            <w:pPr>
              <w:spacing w:after="0"/>
              <w:jc w:val="left"/>
              <w:cnfStyle w:val="000000010000" w:firstRow="0" w:lastRow="0" w:firstColumn="0" w:lastColumn="0" w:oddVBand="0" w:evenVBand="0" w:oddHBand="0" w:evenHBand="1" w:firstRowFirstColumn="0" w:firstRowLastColumn="0" w:lastRowFirstColumn="0" w:lastRowLastColumn="0"/>
              <w:rPr>
                <w:rFonts w:asciiTheme="minorHAnsi" w:hAnsiTheme="minorHAnsi"/>
                <w:szCs w:val="20"/>
                <w:lang w:val="en-US"/>
              </w:rPr>
            </w:pPr>
            <w:r w:rsidRPr="00231C30">
              <w:rPr>
                <w:rFonts w:asciiTheme="minorHAnsi" w:hAnsiTheme="minorHAnsi"/>
                <w:szCs w:val="20"/>
                <w:lang w:val="en-US"/>
              </w:rPr>
              <w:t>FAO/WHO Codex Trust Fund</w:t>
            </w:r>
          </w:p>
        </w:tc>
        <w:tc>
          <w:tcPr>
            <w:tcW w:w="2368" w:type="dxa"/>
          </w:tcPr>
          <w:p w:rsidR="00231C30" w:rsidRPr="00231C30" w:rsidRDefault="00231C30" w:rsidP="00231C30">
            <w:pPr>
              <w:spacing w:after="0"/>
              <w:jc w:val="left"/>
              <w:cnfStyle w:val="000000010000" w:firstRow="0" w:lastRow="0" w:firstColumn="0" w:lastColumn="0" w:oddVBand="0" w:evenVBand="0" w:oddHBand="0" w:evenHBand="1" w:firstRowFirstColumn="0" w:firstRowLastColumn="0" w:lastRowFirstColumn="0" w:lastRowLastColumn="0"/>
              <w:rPr>
                <w:rFonts w:asciiTheme="minorHAnsi" w:hAnsiTheme="minorHAnsi"/>
                <w:szCs w:val="20"/>
                <w:lang w:val="en-US"/>
              </w:rPr>
            </w:pPr>
            <w:r w:rsidRPr="00231C30">
              <w:rPr>
                <w:rFonts w:asciiTheme="minorHAnsi" w:hAnsiTheme="minorHAnsi"/>
                <w:szCs w:val="20"/>
                <w:lang w:val="en-US"/>
              </w:rPr>
              <w:t>Switzerland</w:t>
            </w:r>
          </w:p>
        </w:tc>
      </w:tr>
      <w:tr w:rsidR="00231C30" w:rsidRPr="0023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231C30" w:rsidRPr="00231C30" w:rsidRDefault="00231C30" w:rsidP="00231C30">
            <w:pPr>
              <w:spacing w:after="0"/>
              <w:jc w:val="left"/>
              <w:rPr>
                <w:rFonts w:asciiTheme="minorHAnsi" w:hAnsiTheme="minorHAnsi"/>
                <w:szCs w:val="20"/>
                <w:lang w:val="en-US"/>
              </w:rPr>
            </w:pPr>
            <w:r w:rsidRPr="00231C30">
              <w:rPr>
                <w:rFonts w:asciiTheme="minorHAnsi" w:hAnsiTheme="minorHAnsi"/>
                <w:szCs w:val="20"/>
                <w:lang w:val="en-US"/>
              </w:rPr>
              <w:t>Jørgen Schlundt</w:t>
            </w:r>
          </w:p>
        </w:tc>
        <w:tc>
          <w:tcPr>
            <w:tcW w:w="3969" w:type="dxa"/>
          </w:tcPr>
          <w:p w:rsidR="00231C30" w:rsidRPr="00231C30" w:rsidRDefault="00231C30" w:rsidP="00231C30">
            <w:pPr>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0"/>
                <w:lang w:val="en-US"/>
              </w:rPr>
            </w:pPr>
            <w:r w:rsidRPr="00231C30">
              <w:rPr>
                <w:rFonts w:asciiTheme="minorHAnsi" w:hAnsiTheme="minorHAnsi"/>
                <w:szCs w:val="20"/>
                <w:lang w:val="en-US"/>
              </w:rPr>
              <w:t>WHO</w:t>
            </w:r>
          </w:p>
        </w:tc>
        <w:tc>
          <w:tcPr>
            <w:tcW w:w="2368" w:type="dxa"/>
          </w:tcPr>
          <w:p w:rsidR="00231C30" w:rsidRPr="00231C30" w:rsidRDefault="00231C30" w:rsidP="00231C30">
            <w:pPr>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0"/>
                <w:lang w:val="en-US"/>
              </w:rPr>
            </w:pPr>
            <w:r w:rsidRPr="00231C30">
              <w:rPr>
                <w:rFonts w:asciiTheme="minorHAnsi" w:hAnsiTheme="minorHAnsi"/>
                <w:szCs w:val="20"/>
                <w:lang w:val="en-US"/>
              </w:rPr>
              <w:t>Switzerland</w:t>
            </w:r>
          </w:p>
        </w:tc>
      </w:tr>
      <w:tr w:rsidR="00231C30" w:rsidRPr="00231C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231C30" w:rsidRPr="00231C30" w:rsidRDefault="00231C30" w:rsidP="00231C30">
            <w:pPr>
              <w:spacing w:after="0"/>
              <w:jc w:val="left"/>
              <w:rPr>
                <w:rFonts w:asciiTheme="minorHAnsi" w:hAnsiTheme="minorHAnsi"/>
                <w:szCs w:val="20"/>
                <w:lang w:val="en-US"/>
              </w:rPr>
            </w:pPr>
            <w:r w:rsidRPr="00231C30">
              <w:rPr>
                <w:rFonts w:asciiTheme="minorHAnsi" w:hAnsiTheme="minorHAnsi"/>
                <w:szCs w:val="20"/>
                <w:lang w:val="en-US"/>
              </w:rPr>
              <w:t>James Pfizer</w:t>
            </w:r>
          </w:p>
        </w:tc>
        <w:tc>
          <w:tcPr>
            <w:tcW w:w="3969" w:type="dxa"/>
          </w:tcPr>
          <w:p w:rsidR="00231C30" w:rsidRPr="00231C30" w:rsidRDefault="00231C30" w:rsidP="00231C30">
            <w:pPr>
              <w:spacing w:after="0"/>
              <w:jc w:val="left"/>
              <w:cnfStyle w:val="000000010000" w:firstRow="0" w:lastRow="0" w:firstColumn="0" w:lastColumn="0" w:oddVBand="0" w:evenVBand="0" w:oddHBand="0" w:evenHBand="1" w:firstRowFirstColumn="0" w:firstRowLastColumn="0" w:lastRowFirstColumn="0" w:lastRowLastColumn="0"/>
              <w:rPr>
                <w:rFonts w:asciiTheme="minorHAnsi" w:hAnsiTheme="minorHAnsi"/>
                <w:szCs w:val="20"/>
                <w:lang w:val="en-US"/>
              </w:rPr>
            </w:pPr>
            <w:r w:rsidRPr="00231C30">
              <w:rPr>
                <w:rFonts w:asciiTheme="minorHAnsi" w:hAnsiTheme="minorHAnsi"/>
                <w:szCs w:val="20"/>
                <w:lang w:val="en-US"/>
              </w:rPr>
              <w:t>WHO</w:t>
            </w:r>
          </w:p>
        </w:tc>
        <w:tc>
          <w:tcPr>
            <w:tcW w:w="2368" w:type="dxa"/>
          </w:tcPr>
          <w:p w:rsidR="00231C30" w:rsidRPr="00231C30" w:rsidRDefault="00231C30" w:rsidP="00231C30">
            <w:pPr>
              <w:spacing w:after="0"/>
              <w:jc w:val="left"/>
              <w:cnfStyle w:val="000000010000" w:firstRow="0" w:lastRow="0" w:firstColumn="0" w:lastColumn="0" w:oddVBand="0" w:evenVBand="0" w:oddHBand="0" w:evenHBand="1" w:firstRowFirstColumn="0" w:firstRowLastColumn="0" w:lastRowFirstColumn="0" w:lastRowLastColumn="0"/>
              <w:rPr>
                <w:rFonts w:asciiTheme="minorHAnsi" w:hAnsiTheme="minorHAnsi"/>
                <w:szCs w:val="20"/>
                <w:lang w:val="en-US"/>
              </w:rPr>
            </w:pPr>
            <w:r w:rsidRPr="00231C30">
              <w:rPr>
                <w:rFonts w:asciiTheme="minorHAnsi" w:hAnsiTheme="minorHAnsi"/>
                <w:szCs w:val="20"/>
                <w:lang w:val="en-US"/>
              </w:rPr>
              <w:t>Switzerland</w:t>
            </w:r>
          </w:p>
        </w:tc>
      </w:tr>
      <w:tr w:rsidR="008543B2" w:rsidRPr="008543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8543B2" w:rsidRPr="008543B2" w:rsidRDefault="008543B2" w:rsidP="00BC6B07">
            <w:pPr>
              <w:spacing w:after="0"/>
              <w:jc w:val="left"/>
              <w:rPr>
                <w:rFonts w:asciiTheme="minorHAnsi" w:hAnsiTheme="minorHAnsi"/>
                <w:szCs w:val="20"/>
                <w:lang w:val="en-US"/>
              </w:rPr>
            </w:pPr>
            <w:r w:rsidRPr="008543B2">
              <w:rPr>
                <w:rFonts w:asciiTheme="minorHAnsi" w:hAnsiTheme="minorHAnsi"/>
                <w:szCs w:val="20"/>
                <w:lang w:val="en-US"/>
              </w:rPr>
              <w:t>Ezzeddine Boutrif</w:t>
            </w:r>
          </w:p>
        </w:tc>
        <w:tc>
          <w:tcPr>
            <w:tcW w:w="3969" w:type="dxa"/>
          </w:tcPr>
          <w:p w:rsidR="008543B2" w:rsidRPr="008543B2" w:rsidRDefault="008543B2" w:rsidP="00BC6B07">
            <w:pPr>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0"/>
                <w:lang w:val="en-US"/>
              </w:rPr>
            </w:pPr>
            <w:r w:rsidRPr="008543B2">
              <w:rPr>
                <w:rFonts w:asciiTheme="minorHAnsi" w:hAnsiTheme="minorHAnsi"/>
                <w:szCs w:val="20"/>
                <w:lang w:val="en-US"/>
              </w:rPr>
              <w:t>Director, Nutrition and Consumer Protection Division (NCPD, FAO</w:t>
            </w:r>
          </w:p>
        </w:tc>
        <w:tc>
          <w:tcPr>
            <w:tcW w:w="2368" w:type="dxa"/>
          </w:tcPr>
          <w:p w:rsidR="008543B2" w:rsidRPr="008543B2" w:rsidRDefault="008543B2" w:rsidP="00BC6B07">
            <w:pPr>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0"/>
                <w:lang w:val="en-US"/>
              </w:rPr>
            </w:pPr>
            <w:r w:rsidRPr="008543B2">
              <w:rPr>
                <w:rFonts w:asciiTheme="minorHAnsi" w:hAnsiTheme="minorHAnsi"/>
                <w:szCs w:val="20"/>
                <w:lang w:val="en-US"/>
              </w:rPr>
              <w:t>Italy</w:t>
            </w:r>
          </w:p>
        </w:tc>
      </w:tr>
      <w:tr w:rsidR="008543B2" w:rsidRPr="008543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8543B2" w:rsidRPr="008543B2" w:rsidRDefault="008543B2" w:rsidP="00BC6B07">
            <w:pPr>
              <w:spacing w:after="0"/>
              <w:jc w:val="left"/>
              <w:rPr>
                <w:rFonts w:asciiTheme="minorHAnsi" w:hAnsiTheme="minorHAnsi"/>
                <w:szCs w:val="20"/>
                <w:lang w:val="en-US"/>
              </w:rPr>
            </w:pPr>
            <w:r w:rsidRPr="008543B2">
              <w:rPr>
                <w:rFonts w:asciiTheme="minorHAnsi" w:hAnsiTheme="minorHAnsi"/>
                <w:szCs w:val="20"/>
                <w:lang w:val="en-US"/>
              </w:rPr>
              <w:t>Maria de Lourdes Costarrica</w:t>
            </w:r>
          </w:p>
        </w:tc>
        <w:tc>
          <w:tcPr>
            <w:tcW w:w="3969" w:type="dxa"/>
          </w:tcPr>
          <w:p w:rsidR="008543B2" w:rsidRPr="008543B2" w:rsidRDefault="008543B2" w:rsidP="00BC6B07">
            <w:pPr>
              <w:spacing w:after="0"/>
              <w:jc w:val="left"/>
              <w:cnfStyle w:val="000000010000" w:firstRow="0" w:lastRow="0" w:firstColumn="0" w:lastColumn="0" w:oddVBand="0" w:evenVBand="0" w:oddHBand="0" w:evenHBand="1" w:firstRowFirstColumn="0" w:firstRowLastColumn="0" w:lastRowFirstColumn="0" w:lastRowLastColumn="0"/>
              <w:rPr>
                <w:rFonts w:asciiTheme="minorHAnsi" w:hAnsiTheme="minorHAnsi"/>
                <w:szCs w:val="20"/>
                <w:lang w:val="en-US"/>
              </w:rPr>
            </w:pPr>
            <w:r w:rsidRPr="008543B2">
              <w:rPr>
                <w:rFonts w:asciiTheme="minorHAnsi" w:hAnsiTheme="minorHAnsi"/>
                <w:szCs w:val="20"/>
                <w:lang w:val="en-US"/>
              </w:rPr>
              <w:t>Food Quality and Standards Service, FAO</w:t>
            </w:r>
          </w:p>
        </w:tc>
        <w:tc>
          <w:tcPr>
            <w:tcW w:w="2368" w:type="dxa"/>
          </w:tcPr>
          <w:p w:rsidR="008543B2" w:rsidRPr="008543B2" w:rsidRDefault="008543B2" w:rsidP="00BC6B07">
            <w:pPr>
              <w:spacing w:after="0"/>
              <w:jc w:val="left"/>
              <w:cnfStyle w:val="000000010000" w:firstRow="0" w:lastRow="0" w:firstColumn="0" w:lastColumn="0" w:oddVBand="0" w:evenVBand="0" w:oddHBand="0" w:evenHBand="1" w:firstRowFirstColumn="0" w:firstRowLastColumn="0" w:lastRowFirstColumn="0" w:lastRowLastColumn="0"/>
              <w:rPr>
                <w:rFonts w:asciiTheme="minorHAnsi" w:hAnsiTheme="minorHAnsi"/>
                <w:szCs w:val="20"/>
                <w:lang w:val="en-US"/>
              </w:rPr>
            </w:pPr>
            <w:r w:rsidRPr="008543B2">
              <w:rPr>
                <w:rFonts w:asciiTheme="minorHAnsi" w:hAnsiTheme="minorHAnsi"/>
                <w:szCs w:val="20"/>
                <w:lang w:val="en-US"/>
              </w:rPr>
              <w:t>Italy</w:t>
            </w:r>
          </w:p>
        </w:tc>
      </w:tr>
      <w:tr w:rsidR="008543B2" w:rsidRPr="008543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8543B2" w:rsidRPr="008543B2" w:rsidRDefault="008543B2" w:rsidP="00BC6B07">
            <w:pPr>
              <w:spacing w:after="0"/>
              <w:jc w:val="left"/>
              <w:rPr>
                <w:rFonts w:asciiTheme="minorHAnsi" w:hAnsiTheme="minorHAnsi"/>
                <w:szCs w:val="20"/>
                <w:lang w:val="en-US"/>
              </w:rPr>
            </w:pPr>
            <w:r w:rsidRPr="008543B2">
              <w:rPr>
                <w:rFonts w:asciiTheme="minorHAnsi" w:hAnsiTheme="minorHAnsi"/>
                <w:szCs w:val="20"/>
                <w:lang w:val="en-US"/>
              </w:rPr>
              <w:t>Hilde Kruse</w:t>
            </w:r>
          </w:p>
        </w:tc>
        <w:tc>
          <w:tcPr>
            <w:tcW w:w="3969" w:type="dxa"/>
          </w:tcPr>
          <w:p w:rsidR="008543B2" w:rsidRPr="008543B2" w:rsidRDefault="008543B2" w:rsidP="00BC6B07">
            <w:pPr>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0"/>
                <w:lang w:val="en-US"/>
              </w:rPr>
            </w:pPr>
            <w:r w:rsidRPr="008543B2">
              <w:rPr>
                <w:rFonts w:asciiTheme="minorHAnsi" w:hAnsiTheme="minorHAnsi"/>
                <w:szCs w:val="20"/>
                <w:lang w:val="en-US"/>
              </w:rPr>
              <w:t>WHO Office for Europe</w:t>
            </w:r>
          </w:p>
        </w:tc>
        <w:tc>
          <w:tcPr>
            <w:tcW w:w="2368" w:type="dxa"/>
          </w:tcPr>
          <w:p w:rsidR="008543B2" w:rsidRPr="008543B2" w:rsidRDefault="008543B2" w:rsidP="00BC6B07">
            <w:pPr>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0"/>
                <w:lang w:val="en-US"/>
              </w:rPr>
            </w:pPr>
            <w:r w:rsidRPr="008543B2">
              <w:rPr>
                <w:rFonts w:asciiTheme="minorHAnsi" w:hAnsiTheme="minorHAnsi"/>
                <w:szCs w:val="20"/>
                <w:lang w:val="en-US"/>
              </w:rPr>
              <w:t>Italy</w:t>
            </w:r>
          </w:p>
        </w:tc>
      </w:tr>
      <w:tr w:rsidR="008543B2" w:rsidRPr="008543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8543B2" w:rsidRPr="008543B2" w:rsidRDefault="008543B2" w:rsidP="00BC6B07">
            <w:pPr>
              <w:spacing w:after="0"/>
              <w:jc w:val="left"/>
              <w:rPr>
                <w:rFonts w:asciiTheme="minorHAnsi" w:hAnsiTheme="minorHAnsi"/>
                <w:szCs w:val="20"/>
                <w:lang w:val="en-US"/>
              </w:rPr>
            </w:pPr>
            <w:r w:rsidRPr="008543B2">
              <w:rPr>
                <w:rFonts w:asciiTheme="minorHAnsi" w:hAnsiTheme="minorHAnsi"/>
                <w:szCs w:val="20"/>
                <w:lang w:val="en-US"/>
              </w:rPr>
              <w:t>Selma Doyran</w:t>
            </w:r>
          </w:p>
        </w:tc>
        <w:tc>
          <w:tcPr>
            <w:tcW w:w="3969" w:type="dxa"/>
          </w:tcPr>
          <w:p w:rsidR="008543B2" w:rsidRPr="008543B2" w:rsidRDefault="008543B2" w:rsidP="00BC6B07">
            <w:pPr>
              <w:spacing w:after="0"/>
              <w:jc w:val="left"/>
              <w:cnfStyle w:val="000000010000" w:firstRow="0" w:lastRow="0" w:firstColumn="0" w:lastColumn="0" w:oddVBand="0" w:evenVBand="0" w:oddHBand="0" w:evenHBand="1" w:firstRowFirstColumn="0" w:firstRowLastColumn="0" w:lastRowFirstColumn="0" w:lastRowLastColumn="0"/>
              <w:rPr>
                <w:rFonts w:asciiTheme="minorHAnsi" w:hAnsiTheme="minorHAnsi"/>
                <w:szCs w:val="20"/>
                <w:lang w:val="en-US"/>
              </w:rPr>
            </w:pPr>
            <w:r w:rsidRPr="008543B2">
              <w:rPr>
                <w:rFonts w:asciiTheme="minorHAnsi" w:hAnsiTheme="minorHAnsi"/>
                <w:szCs w:val="20"/>
                <w:lang w:val="en-US"/>
              </w:rPr>
              <w:t>Secretary of the Codex Alimentarius Commission</w:t>
            </w:r>
          </w:p>
        </w:tc>
        <w:tc>
          <w:tcPr>
            <w:tcW w:w="2368" w:type="dxa"/>
          </w:tcPr>
          <w:p w:rsidR="008543B2" w:rsidRPr="008543B2" w:rsidRDefault="008543B2" w:rsidP="00BC6B07">
            <w:pPr>
              <w:spacing w:after="0"/>
              <w:jc w:val="left"/>
              <w:cnfStyle w:val="000000010000" w:firstRow="0" w:lastRow="0" w:firstColumn="0" w:lastColumn="0" w:oddVBand="0" w:evenVBand="0" w:oddHBand="0" w:evenHBand="1" w:firstRowFirstColumn="0" w:firstRowLastColumn="0" w:lastRowFirstColumn="0" w:lastRowLastColumn="0"/>
              <w:rPr>
                <w:rFonts w:asciiTheme="minorHAnsi" w:hAnsiTheme="minorHAnsi"/>
                <w:szCs w:val="20"/>
                <w:lang w:val="en-US"/>
              </w:rPr>
            </w:pPr>
            <w:r w:rsidRPr="008543B2">
              <w:rPr>
                <w:rFonts w:asciiTheme="minorHAnsi" w:hAnsiTheme="minorHAnsi"/>
                <w:szCs w:val="20"/>
                <w:lang w:val="en-US"/>
              </w:rPr>
              <w:t>Italy</w:t>
            </w:r>
          </w:p>
        </w:tc>
      </w:tr>
      <w:tr w:rsidR="008543B2" w:rsidRPr="008543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8543B2" w:rsidRPr="008543B2" w:rsidRDefault="008543B2" w:rsidP="00BC6B07">
            <w:pPr>
              <w:spacing w:after="0"/>
              <w:jc w:val="left"/>
              <w:rPr>
                <w:rFonts w:asciiTheme="minorHAnsi" w:hAnsiTheme="minorHAnsi"/>
                <w:szCs w:val="20"/>
                <w:lang w:val="en-US"/>
              </w:rPr>
            </w:pPr>
            <w:r w:rsidRPr="008543B2">
              <w:rPr>
                <w:rFonts w:asciiTheme="minorHAnsi" w:hAnsiTheme="minorHAnsi"/>
                <w:szCs w:val="20"/>
                <w:lang w:val="en-US"/>
              </w:rPr>
              <w:lastRenderedPageBreak/>
              <w:t>Mary Kenny</w:t>
            </w:r>
          </w:p>
        </w:tc>
        <w:tc>
          <w:tcPr>
            <w:tcW w:w="3969" w:type="dxa"/>
          </w:tcPr>
          <w:p w:rsidR="008543B2" w:rsidRPr="008543B2" w:rsidRDefault="008543B2" w:rsidP="00BC6B07">
            <w:pPr>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0"/>
                <w:lang w:val="en-US"/>
              </w:rPr>
            </w:pPr>
            <w:r w:rsidRPr="008543B2">
              <w:rPr>
                <w:rFonts w:asciiTheme="minorHAnsi" w:hAnsiTheme="minorHAnsi"/>
                <w:szCs w:val="20"/>
                <w:lang w:val="en-US"/>
              </w:rPr>
              <w:t>Nutrition Officer, Technical Assistance Group, NCPD, FAO</w:t>
            </w:r>
          </w:p>
        </w:tc>
        <w:tc>
          <w:tcPr>
            <w:tcW w:w="2368" w:type="dxa"/>
          </w:tcPr>
          <w:p w:rsidR="008543B2" w:rsidRPr="008543B2" w:rsidRDefault="008543B2" w:rsidP="00BC6B07">
            <w:pPr>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0"/>
                <w:lang w:val="en-US"/>
              </w:rPr>
            </w:pPr>
            <w:r w:rsidRPr="008543B2">
              <w:rPr>
                <w:rFonts w:asciiTheme="minorHAnsi" w:hAnsiTheme="minorHAnsi"/>
                <w:szCs w:val="20"/>
                <w:lang w:val="en-US"/>
              </w:rPr>
              <w:t>Italy</w:t>
            </w:r>
          </w:p>
        </w:tc>
      </w:tr>
      <w:tr w:rsidR="008543B2" w:rsidRPr="008543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8543B2" w:rsidRPr="008543B2" w:rsidRDefault="008543B2" w:rsidP="00BC6B07">
            <w:pPr>
              <w:spacing w:after="0"/>
              <w:jc w:val="left"/>
              <w:rPr>
                <w:rFonts w:asciiTheme="minorHAnsi" w:hAnsiTheme="minorHAnsi"/>
                <w:szCs w:val="20"/>
                <w:lang w:val="en-US"/>
              </w:rPr>
            </w:pPr>
            <w:r w:rsidRPr="008543B2">
              <w:rPr>
                <w:rFonts w:asciiTheme="minorHAnsi" w:hAnsiTheme="minorHAnsi"/>
                <w:szCs w:val="20"/>
                <w:lang w:val="en-US"/>
              </w:rPr>
              <w:t>Renata Clarke</w:t>
            </w:r>
          </w:p>
        </w:tc>
        <w:tc>
          <w:tcPr>
            <w:tcW w:w="3969" w:type="dxa"/>
          </w:tcPr>
          <w:p w:rsidR="008543B2" w:rsidRPr="008543B2" w:rsidRDefault="008543B2" w:rsidP="00BC6B07">
            <w:pPr>
              <w:spacing w:after="0"/>
              <w:jc w:val="left"/>
              <w:cnfStyle w:val="000000010000" w:firstRow="0" w:lastRow="0" w:firstColumn="0" w:lastColumn="0" w:oddVBand="0" w:evenVBand="0" w:oddHBand="0" w:evenHBand="1" w:firstRowFirstColumn="0" w:firstRowLastColumn="0" w:lastRowFirstColumn="0" w:lastRowLastColumn="0"/>
              <w:rPr>
                <w:rFonts w:asciiTheme="minorHAnsi" w:hAnsiTheme="minorHAnsi"/>
                <w:szCs w:val="20"/>
                <w:lang w:val="en-US"/>
              </w:rPr>
            </w:pPr>
            <w:r w:rsidRPr="008543B2">
              <w:rPr>
                <w:rFonts w:asciiTheme="minorHAnsi" w:hAnsiTheme="minorHAnsi"/>
                <w:szCs w:val="20"/>
                <w:lang w:val="en-US"/>
              </w:rPr>
              <w:t>Nutrition Officer, Technical Assistance Group, NCPD, FAO</w:t>
            </w:r>
          </w:p>
        </w:tc>
        <w:tc>
          <w:tcPr>
            <w:tcW w:w="2368" w:type="dxa"/>
          </w:tcPr>
          <w:p w:rsidR="008543B2" w:rsidRPr="008543B2" w:rsidRDefault="008543B2" w:rsidP="00BC6B07">
            <w:pPr>
              <w:spacing w:after="0"/>
              <w:jc w:val="left"/>
              <w:cnfStyle w:val="000000010000" w:firstRow="0" w:lastRow="0" w:firstColumn="0" w:lastColumn="0" w:oddVBand="0" w:evenVBand="0" w:oddHBand="0" w:evenHBand="1" w:firstRowFirstColumn="0" w:firstRowLastColumn="0" w:lastRowFirstColumn="0" w:lastRowLastColumn="0"/>
              <w:rPr>
                <w:rFonts w:asciiTheme="minorHAnsi" w:hAnsiTheme="minorHAnsi"/>
                <w:szCs w:val="20"/>
                <w:lang w:val="en-US"/>
              </w:rPr>
            </w:pPr>
            <w:r w:rsidRPr="008543B2">
              <w:rPr>
                <w:rFonts w:asciiTheme="minorHAnsi" w:hAnsiTheme="minorHAnsi"/>
                <w:szCs w:val="20"/>
                <w:lang w:val="en-US"/>
              </w:rPr>
              <w:t>Italy</w:t>
            </w:r>
          </w:p>
        </w:tc>
      </w:tr>
      <w:tr w:rsidR="008543B2" w:rsidRPr="008543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8543B2" w:rsidRPr="008543B2" w:rsidRDefault="008543B2" w:rsidP="00BC6B07">
            <w:pPr>
              <w:spacing w:after="0"/>
              <w:jc w:val="left"/>
              <w:rPr>
                <w:rFonts w:asciiTheme="minorHAnsi" w:hAnsiTheme="minorHAnsi"/>
                <w:szCs w:val="20"/>
                <w:lang w:val="en-US"/>
              </w:rPr>
            </w:pPr>
            <w:r w:rsidRPr="008543B2">
              <w:rPr>
                <w:rFonts w:asciiTheme="minorHAnsi" w:hAnsiTheme="minorHAnsi"/>
                <w:szCs w:val="20"/>
                <w:lang w:val="en-US"/>
              </w:rPr>
              <w:t>Catherine Bessy</w:t>
            </w:r>
          </w:p>
        </w:tc>
        <w:tc>
          <w:tcPr>
            <w:tcW w:w="3969" w:type="dxa"/>
          </w:tcPr>
          <w:p w:rsidR="008543B2" w:rsidRPr="008543B2" w:rsidRDefault="008543B2" w:rsidP="00BC6B07">
            <w:pPr>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0"/>
                <w:lang w:val="en-US"/>
              </w:rPr>
            </w:pPr>
            <w:r w:rsidRPr="008543B2">
              <w:rPr>
                <w:rFonts w:asciiTheme="minorHAnsi" w:hAnsiTheme="minorHAnsi"/>
                <w:szCs w:val="20"/>
                <w:lang w:val="en-US"/>
              </w:rPr>
              <w:t>Nutrition Officer, Technical Assistance Group, NCPD, FAO</w:t>
            </w:r>
          </w:p>
        </w:tc>
        <w:tc>
          <w:tcPr>
            <w:tcW w:w="2368" w:type="dxa"/>
          </w:tcPr>
          <w:p w:rsidR="008543B2" w:rsidRPr="008543B2" w:rsidRDefault="008543B2" w:rsidP="00BC6B07">
            <w:pPr>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0"/>
                <w:lang w:val="en-US"/>
              </w:rPr>
            </w:pPr>
            <w:r w:rsidRPr="008543B2">
              <w:rPr>
                <w:rFonts w:asciiTheme="minorHAnsi" w:hAnsiTheme="minorHAnsi"/>
                <w:szCs w:val="20"/>
                <w:lang w:val="en-US"/>
              </w:rPr>
              <w:t>Italy</w:t>
            </w:r>
          </w:p>
        </w:tc>
      </w:tr>
      <w:tr w:rsidR="00231C30" w:rsidRPr="00231C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231C30" w:rsidRPr="00231C30" w:rsidRDefault="00231C30" w:rsidP="00231C30">
            <w:pPr>
              <w:spacing w:after="0"/>
              <w:jc w:val="left"/>
              <w:rPr>
                <w:rFonts w:asciiTheme="minorHAnsi" w:hAnsiTheme="minorHAnsi"/>
                <w:szCs w:val="20"/>
                <w:lang w:val="en-US"/>
              </w:rPr>
            </w:pPr>
            <w:r w:rsidRPr="00231C30">
              <w:rPr>
                <w:rFonts w:asciiTheme="minorHAnsi" w:hAnsiTheme="minorHAnsi"/>
                <w:szCs w:val="20"/>
                <w:lang w:val="en-US"/>
              </w:rPr>
              <w:t>Stuart Slorach</w:t>
            </w:r>
          </w:p>
        </w:tc>
        <w:tc>
          <w:tcPr>
            <w:tcW w:w="3969" w:type="dxa"/>
          </w:tcPr>
          <w:p w:rsidR="00231C30" w:rsidRPr="00231C30" w:rsidRDefault="00231C30" w:rsidP="00231C30">
            <w:pPr>
              <w:spacing w:after="0"/>
              <w:jc w:val="left"/>
              <w:cnfStyle w:val="000000010000" w:firstRow="0" w:lastRow="0" w:firstColumn="0" w:lastColumn="0" w:oddVBand="0" w:evenVBand="0" w:oddHBand="0" w:evenHBand="1" w:firstRowFirstColumn="0" w:firstRowLastColumn="0" w:lastRowFirstColumn="0" w:lastRowLastColumn="0"/>
              <w:rPr>
                <w:rFonts w:asciiTheme="minorHAnsi" w:hAnsiTheme="minorHAnsi"/>
                <w:szCs w:val="20"/>
                <w:lang w:val="en-US"/>
              </w:rPr>
            </w:pPr>
            <w:r w:rsidRPr="00231C30">
              <w:rPr>
                <w:rFonts w:asciiTheme="minorHAnsi" w:hAnsiTheme="minorHAnsi"/>
                <w:szCs w:val="20"/>
                <w:lang w:val="en-US"/>
              </w:rPr>
              <w:t>Consultant</w:t>
            </w:r>
          </w:p>
        </w:tc>
        <w:tc>
          <w:tcPr>
            <w:tcW w:w="2368" w:type="dxa"/>
          </w:tcPr>
          <w:p w:rsidR="00231C30" w:rsidRPr="00231C30" w:rsidRDefault="00231C30" w:rsidP="00231C30">
            <w:pPr>
              <w:spacing w:after="0"/>
              <w:jc w:val="left"/>
              <w:cnfStyle w:val="000000010000" w:firstRow="0" w:lastRow="0" w:firstColumn="0" w:lastColumn="0" w:oddVBand="0" w:evenVBand="0" w:oddHBand="0" w:evenHBand="1" w:firstRowFirstColumn="0" w:firstRowLastColumn="0" w:lastRowFirstColumn="0" w:lastRowLastColumn="0"/>
              <w:rPr>
                <w:rFonts w:asciiTheme="minorHAnsi" w:hAnsiTheme="minorHAnsi"/>
                <w:szCs w:val="20"/>
                <w:lang w:val="en-US"/>
              </w:rPr>
            </w:pPr>
            <w:r w:rsidRPr="00231C30">
              <w:rPr>
                <w:rFonts w:asciiTheme="minorHAnsi" w:hAnsiTheme="minorHAnsi"/>
                <w:szCs w:val="20"/>
                <w:lang w:val="en-US"/>
              </w:rPr>
              <w:t>Sweden</w:t>
            </w:r>
          </w:p>
        </w:tc>
      </w:tr>
      <w:tr w:rsidR="00231C30" w:rsidRPr="0023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231C30" w:rsidRPr="00231C30" w:rsidRDefault="00231C30" w:rsidP="00231C30">
            <w:pPr>
              <w:spacing w:after="0"/>
              <w:jc w:val="left"/>
              <w:rPr>
                <w:rFonts w:asciiTheme="minorHAnsi" w:hAnsiTheme="minorHAnsi"/>
                <w:szCs w:val="20"/>
                <w:lang w:val="en-US"/>
              </w:rPr>
            </w:pPr>
            <w:r w:rsidRPr="00231C30">
              <w:rPr>
                <w:rFonts w:asciiTheme="minorHAnsi" w:hAnsiTheme="minorHAnsi"/>
                <w:szCs w:val="20"/>
                <w:lang w:val="en-US"/>
              </w:rPr>
              <w:t>Melvin Spreij</w:t>
            </w:r>
          </w:p>
        </w:tc>
        <w:tc>
          <w:tcPr>
            <w:tcW w:w="3969" w:type="dxa"/>
          </w:tcPr>
          <w:p w:rsidR="00231C30" w:rsidRPr="00231C30" w:rsidRDefault="00231C30" w:rsidP="00231C30">
            <w:pPr>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0"/>
                <w:lang w:val="en-US"/>
              </w:rPr>
            </w:pPr>
            <w:r w:rsidRPr="00231C30">
              <w:rPr>
                <w:rFonts w:asciiTheme="minorHAnsi" w:hAnsiTheme="minorHAnsi"/>
                <w:szCs w:val="20"/>
                <w:lang w:val="en-US"/>
              </w:rPr>
              <w:t xml:space="preserve">Standards and Trade Development Facility (STDF) </w:t>
            </w:r>
          </w:p>
        </w:tc>
        <w:tc>
          <w:tcPr>
            <w:tcW w:w="2368" w:type="dxa"/>
          </w:tcPr>
          <w:p w:rsidR="00231C30" w:rsidRPr="00231C30" w:rsidRDefault="00231C30" w:rsidP="00231C30">
            <w:pPr>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0"/>
                <w:lang w:val="en-US"/>
              </w:rPr>
            </w:pPr>
            <w:r w:rsidRPr="00231C30">
              <w:rPr>
                <w:rFonts w:asciiTheme="minorHAnsi" w:hAnsiTheme="minorHAnsi"/>
                <w:szCs w:val="20"/>
                <w:lang w:val="en-US"/>
              </w:rPr>
              <w:t>Switzerland</w:t>
            </w:r>
          </w:p>
        </w:tc>
      </w:tr>
      <w:tr w:rsidR="00231C30" w:rsidRPr="00231C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231C30" w:rsidRPr="00231C30" w:rsidRDefault="00231C30" w:rsidP="00231C30">
            <w:pPr>
              <w:spacing w:after="0"/>
              <w:jc w:val="left"/>
              <w:rPr>
                <w:rFonts w:asciiTheme="minorHAnsi" w:hAnsiTheme="minorHAnsi"/>
                <w:szCs w:val="20"/>
                <w:lang w:val="en-US"/>
              </w:rPr>
            </w:pPr>
            <w:r w:rsidRPr="00231C30">
              <w:rPr>
                <w:rFonts w:asciiTheme="minorHAnsi" w:hAnsiTheme="minorHAnsi"/>
                <w:szCs w:val="20"/>
              </w:rPr>
              <w:t>Marlynne Hopper</w:t>
            </w:r>
          </w:p>
        </w:tc>
        <w:tc>
          <w:tcPr>
            <w:tcW w:w="3969" w:type="dxa"/>
          </w:tcPr>
          <w:p w:rsidR="00231C30" w:rsidRPr="00231C30" w:rsidRDefault="00231C30" w:rsidP="00231C30">
            <w:pPr>
              <w:spacing w:after="0"/>
              <w:jc w:val="left"/>
              <w:cnfStyle w:val="000000010000" w:firstRow="0" w:lastRow="0" w:firstColumn="0" w:lastColumn="0" w:oddVBand="0" w:evenVBand="0" w:oddHBand="0" w:evenHBand="1" w:firstRowFirstColumn="0" w:firstRowLastColumn="0" w:lastRowFirstColumn="0" w:lastRowLastColumn="0"/>
              <w:rPr>
                <w:rFonts w:asciiTheme="minorHAnsi" w:hAnsiTheme="minorHAnsi"/>
                <w:szCs w:val="20"/>
                <w:lang w:val="en-US"/>
              </w:rPr>
            </w:pPr>
            <w:r w:rsidRPr="00231C30">
              <w:rPr>
                <w:rFonts w:asciiTheme="minorHAnsi" w:hAnsiTheme="minorHAnsi"/>
                <w:szCs w:val="20"/>
                <w:lang w:val="en-US"/>
              </w:rPr>
              <w:t>Standards and Trade Development Facility (STDF)</w:t>
            </w:r>
          </w:p>
        </w:tc>
        <w:tc>
          <w:tcPr>
            <w:tcW w:w="2368" w:type="dxa"/>
          </w:tcPr>
          <w:p w:rsidR="00231C30" w:rsidRPr="00231C30" w:rsidRDefault="00231C30" w:rsidP="00231C30">
            <w:pPr>
              <w:spacing w:after="0"/>
              <w:jc w:val="left"/>
              <w:cnfStyle w:val="000000010000" w:firstRow="0" w:lastRow="0" w:firstColumn="0" w:lastColumn="0" w:oddVBand="0" w:evenVBand="0" w:oddHBand="0" w:evenHBand="1" w:firstRowFirstColumn="0" w:firstRowLastColumn="0" w:lastRowFirstColumn="0" w:lastRowLastColumn="0"/>
              <w:rPr>
                <w:rFonts w:asciiTheme="minorHAnsi" w:hAnsiTheme="minorHAnsi"/>
                <w:szCs w:val="20"/>
                <w:lang w:val="en-US"/>
              </w:rPr>
            </w:pPr>
            <w:r w:rsidRPr="00231C30">
              <w:rPr>
                <w:rFonts w:asciiTheme="minorHAnsi" w:hAnsiTheme="minorHAnsi"/>
                <w:szCs w:val="20"/>
                <w:lang w:val="en-US"/>
              </w:rPr>
              <w:t>Switzerland</w:t>
            </w:r>
          </w:p>
        </w:tc>
      </w:tr>
      <w:tr w:rsidR="00231C30" w:rsidRPr="0023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231C30" w:rsidRPr="00231C30" w:rsidRDefault="00231C30" w:rsidP="00231C30">
            <w:pPr>
              <w:spacing w:after="0"/>
              <w:jc w:val="left"/>
              <w:rPr>
                <w:rFonts w:asciiTheme="minorHAnsi" w:hAnsiTheme="minorHAnsi"/>
                <w:szCs w:val="20"/>
                <w:lang w:val="en-US"/>
              </w:rPr>
            </w:pPr>
          </w:p>
        </w:tc>
        <w:tc>
          <w:tcPr>
            <w:tcW w:w="3969" w:type="dxa"/>
          </w:tcPr>
          <w:p w:rsidR="00231C30" w:rsidRPr="00231C30" w:rsidRDefault="00231C30" w:rsidP="00231C30">
            <w:pPr>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0"/>
                <w:lang w:val="en-US"/>
              </w:rPr>
            </w:pPr>
          </w:p>
        </w:tc>
        <w:tc>
          <w:tcPr>
            <w:tcW w:w="2368" w:type="dxa"/>
          </w:tcPr>
          <w:p w:rsidR="00231C30" w:rsidRPr="00231C30" w:rsidRDefault="00231C30" w:rsidP="00231C30">
            <w:pPr>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0"/>
                <w:lang w:val="en-US"/>
              </w:rPr>
            </w:pPr>
          </w:p>
        </w:tc>
      </w:tr>
      <w:tr w:rsidR="00231C30" w:rsidRPr="00231C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231C30" w:rsidRPr="00231C30" w:rsidRDefault="00231C30" w:rsidP="00231C30">
            <w:pPr>
              <w:spacing w:after="0"/>
              <w:jc w:val="left"/>
              <w:rPr>
                <w:rFonts w:asciiTheme="minorHAnsi" w:hAnsiTheme="minorHAnsi"/>
                <w:b/>
                <w:szCs w:val="20"/>
                <w:lang w:val="en-US"/>
              </w:rPr>
            </w:pPr>
            <w:r w:rsidRPr="00231C30">
              <w:rPr>
                <w:rFonts w:asciiTheme="minorHAnsi" w:hAnsiTheme="minorHAnsi"/>
                <w:b/>
                <w:szCs w:val="20"/>
                <w:lang w:val="en-US"/>
              </w:rPr>
              <w:t>Country visits</w:t>
            </w:r>
          </w:p>
        </w:tc>
        <w:tc>
          <w:tcPr>
            <w:tcW w:w="3969" w:type="dxa"/>
          </w:tcPr>
          <w:p w:rsidR="00231C30" w:rsidRPr="00231C30" w:rsidRDefault="00231C30" w:rsidP="00231C30">
            <w:pPr>
              <w:spacing w:after="0"/>
              <w:jc w:val="left"/>
              <w:cnfStyle w:val="000000010000" w:firstRow="0" w:lastRow="0" w:firstColumn="0" w:lastColumn="0" w:oddVBand="0" w:evenVBand="0" w:oddHBand="0" w:evenHBand="1" w:firstRowFirstColumn="0" w:firstRowLastColumn="0" w:lastRowFirstColumn="0" w:lastRowLastColumn="0"/>
              <w:rPr>
                <w:rFonts w:asciiTheme="minorHAnsi" w:hAnsiTheme="minorHAnsi"/>
                <w:b/>
                <w:szCs w:val="20"/>
                <w:lang w:val="en-US"/>
              </w:rPr>
            </w:pPr>
          </w:p>
        </w:tc>
        <w:tc>
          <w:tcPr>
            <w:tcW w:w="2368" w:type="dxa"/>
          </w:tcPr>
          <w:p w:rsidR="00231C30" w:rsidRPr="00231C30" w:rsidRDefault="00231C30" w:rsidP="00231C30">
            <w:pPr>
              <w:spacing w:after="0"/>
              <w:jc w:val="left"/>
              <w:cnfStyle w:val="000000010000" w:firstRow="0" w:lastRow="0" w:firstColumn="0" w:lastColumn="0" w:oddVBand="0" w:evenVBand="0" w:oddHBand="0" w:evenHBand="1" w:firstRowFirstColumn="0" w:firstRowLastColumn="0" w:lastRowFirstColumn="0" w:lastRowLastColumn="0"/>
              <w:rPr>
                <w:rFonts w:asciiTheme="minorHAnsi" w:hAnsiTheme="minorHAnsi"/>
                <w:b/>
                <w:szCs w:val="20"/>
                <w:lang w:val="en-US"/>
              </w:rPr>
            </w:pPr>
          </w:p>
        </w:tc>
      </w:tr>
      <w:tr w:rsidR="008543B2" w:rsidRPr="0023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8543B2" w:rsidRPr="00231C30" w:rsidRDefault="008543B2" w:rsidP="00BC6B07">
            <w:pPr>
              <w:spacing w:after="0"/>
              <w:jc w:val="left"/>
              <w:rPr>
                <w:rFonts w:asciiTheme="minorHAnsi" w:hAnsiTheme="minorHAnsi"/>
                <w:szCs w:val="20"/>
                <w:lang w:val="en-US"/>
              </w:rPr>
            </w:pPr>
            <w:r>
              <w:rPr>
                <w:rFonts w:asciiTheme="minorHAnsi" w:hAnsiTheme="minorHAnsi"/>
                <w:szCs w:val="20"/>
                <w:lang w:val="en-US"/>
              </w:rPr>
              <w:t>Gabriela Catalani</w:t>
            </w:r>
          </w:p>
        </w:tc>
        <w:tc>
          <w:tcPr>
            <w:tcW w:w="3969" w:type="dxa"/>
          </w:tcPr>
          <w:p w:rsidR="008543B2" w:rsidRPr="00231C30" w:rsidRDefault="008543B2" w:rsidP="00BC6B07">
            <w:pPr>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0"/>
                <w:lang w:val="en-US"/>
              </w:rPr>
            </w:pPr>
            <w:r>
              <w:rPr>
                <w:rFonts w:asciiTheme="minorHAnsi" w:hAnsiTheme="minorHAnsi"/>
                <w:szCs w:val="20"/>
                <w:lang w:val="en-US"/>
              </w:rPr>
              <w:t>Codex Contact Point</w:t>
            </w:r>
          </w:p>
        </w:tc>
        <w:tc>
          <w:tcPr>
            <w:tcW w:w="2368" w:type="dxa"/>
          </w:tcPr>
          <w:p w:rsidR="008543B2" w:rsidRPr="00231C30" w:rsidRDefault="000207AC" w:rsidP="00BC6B07">
            <w:pPr>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0"/>
                <w:lang w:val="en-US"/>
              </w:rPr>
            </w:pPr>
            <w:r w:rsidRPr="000207AC">
              <w:rPr>
                <w:rFonts w:asciiTheme="minorHAnsi" w:hAnsiTheme="minorHAnsi"/>
                <w:szCs w:val="20"/>
                <w:lang w:val="en-US"/>
              </w:rPr>
              <w:t>Argentine</w:t>
            </w:r>
          </w:p>
        </w:tc>
      </w:tr>
      <w:tr w:rsidR="008543B2" w:rsidRPr="00B536F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8543B2" w:rsidRDefault="008543B2" w:rsidP="00BC6B07">
            <w:pPr>
              <w:spacing w:after="0"/>
              <w:jc w:val="left"/>
              <w:rPr>
                <w:rFonts w:asciiTheme="minorHAnsi" w:hAnsiTheme="minorHAnsi"/>
                <w:szCs w:val="20"/>
                <w:lang w:val="en-US"/>
              </w:rPr>
            </w:pPr>
            <w:r>
              <w:rPr>
                <w:rFonts w:asciiTheme="minorHAnsi" w:hAnsiTheme="minorHAnsi"/>
                <w:szCs w:val="20"/>
                <w:lang w:val="en-US"/>
              </w:rPr>
              <w:t>Maria Luz Martinez</w:t>
            </w:r>
          </w:p>
        </w:tc>
        <w:tc>
          <w:tcPr>
            <w:tcW w:w="3969" w:type="dxa"/>
          </w:tcPr>
          <w:p w:rsidR="008543B2" w:rsidRDefault="008543B2" w:rsidP="00BC6B07">
            <w:pPr>
              <w:spacing w:after="0"/>
              <w:jc w:val="left"/>
              <w:cnfStyle w:val="000000010000" w:firstRow="0" w:lastRow="0" w:firstColumn="0" w:lastColumn="0" w:oddVBand="0" w:evenVBand="0" w:oddHBand="0" w:evenHBand="1" w:firstRowFirstColumn="0" w:firstRowLastColumn="0" w:lastRowFirstColumn="0" w:lastRowLastColumn="0"/>
              <w:rPr>
                <w:rFonts w:asciiTheme="minorHAnsi" w:hAnsiTheme="minorHAnsi"/>
                <w:szCs w:val="20"/>
                <w:lang w:val="en-US"/>
              </w:rPr>
            </w:pPr>
            <w:r>
              <w:rPr>
                <w:rFonts w:asciiTheme="minorHAnsi" w:hAnsiTheme="minorHAnsi"/>
                <w:szCs w:val="20"/>
                <w:lang w:val="en-US"/>
              </w:rPr>
              <w:t>Committee on Nutrition and Foods</w:t>
            </w:r>
          </w:p>
        </w:tc>
        <w:tc>
          <w:tcPr>
            <w:tcW w:w="2368" w:type="dxa"/>
          </w:tcPr>
          <w:p w:rsidR="008543B2" w:rsidRPr="00231C30" w:rsidRDefault="00595760" w:rsidP="00BC6B07">
            <w:pPr>
              <w:spacing w:after="0"/>
              <w:jc w:val="left"/>
              <w:cnfStyle w:val="000000010000" w:firstRow="0" w:lastRow="0" w:firstColumn="0" w:lastColumn="0" w:oddVBand="0" w:evenVBand="0" w:oddHBand="0" w:evenHBand="1" w:firstRowFirstColumn="0" w:firstRowLastColumn="0" w:lastRowFirstColumn="0" w:lastRowLastColumn="0"/>
              <w:rPr>
                <w:rFonts w:asciiTheme="minorHAnsi" w:hAnsiTheme="minorHAnsi"/>
                <w:szCs w:val="20"/>
                <w:highlight w:val="yellow"/>
                <w:lang w:val="en-US"/>
              </w:rPr>
            </w:pPr>
            <w:r w:rsidRPr="00595760">
              <w:rPr>
                <w:rFonts w:asciiTheme="minorHAnsi" w:hAnsiTheme="minorHAnsi"/>
                <w:szCs w:val="20"/>
                <w:lang w:val="en-US"/>
              </w:rPr>
              <w:t>Argentine</w:t>
            </w:r>
          </w:p>
        </w:tc>
      </w:tr>
      <w:tr w:rsidR="008543B2" w:rsidRPr="0023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8543B2" w:rsidRDefault="008543B2" w:rsidP="00BC6B07">
            <w:pPr>
              <w:spacing w:after="0"/>
              <w:jc w:val="left"/>
              <w:rPr>
                <w:rFonts w:asciiTheme="minorHAnsi" w:hAnsiTheme="minorHAnsi"/>
                <w:szCs w:val="20"/>
                <w:lang w:val="en-US"/>
              </w:rPr>
            </w:pPr>
            <w:r>
              <w:rPr>
                <w:rFonts w:asciiTheme="minorHAnsi" w:hAnsiTheme="minorHAnsi"/>
                <w:szCs w:val="20"/>
                <w:lang w:val="en-US"/>
              </w:rPr>
              <w:t>Celso Rodriguez</w:t>
            </w:r>
          </w:p>
        </w:tc>
        <w:tc>
          <w:tcPr>
            <w:tcW w:w="3969" w:type="dxa"/>
          </w:tcPr>
          <w:p w:rsidR="008543B2" w:rsidRDefault="008543B2" w:rsidP="00BC6B07">
            <w:pPr>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0"/>
                <w:lang w:val="en-US"/>
              </w:rPr>
            </w:pPr>
            <w:r>
              <w:rPr>
                <w:rFonts w:asciiTheme="minorHAnsi" w:hAnsiTheme="minorHAnsi"/>
                <w:szCs w:val="20"/>
                <w:lang w:val="en-US"/>
              </w:rPr>
              <w:t>PAHO/WHO</w:t>
            </w:r>
          </w:p>
        </w:tc>
        <w:tc>
          <w:tcPr>
            <w:tcW w:w="2368" w:type="dxa"/>
          </w:tcPr>
          <w:p w:rsidR="008543B2" w:rsidRPr="00231C30" w:rsidRDefault="00595760" w:rsidP="00BC6B07">
            <w:pPr>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0"/>
                <w:highlight w:val="yellow"/>
                <w:lang w:val="en-US"/>
              </w:rPr>
            </w:pPr>
            <w:r w:rsidRPr="00595760">
              <w:rPr>
                <w:rFonts w:asciiTheme="minorHAnsi" w:hAnsiTheme="minorHAnsi"/>
                <w:szCs w:val="20"/>
                <w:lang w:val="en-US"/>
              </w:rPr>
              <w:t>Argentine</w:t>
            </w:r>
          </w:p>
        </w:tc>
      </w:tr>
      <w:tr w:rsidR="008543B2" w:rsidRPr="00B536F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8543B2" w:rsidRDefault="008543B2" w:rsidP="00BC6B07">
            <w:pPr>
              <w:spacing w:after="0"/>
              <w:jc w:val="left"/>
              <w:rPr>
                <w:rFonts w:asciiTheme="minorHAnsi" w:hAnsiTheme="minorHAnsi"/>
                <w:szCs w:val="20"/>
                <w:lang w:val="en-US"/>
              </w:rPr>
            </w:pPr>
            <w:r>
              <w:rPr>
                <w:rFonts w:asciiTheme="minorHAnsi" w:hAnsiTheme="minorHAnsi"/>
                <w:szCs w:val="20"/>
                <w:lang w:val="en-US"/>
              </w:rPr>
              <w:t>Lucia Jorge</w:t>
            </w:r>
          </w:p>
        </w:tc>
        <w:tc>
          <w:tcPr>
            <w:tcW w:w="3969" w:type="dxa"/>
          </w:tcPr>
          <w:p w:rsidR="008543B2" w:rsidRDefault="008543B2" w:rsidP="00BC6B07">
            <w:pPr>
              <w:spacing w:after="0"/>
              <w:jc w:val="left"/>
              <w:cnfStyle w:val="000000010000" w:firstRow="0" w:lastRow="0" w:firstColumn="0" w:lastColumn="0" w:oddVBand="0" w:evenVBand="0" w:oddHBand="0" w:evenHBand="1" w:firstRowFirstColumn="0" w:firstRowLastColumn="0" w:lastRowFirstColumn="0" w:lastRowLastColumn="0"/>
              <w:rPr>
                <w:rFonts w:asciiTheme="minorHAnsi" w:hAnsiTheme="minorHAnsi"/>
                <w:szCs w:val="20"/>
                <w:lang w:val="en-US"/>
              </w:rPr>
            </w:pPr>
            <w:r>
              <w:rPr>
                <w:rFonts w:asciiTheme="minorHAnsi" w:hAnsiTheme="minorHAnsi"/>
                <w:szCs w:val="20"/>
                <w:lang w:val="en-US"/>
              </w:rPr>
              <w:t>Under-Secretariat for Consumer Protection</w:t>
            </w:r>
          </w:p>
        </w:tc>
        <w:tc>
          <w:tcPr>
            <w:tcW w:w="2368" w:type="dxa"/>
          </w:tcPr>
          <w:p w:rsidR="008543B2" w:rsidRPr="00231C30" w:rsidRDefault="00595760" w:rsidP="00BC6B07">
            <w:pPr>
              <w:spacing w:after="0"/>
              <w:jc w:val="left"/>
              <w:cnfStyle w:val="000000010000" w:firstRow="0" w:lastRow="0" w:firstColumn="0" w:lastColumn="0" w:oddVBand="0" w:evenVBand="0" w:oddHBand="0" w:evenHBand="1" w:firstRowFirstColumn="0" w:firstRowLastColumn="0" w:lastRowFirstColumn="0" w:lastRowLastColumn="0"/>
              <w:rPr>
                <w:rFonts w:asciiTheme="minorHAnsi" w:hAnsiTheme="minorHAnsi"/>
                <w:szCs w:val="20"/>
                <w:highlight w:val="yellow"/>
                <w:lang w:val="en-US"/>
              </w:rPr>
            </w:pPr>
            <w:r w:rsidRPr="00595760">
              <w:rPr>
                <w:rFonts w:asciiTheme="minorHAnsi" w:hAnsiTheme="minorHAnsi"/>
                <w:szCs w:val="20"/>
                <w:lang w:val="en-US"/>
              </w:rPr>
              <w:t>Argentine</w:t>
            </w:r>
          </w:p>
        </w:tc>
      </w:tr>
      <w:tr w:rsidR="008543B2" w:rsidRPr="00B536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8543B2" w:rsidRDefault="008543B2" w:rsidP="00BC6B07">
            <w:pPr>
              <w:spacing w:after="0"/>
              <w:jc w:val="left"/>
              <w:rPr>
                <w:rFonts w:asciiTheme="minorHAnsi" w:hAnsiTheme="minorHAnsi"/>
                <w:szCs w:val="20"/>
                <w:lang w:val="en-US"/>
              </w:rPr>
            </w:pPr>
            <w:r>
              <w:rPr>
                <w:rFonts w:asciiTheme="minorHAnsi" w:hAnsiTheme="minorHAnsi"/>
                <w:szCs w:val="20"/>
                <w:lang w:val="en-US"/>
              </w:rPr>
              <w:t>Nicolas Winter</w:t>
            </w:r>
          </w:p>
        </w:tc>
        <w:tc>
          <w:tcPr>
            <w:tcW w:w="3969" w:type="dxa"/>
          </w:tcPr>
          <w:p w:rsidR="008543B2" w:rsidRDefault="008543B2" w:rsidP="00BC6B07">
            <w:pPr>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0"/>
                <w:lang w:val="en-US"/>
              </w:rPr>
            </w:pPr>
            <w:r>
              <w:rPr>
                <w:rFonts w:asciiTheme="minorHAnsi" w:hAnsiTheme="minorHAnsi"/>
                <w:szCs w:val="20"/>
                <w:lang w:val="en-US"/>
              </w:rPr>
              <w:t>Committee on Residuaries of Veterinary Drugs in Foods</w:t>
            </w:r>
          </w:p>
        </w:tc>
        <w:tc>
          <w:tcPr>
            <w:tcW w:w="2368" w:type="dxa"/>
          </w:tcPr>
          <w:p w:rsidR="008543B2" w:rsidRPr="00231C30" w:rsidRDefault="00595760" w:rsidP="00BC6B07">
            <w:pPr>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0"/>
                <w:highlight w:val="yellow"/>
                <w:lang w:val="en-US"/>
              </w:rPr>
            </w:pPr>
            <w:r w:rsidRPr="00595760">
              <w:rPr>
                <w:rFonts w:asciiTheme="minorHAnsi" w:hAnsiTheme="minorHAnsi"/>
                <w:szCs w:val="20"/>
                <w:lang w:val="en-US"/>
              </w:rPr>
              <w:t>Argentine</w:t>
            </w:r>
          </w:p>
        </w:tc>
      </w:tr>
      <w:tr w:rsidR="008543B2" w:rsidRPr="00231C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8543B2" w:rsidRDefault="008543B2" w:rsidP="00BC6B07">
            <w:pPr>
              <w:spacing w:after="0"/>
              <w:jc w:val="left"/>
              <w:rPr>
                <w:rFonts w:asciiTheme="minorHAnsi" w:hAnsiTheme="minorHAnsi"/>
                <w:szCs w:val="20"/>
                <w:lang w:val="en-US"/>
              </w:rPr>
            </w:pPr>
            <w:r>
              <w:rPr>
                <w:rFonts w:asciiTheme="minorHAnsi" w:hAnsiTheme="minorHAnsi"/>
                <w:szCs w:val="20"/>
                <w:lang w:val="en-US"/>
              </w:rPr>
              <w:t>Martin Minassian</w:t>
            </w:r>
          </w:p>
        </w:tc>
        <w:tc>
          <w:tcPr>
            <w:tcW w:w="3969" w:type="dxa"/>
          </w:tcPr>
          <w:p w:rsidR="008543B2" w:rsidRDefault="008543B2" w:rsidP="00BC6B07">
            <w:pPr>
              <w:spacing w:after="0"/>
              <w:jc w:val="left"/>
              <w:cnfStyle w:val="000000010000" w:firstRow="0" w:lastRow="0" w:firstColumn="0" w:lastColumn="0" w:oddVBand="0" w:evenVBand="0" w:oddHBand="0" w:evenHBand="1" w:firstRowFirstColumn="0" w:firstRowLastColumn="0" w:lastRowFirstColumn="0" w:lastRowLastColumn="0"/>
              <w:rPr>
                <w:rFonts w:asciiTheme="minorHAnsi" w:hAnsiTheme="minorHAnsi"/>
                <w:szCs w:val="20"/>
                <w:lang w:val="en-US"/>
              </w:rPr>
            </w:pPr>
            <w:r>
              <w:rPr>
                <w:rFonts w:asciiTheme="minorHAnsi" w:hAnsiTheme="minorHAnsi"/>
                <w:szCs w:val="20"/>
                <w:lang w:val="en-US"/>
              </w:rPr>
              <w:t>Taskforce on Antimicrobial Resistance</w:t>
            </w:r>
          </w:p>
        </w:tc>
        <w:tc>
          <w:tcPr>
            <w:tcW w:w="2368" w:type="dxa"/>
          </w:tcPr>
          <w:p w:rsidR="008543B2" w:rsidRPr="00231C30" w:rsidRDefault="00595760" w:rsidP="00BC6B07">
            <w:pPr>
              <w:spacing w:after="0"/>
              <w:jc w:val="left"/>
              <w:cnfStyle w:val="000000010000" w:firstRow="0" w:lastRow="0" w:firstColumn="0" w:lastColumn="0" w:oddVBand="0" w:evenVBand="0" w:oddHBand="0" w:evenHBand="1" w:firstRowFirstColumn="0" w:firstRowLastColumn="0" w:lastRowFirstColumn="0" w:lastRowLastColumn="0"/>
              <w:rPr>
                <w:rFonts w:asciiTheme="minorHAnsi" w:hAnsiTheme="minorHAnsi"/>
                <w:szCs w:val="20"/>
                <w:highlight w:val="yellow"/>
                <w:lang w:val="en-US"/>
              </w:rPr>
            </w:pPr>
            <w:r w:rsidRPr="00595760">
              <w:rPr>
                <w:rFonts w:asciiTheme="minorHAnsi" w:hAnsiTheme="minorHAnsi"/>
                <w:szCs w:val="20"/>
                <w:lang w:val="en-US"/>
              </w:rPr>
              <w:t>Argentine</w:t>
            </w:r>
          </w:p>
        </w:tc>
      </w:tr>
      <w:tr w:rsidR="008543B2" w:rsidRPr="00B536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8543B2" w:rsidRDefault="008543B2" w:rsidP="00BC6B07">
            <w:pPr>
              <w:spacing w:after="0"/>
              <w:jc w:val="left"/>
              <w:rPr>
                <w:rFonts w:asciiTheme="minorHAnsi" w:hAnsiTheme="minorHAnsi"/>
                <w:szCs w:val="20"/>
                <w:lang w:val="en-US"/>
              </w:rPr>
            </w:pPr>
            <w:r>
              <w:rPr>
                <w:rFonts w:asciiTheme="minorHAnsi" w:hAnsiTheme="minorHAnsi"/>
                <w:szCs w:val="20"/>
                <w:lang w:val="en-US"/>
              </w:rPr>
              <w:t xml:space="preserve">Eduardo Echaniz </w:t>
            </w:r>
          </w:p>
        </w:tc>
        <w:tc>
          <w:tcPr>
            <w:tcW w:w="3969" w:type="dxa"/>
          </w:tcPr>
          <w:p w:rsidR="008543B2" w:rsidRDefault="008543B2" w:rsidP="00BC6B07">
            <w:pPr>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0"/>
                <w:lang w:val="en-US"/>
              </w:rPr>
            </w:pPr>
            <w:r>
              <w:rPr>
                <w:rFonts w:asciiTheme="minorHAnsi" w:hAnsiTheme="minorHAnsi"/>
                <w:szCs w:val="20"/>
                <w:lang w:val="en-US"/>
              </w:rPr>
              <w:t>National Agrifood Control Bureau, SENASA</w:t>
            </w:r>
          </w:p>
        </w:tc>
        <w:tc>
          <w:tcPr>
            <w:tcW w:w="2368" w:type="dxa"/>
          </w:tcPr>
          <w:p w:rsidR="008543B2" w:rsidRPr="00231C30" w:rsidRDefault="00595760" w:rsidP="00BC6B07">
            <w:pPr>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0"/>
                <w:highlight w:val="yellow"/>
                <w:lang w:val="en-US"/>
              </w:rPr>
            </w:pPr>
            <w:r w:rsidRPr="00595760">
              <w:rPr>
                <w:rFonts w:asciiTheme="minorHAnsi" w:hAnsiTheme="minorHAnsi"/>
                <w:szCs w:val="20"/>
                <w:lang w:val="en-US"/>
              </w:rPr>
              <w:t>Argentine</w:t>
            </w:r>
          </w:p>
        </w:tc>
      </w:tr>
      <w:tr w:rsidR="008543B2" w:rsidRPr="00B536F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8543B2" w:rsidRDefault="008543B2" w:rsidP="00BC6B07">
            <w:pPr>
              <w:spacing w:after="0"/>
              <w:jc w:val="left"/>
              <w:rPr>
                <w:rFonts w:asciiTheme="minorHAnsi" w:hAnsiTheme="minorHAnsi"/>
                <w:szCs w:val="20"/>
                <w:lang w:val="en-US"/>
              </w:rPr>
            </w:pPr>
            <w:r>
              <w:rPr>
                <w:rFonts w:asciiTheme="minorHAnsi" w:hAnsiTheme="minorHAnsi"/>
                <w:szCs w:val="20"/>
                <w:lang w:val="en-US"/>
              </w:rPr>
              <w:t>Ricardo Maggi</w:t>
            </w:r>
          </w:p>
        </w:tc>
        <w:tc>
          <w:tcPr>
            <w:tcW w:w="3969" w:type="dxa"/>
          </w:tcPr>
          <w:p w:rsidR="008543B2" w:rsidRDefault="008543B2" w:rsidP="00BC6B07">
            <w:pPr>
              <w:spacing w:after="0"/>
              <w:jc w:val="left"/>
              <w:cnfStyle w:val="000000010000" w:firstRow="0" w:lastRow="0" w:firstColumn="0" w:lastColumn="0" w:oddVBand="0" w:evenVBand="0" w:oddHBand="0" w:evenHBand="1" w:firstRowFirstColumn="0" w:firstRowLastColumn="0" w:lastRowFirstColumn="0" w:lastRowLastColumn="0"/>
              <w:rPr>
                <w:rFonts w:asciiTheme="minorHAnsi" w:hAnsiTheme="minorHAnsi"/>
                <w:szCs w:val="20"/>
                <w:lang w:val="en-US"/>
              </w:rPr>
            </w:pPr>
            <w:r>
              <w:rPr>
                <w:rFonts w:asciiTheme="minorHAnsi" w:hAnsiTheme="minorHAnsi"/>
                <w:szCs w:val="20"/>
                <w:lang w:val="en-US"/>
              </w:rPr>
              <w:t>National Agrifood Control Bureau, SENASA</w:t>
            </w:r>
          </w:p>
        </w:tc>
        <w:tc>
          <w:tcPr>
            <w:tcW w:w="2368" w:type="dxa"/>
          </w:tcPr>
          <w:p w:rsidR="008543B2" w:rsidRPr="00231C30" w:rsidRDefault="00595760" w:rsidP="00BC6B07">
            <w:pPr>
              <w:spacing w:after="0"/>
              <w:jc w:val="left"/>
              <w:cnfStyle w:val="000000010000" w:firstRow="0" w:lastRow="0" w:firstColumn="0" w:lastColumn="0" w:oddVBand="0" w:evenVBand="0" w:oddHBand="0" w:evenHBand="1" w:firstRowFirstColumn="0" w:firstRowLastColumn="0" w:lastRowFirstColumn="0" w:lastRowLastColumn="0"/>
              <w:rPr>
                <w:rFonts w:asciiTheme="minorHAnsi" w:hAnsiTheme="minorHAnsi"/>
                <w:szCs w:val="20"/>
                <w:highlight w:val="yellow"/>
                <w:lang w:val="en-US"/>
              </w:rPr>
            </w:pPr>
            <w:r w:rsidRPr="00595760">
              <w:rPr>
                <w:rFonts w:asciiTheme="minorHAnsi" w:hAnsiTheme="minorHAnsi"/>
                <w:szCs w:val="20"/>
                <w:lang w:val="en-US"/>
              </w:rPr>
              <w:t>Argentine</w:t>
            </w:r>
          </w:p>
        </w:tc>
      </w:tr>
      <w:tr w:rsidR="008543B2" w:rsidRPr="0023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8543B2" w:rsidRDefault="008543B2" w:rsidP="00BC6B07">
            <w:pPr>
              <w:spacing w:after="0"/>
              <w:jc w:val="left"/>
              <w:rPr>
                <w:rFonts w:asciiTheme="minorHAnsi" w:hAnsiTheme="minorHAnsi"/>
                <w:szCs w:val="20"/>
                <w:lang w:val="en-US"/>
              </w:rPr>
            </w:pPr>
            <w:r>
              <w:rPr>
                <w:rFonts w:asciiTheme="minorHAnsi" w:hAnsiTheme="minorHAnsi"/>
                <w:szCs w:val="20"/>
                <w:lang w:val="en-US"/>
              </w:rPr>
              <w:t>Mrtin Pablo Arroba</w:t>
            </w:r>
          </w:p>
        </w:tc>
        <w:tc>
          <w:tcPr>
            <w:tcW w:w="3969" w:type="dxa"/>
          </w:tcPr>
          <w:p w:rsidR="008543B2" w:rsidRDefault="008543B2" w:rsidP="00BC6B07">
            <w:pPr>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0"/>
                <w:lang w:val="en-US"/>
              </w:rPr>
            </w:pPr>
            <w:r>
              <w:rPr>
                <w:rFonts w:asciiTheme="minorHAnsi" w:hAnsiTheme="minorHAnsi"/>
                <w:szCs w:val="20"/>
                <w:lang w:val="en-US"/>
              </w:rPr>
              <w:t>SENASA</w:t>
            </w:r>
          </w:p>
        </w:tc>
        <w:tc>
          <w:tcPr>
            <w:tcW w:w="2368" w:type="dxa"/>
          </w:tcPr>
          <w:p w:rsidR="008543B2" w:rsidRPr="00231C30" w:rsidRDefault="00595760" w:rsidP="00BC6B07">
            <w:pPr>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0"/>
                <w:highlight w:val="yellow"/>
                <w:lang w:val="en-US"/>
              </w:rPr>
            </w:pPr>
            <w:r w:rsidRPr="00595760">
              <w:rPr>
                <w:rFonts w:asciiTheme="minorHAnsi" w:hAnsiTheme="minorHAnsi"/>
                <w:szCs w:val="20"/>
                <w:lang w:val="en-US"/>
              </w:rPr>
              <w:t>Argentine</w:t>
            </w:r>
          </w:p>
        </w:tc>
      </w:tr>
      <w:tr w:rsidR="008543B2" w:rsidRPr="00B536F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8543B2" w:rsidRDefault="008543B2" w:rsidP="00BC6B07">
            <w:pPr>
              <w:spacing w:after="0"/>
              <w:jc w:val="left"/>
              <w:rPr>
                <w:rFonts w:asciiTheme="minorHAnsi" w:hAnsiTheme="minorHAnsi"/>
                <w:szCs w:val="20"/>
                <w:lang w:val="en-US"/>
              </w:rPr>
            </w:pPr>
            <w:r>
              <w:rPr>
                <w:rFonts w:asciiTheme="minorHAnsi" w:hAnsiTheme="minorHAnsi"/>
                <w:szCs w:val="20"/>
                <w:lang w:val="en-US"/>
              </w:rPr>
              <w:t>Mariana Pitchel</w:t>
            </w:r>
          </w:p>
        </w:tc>
        <w:tc>
          <w:tcPr>
            <w:tcW w:w="3969" w:type="dxa"/>
          </w:tcPr>
          <w:p w:rsidR="008543B2" w:rsidRPr="001E66FA" w:rsidRDefault="008543B2" w:rsidP="00BC6B07">
            <w:pPr>
              <w:spacing w:after="0"/>
              <w:jc w:val="left"/>
              <w:cnfStyle w:val="000000010000" w:firstRow="0" w:lastRow="0" w:firstColumn="0" w:lastColumn="0" w:oddVBand="0" w:evenVBand="0" w:oddHBand="0" w:evenHBand="1" w:firstRowFirstColumn="0" w:firstRowLastColumn="0" w:lastRowFirstColumn="0" w:lastRowLastColumn="0"/>
              <w:rPr>
                <w:rFonts w:asciiTheme="minorHAnsi" w:hAnsiTheme="minorHAnsi"/>
                <w:szCs w:val="20"/>
                <w:lang w:val="es-ES"/>
              </w:rPr>
            </w:pPr>
            <w:r w:rsidRPr="001E66FA">
              <w:rPr>
                <w:rFonts w:asciiTheme="minorHAnsi" w:hAnsiTheme="minorHAnsi"/>
                <w:szCs w:val="20"/>
                <w:lang w:val="es-ES"/>
              </w:rPr>
              <w:t>ANLIS, Administracion Nacional de Laboratorios e Institutos de Salud</w:t>
            </w:r>
          </w:p>
        </w:tc>
        <w:tc>
          <w:tcPr>
            <w:tcW w:w="2368" w:type="dxa"/>
          </w:tcPr>
          <w:p w:rsidR="008543B2" w:rsidRPr="001E66FA" w:rsidRDefault="00595760" w:rsidP="00BC6B07">
            <w:pPr>
              <w:spacing w:after="0"/>
              <w:jc w:val="left"/>
              <w:cnfStyle w:val="000000010000" w:firstRow="0" w:lastRow="0" w:firstColumn="0" w:lastColumn="0" w:oddVBand="0" w:evenVBand="0" w:oddHBand="0" w:evenHBand="1" w:firstRowFirstColumn="0" w:firstRowLastColumn="0" w:lastRowFirstColumn="0" w:lastRowLastColumn="0"/>
              <w:rPr>
                <w:rFonts w:asciiTheme="minorHAnsi" w:hAnsiTheme="minorHAnsi"/>
                <w:szCs w:val="20"/>
                <w:highlight w:val="yellow"/>
                <w:lang w:val="es-ES"/>
              </w:rPr>
            </w:pPr>
            <w:r w:rsidRPr="00595760">
              <w:rPr>
                <w:rFonts w:asciiTheme="minorHAnsi" w:hAnsiTheme="minorHAnsi"/>
                <w:szCs w:val="20"/>
                <w:lang w:val="en-US"/>
              </w:rPr>
              <w:t>Argentine</w:t>
            </w:r>
          </w:p>
        </w:tc>
      </w:tr>
      <w:tr w:rsidR="008543B2" w:rsidRPr="00B536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8543B2" w:rsidRDefault="008543B2" w:rsidP="00BC6B07">
            <w:pPr>
              <w:spacing w:after="0"/>
              <w:jc w:val="left"/>
              <w:rPr>
                <w:rFonts w:asciiTheme="minorHAnsi" w:hAnsiTheme="minorHAnsi"/>
                <w:szCs w:val="20"/>
                <w:lang w:val="en-US"/>
              </w:rPr>
            </w:pPr>
            <w:r>
              <w:rPr>
                <w:rFonts w:asciiTheme="minorHAnsi" w:hAnsiTheme="minorHAnsi"/>
                <w:szCs w:val="20"/>
                <w:lang w:val="en-US"/>
              </w:rPr>
              <w:t>Susana Fattori</w:t>
            </w:r>
          </w:p>
        </w:tc>
        <w:tc>
          <w:tcPr>
            <w:tcW w:w="3969" w:type="dxa"/>
          </w:tcPr>
          <w:p w:rsidR="008543B2" w:rsidRDefault="008543B2" w:rsidP="00BC6B07">
            <w:pPr>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0"/>
                <w:lang w:val="en-US"/>
              </w:rPr>
            </w:pPr>
            <w:r>
              <w:rPr>
                <w:rFonts w:asciiTheme="minorHAnsi" w:hAnsiTheme="minorHAnsi"/>
                <w:szCs w:val="20"/>
                <w:lang w:val="en-US"/>
              </w:rPr>
              <w:t>Committee on Milk and Milk Products</w:t>
            </w:r>
          </w:p>
        </w:tc>
        <w:tc>
          <w:tcPr>
            <w:tcW w:w="2368" w:type="dxa"/>
          </w:tcPr>
          <w:p w:rsidR="008543B2" w:rsidRPr="00231C30" w:rsidRDefault="00595760" w:rsidP="00BC6B07">
            <w:pPr>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0"/>
                <w:highlight w:val="yellow"/>
                <w:lang w:val="en-US"/>
              </w:rPr>
            </w:pPr>
            <w:r w:rsidRPr="00595760">
              <w:rPr>
                <w:rFonts w:asciiTheme="minorHAnsi" w:hAnsiTheme="minorHAnsi"/>
                <w:szCs w:val="20"/>
                <w:lang w:val="en-US"/>
              </w:rPr>
              <w:t>Argentine</w:t>
            </w:r>
          </w:p>
        </w:tc>
      </w:tr>
      <w:tr w:rsidR="00595760" w:rsidRPr="00B536F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595760" w:rsidRDefault="00595760" w:rsidP="00BC6B07">
            <w:pPr>
              <w:spacing w:after="0"/>
              <w:jc w:val="left"/>
              <w:rPr>
                <w:rFonts w:asciiTheme="minorHAnsi" w:hAnsiTheme="minorHAnsi"/>
                <w:szCs w:val="20"/>
                <w:lang w:val="en-US"/>
              </w:rPr>
            </w:pPr>
            <w:r>
              <w:rPr>
                <w:rFonts w:asciiTheme="minorHAnsi" w:hAnsiTheme="minorHAnsi"/>
                <w:szCs w:val="20"/>
                <w:lang w:val="en-US"/>
              </w:rPr>
              <w:t>Lorenzo Basso</w:t>
            </w:r>
          </w:p>
        </w:tc>
        <w:tc>
          <w:tcPr>
            <w:tcW w:w="3969" w:type="dxa"/>
          </w:tcPr>
          <w:p w:rsidR="00595760" w:rsidRDefault="00595760" w:rsidP="00BC6B07">
            <w:pPr>
              <w:spacing w:after="0"/>
              <w:jc w:val="left"/>
              <w:cnfStyle w:val="000000010000" w:firstRow="0" w:lastRow="0" w:firstColumn="0" w:lastColumn="0" w:oddVBand="0" w:evenVBand="0" w:oddHBand="0" w:evenHBand="1" w:firstRowFirstColumn="0" w:firstRowLastColumn="0" w:lastRowFirstColumn="0" w:lastRowLastColumn="0"/>
              <w:rPr>
                <w:rFonts w:asciiTheme="minorHAnsi" w:hAnsiTheme="minorHAnsi"/>
                <w:szCs w:val="20"/>
                <w:lang w:val="en-US"/>
              </w:rPr>
            </w:pPr>
            <w:r>
              <w:rPr>
                <w:rFonts w:asciiTheme="minorHAnsi" w:hAnsiTheme="minorHAnsi"/>
                <w:szCs w:val="20"/>
                <w:lang w:val="en-US"/>
              </w:rPr>
              <w:t>President of the Codex National Commission</w:t>
            </w:r>
          </w:p>
        </w:tc>
        <w:tc>
          <w:tcPr>
            <w:tcW w:w="2368" w:type="dxa"/>
          </w:tcPr>
          <w:p w:rsidR="00595760" w:rsidRPr="00231C30" w:rsidRDefault="00595760" w:rsidP="00BC6B07">
            <w:pPr>
              <w:spacing w:after="0"/>
              <w:jc w:val="left"/>
              <w:cnfStyle w:val="000000010000" w:firstRow="0" w:lastRow="0" w:firstColumn="0" w:lastColumn="0" w:oddVBand="0" w:evenVBand="0" w:oddHBand="0" w:evenHBand="1" w:firstRowFirstColumn="0" w:firstRowLastColumn="0" w:lastRowFirstColumn="0" w:lastRowLastColumn="0"/>
              <w:rPr>
                <w:rFonts w:asciiTheme="minorHAnsi" w:hAnsiTheme="minorHAnsi"/>
                <w:szCs w:val="20"/>
                <w:highlight w:val="yellow"/>
                <w:lang w:val="en-US"/>
              </w:rPr>
            </w:pPr>
            <w:r w:rsidRPr="00C664FC">
              <w:rPr>
                <w:rFonts w:asciiTheme="minorHAnsi" w:hAnsiTheme="minorHAnsi"/>
                <w:szCs w:val="20"/>
                <w:lang w:val="en-US"/>
              </w:rPr>
              <w:t>Argentine</w:t>
            </w:r>
          </w:p>
        </w:tc>
      </w:tr>
      <w:tr w:rsidR="00595760" w:rsidRPr="0023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595760" w:rsidRDefault="00595760" w:rsidP="00BC6B07">
            <w:pPr>
              <w:spacing w:after="0"/>
              <w:jc w:val="left"/>
              <w:rPr>
                <w:rFonts w:asciiTheme="minorHAnsi" w:hAnsiTheme="minorHAnsi"/>
                <w:szCs w:val="20"/>
                <w:lang w:val="en-US"/>
              </w:rPr>
            </w:pPr>
            <w:r>
              <w:rPr>
                <w:rFonts w:asciiTheme="minorHAnsi" w:hAnsiTheme="minorHAnsi"/>
                <w:szCs w:val="20"/>
                <w:lang w:val="en-US"/>
              </w:rPr>
              <w:t>Roxana Blasetti</w:t>
            </w:r>
          </w:p>
        </w:tc>
        <w:tc>
          <w:tcPr>
            <w:tcW w:w="3969" w:type="dxa"/>
          </w:tcPr>
          <w:p w:rsidR="00595760" w:rsidRDefault="00595760" w:rsidP="00BC6B07">
            <w:pPr>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0"/>
                <w:lang w:val="en-US"/>
              </w:rPr>
            </w:pPr>
            <w:r>
              <w:rPr>
                <w:rFonts w:asciiTheme="minorHAnsi" w:hAnsiTheme="minorHAnsi"/>
                <w:szCs w:val="20"/>
                <w:lang w:val="en-US"/>
              </w:rPr>
              <w:t>International Agrifood Relations Director</w:t>
            </w:r>
          </w:p>
        </w:tc>
        <w:tc>
          <w:tcPr>
            <w:tcW w:w="2368" w:type="dxa"/>
          </w:tcPr>
          <w:p w:rsidR="00595760" w:rsidRPr="00231C30" w:rsidRDefault="00595760" w:rsidP="00BC6B07">
            <w:pPr>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0"/>
                <w:highlight w:val="yellow"/>
                <w:lang w:val="en-US"/>
              </w:rPr>
            </w:pPr>
            <w:r w:rsidRPr="00C664FC">
              <w:rPr>
                <w:rFonts w:asciiTheme="minorHAnsi" w:hAnsiTheme="minorHAnsi"/>
                <w:szCs w:val="20"/>
                <w:lang w:val="en-US"/>
              </w:rPr>
              <w:t>Argentine</w:t>
            </w:r>
          </w:p>
        </w:tc>
      </w:tr>
      <w:tr w:rsidR="00595760" w:rsidRPr="00B536F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595760" w:rsidRDefault="00595760" w:rsidP="00BC6B07">
            <w:pPr>
              <w:spacing w:after="0"/>
              <w:jc w:val="left"/>
              <w:rPr>
                <w:rFonts w:asciiTheme="minorHAnsi" w:hAnsiTheme="minorHAnsi"/>
                <w:szCs w:val="20"/>
                <w:lang w:val="en-US"/>
              </w:rPr>
            </w:pPr>
            <w:r>
              <w:rPr>
                <w:rFonts w:asciiTheme="minorHAnsi" w:hAnsiTheme="minorHAnsi"/>
                <w:szCs w:val="20"/>
                <w:lang w:val="en-US"/>
              </w:rPr>
              <w:t>Pablo Moron</w:t>
            </w:r>
          </w:p>
        </w:tc>
        <w:tc>
          <w:tcPr>
            <w:tcW w:w="3969" w:type="dxa"/>
          </w:tcPr>
          <w:p w:rsidR="00595760" w:rsidRDefault="00595760" w:rsidP="00BC6B07">
            <w:pPr>
              <w:spacing w:after="0"/>
              <w:jc w:val="left"/>
              <w:cnfStyle w:val="000000010000" w:firstRow="0" w:lastRow="0" w:firstColumn="0" w:lastColumn="0" w:oddVBand="0" w:evenVBand="0" w:oddHBand="0" w:evenHBand="1" w:firstRowFirstColumn="0" w:firstRowLastColumn="0" w:lastRowFirstColumn="0" w:lastRowLastColumn="0"/>
              <w:rPr>
                <w:rFonts w:asciiTheme="minorHAnsi" w:hAnsiTheme="minorHAnsi"/>
                <w:szCs w:val="20"/>
                <w:lang w:val="en-US"/>
              </w:rPr>
            </w:pPr>
            <w:r>
              <w:rPr>
                <w:rFonts w:asciiTheme="minorHAnsi" w:hAnsiTheme="minorHAnsi"/>
                <w:szCs w:val="20"/>
                <w:lang w:val="en-US"/>
              </w:rPr>
              <w:t>Food Standards Coordinator, Ministry of Agriculture</w:t>
            </w:r>
          </w:p>
        </w:tc>
        <w:tc>
          <w:tcPr>
            <w:tcW w:w="2368" w:type="dxa"/>
          </w:tcPr>
          <w:p w:rsidR="00595760" w:rsidRPr="00231C30" w:rsidRDefault="00595760" w:rsidP="00BC6B07">
            <w:pPr>
              <w:spacing w:after="0"/>
              <w:jc w:val="left"/>
              <w:cnfStyle w:val="000000010000" w:firstRow="0" w:lastRow="0" w:firstColumn="0" w:lastColumn="0" w:oddVBand="0" w:evenVBand="0" w:oddHBand="0" w:evenHBand="1" w:firstRowFirstColumn="0" w:firstRowLastColumn="0" w:lastRowFirstColumn="0" w:lastRowLastColumn="0"/>
              <w:rPr>
                <w:rFonts w:asciiTheme="minorHAnsi" w:hAnsiTheme="minorHAnsi"/>
                <w:szCs w:val="20"/>
                <w:highlight w:val="yellow"/>
                <w:lang w:val="en-US"/>
              </w:rPr>
            </w:pPr>
            <w:r w:rsidRPr="00C664FC">
              <w:rPr>
                <w:rFonts w:asciiTheme="minorHAnsi" w:hAnsiTheme="minorHAnsi"/>
                <w:szCs w:val="20"/>
                <w:lang w:val="en-US"/>
              </w:rPr>
              <w:t>Argentine</w:t>
            </w:r>
          </w:p>
        </w:tc>
      </w:tr>
      <w:tr w:rsidR="00595760" w:rsidRPr="0023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595760" w:rsidRDefault="00595760" w:rsidP="00BC6B07">
            <w:pPr>
              <w:spacing w:after="0"/>
              <w:jc w:val="left"/>
              <w:rPr>
                <w:rFonts w:asciiTheme="minorHAnsi" w:hAnsiTheme="minorHAnsi"/>
                <w:szCs w:val="20"/>
                <w:lang w:val="en-US"/>
              </w:rPr>
            </w:pPr>
            <w:r>
              <w:rPr>
                <w:rFonts w:asciiTheme="minorHAnsi" w:hAnsiTheme="minorHAnsi"/>
                <w:szCs w:val="20"/>
                <w:lang w:val="en-US"/>
              </w:rPr>
              <w:t>Mariana Pichel</w:t>
            </w:r>
          </w:p>
        </w:tc>
        <w:tc>
          <w:tcPr>
            <w:tcW w:w="3969" w:type="dxa"/>
          </w:tcPr>
          <w:p w:rsidR="00595760" w:rsidRDefault="00595760" w:rsidP="00BC6B07">
            <w:pPr>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0"/>
                <w:lang w:val="en-US"/>
              </w:rPr>
            </w:pPr>
            <w:r>
              <w:rPr>
                <w:rFonts w:asciiTheme="minorHAnsi" w:hAnsiTheme="minorHAnsi"/>
                <w:szCs w:val="20"/>
                <w:lang w:val="en-US"/>
              </w:rPr>
              <w:t>Instituto Malbran</w:t>
            </w:r>
          </w:p>
        </w:tc>
        <w:tc>
          <w:tcPr>
            <w:tcW w:w="2368" w:type="dxa"/>
          </w:tcPr>
          <w:p w:rsidR="00595760" w:rsidRPr="00231C30" w:rsidRDefault="00595760" w:rsidP="00BC6B07">
            <w:pPr>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0"/>
                <w:highlight w:val="yellow"/>
                <w:lang w:val="en-US"/>
              </w:rPr>
            </w:pPr>
            <w:r w:rsidRPr="00C664FC">
              <w:rPr>
                <w:rFonts w:asciiTheme="minorHAnsi" w:hAnsiTheme="minorHAnsi"/>
                <w:szCs w:val="20"/>
                <w:lang w:val="en-US"/>
              </w:rPr>
              <w:t>Argentine</w:t>
            </w:r>
          </w:p>
        </w:tc>
      </w:tr>
      <w:tr w:rsidR="00595760" w:rsidRPr="00231C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595760" w:rsidRDefault="00595760" w:rsidP="00BC6B07">
            <w:pPr>
              <w:spacing w:after="0"/>
              <w:jc w:val="left"/>
              <w:rPr>
                <w:rFonts w:asciiTheme="minorHAnsi" w:hAnsiTheme="minorHAnsi"/>
                <w:szCs w:val="20"/>
                <w:lang w:val="en-US"/>
              </w:rPr>
            </w:pPr>
            <w:r>
              <w:rPr>
                <w:rFonts w:asciiTheme="minorHAnsi" w:hAnsiTheme="minorHAnsi"/>
                <w:szCs w:val="20"/>
                <w:lang w:val="en-US"/>
              </w:rPr>
              <w:t>Juan Stupka</w:t>
            </w:r>
          </w:p>
        </w:tc>
        <w:tc>
          <w:tcPr>
            <w:tcW w:w="3969" w:type="dxa"/>
          </w:tcPr>
          <w:p w:rsidR="00595760" w:rsidRDefault="00595760" w:rsidP="00BC6B07">
            <w:pPr>
              <w:spacing w:after="0"/>
              <w:jc w:val="left"/>
              <w:cnfStyle w:val="000000010000" w:firstRow="0" w:lastRow="0" w:firstColumn="0" w:lastColumn="0" w:oddVBand="0" w:evenVBand="0" w:oddHBand="0" w:evenHBand="1" w:firstRowFirstColumn="0" w:firstRowLastColumn="0" w:lastRowFirstColumn="0" w:lastRowLastColumn="0"/>
              <w:rPr>
                <w:rFonts w:asciiTheme="minorHAnsi" w:hAnsiTheme="minorHAnsi"/>
                <w:szCs w:val="20"/>
                <w:lang w:val="en-US"/>
              </w:rPr>
            </w:pPr>
            <w:r>
              <w:rPr>
                <w:rFonts w:asciiTheme="minorHAnsi" w:hAnsiTheme="minorHAnsi"/>
                <w:szCs w:val="20"/>
                <w:lang w:val="en-US"/>
              </w:rPr>
              <w:t>Instituto Malbran</w:t>
            </w:r>
          </w:p>
        </w:tc>
        <w:tc>
          <w:tcPr>
            <w:tcW w:w="2368" w:type="dxa"/>
          </w:tcPr>
          <w:p w:rsidR="00595760" w:rsidRPr="00231C30" w:rsidRDefault="00595760" w:rsidP="00BC6B07">
            <w:pPr>
              <w:spacing w:after="0"/>
              <w:jc w:val="left"/>
              <w:cnfStyle w:val="000000010000" w:firstRow="0" w:lastRow="0" w:firstColumn="0" w:lastColumn="0" w:oddVBand="0" w:evenVBand="0" w:oddHBand="0" w:evenHBand="1" w:firstRowFirstColumn="0" w:firstRowLastColumn="0" w:lastRowFirstColumn="0" w:lastRowLastColumn="0"/>
              <w:rPr>
                <w:rFonts w:asciiTheme="minorHAnsi" w:hAnsiTheme="minorHAnsi"/>
                <w:szCs w:val="20"/>
                <w:highlight w:val="yellow"/>
                <w:lang w:val="en-US"/>
              </w:rPr>
            </w:pPr>
            <w:r w:rsidRPr="00C664FC">
              <w:rPr>
                <w:rFonts w:asciiTheme="minorHAnsi" w:hAnsiTheme="minorHAnsi"/>
                <w:szCs w:val="20"/>
                <w:lang w:val="en-US"/>
              </w:rPr>
              <w:t>Argentine</w:t>
            </w:r>
          </w:p>
        </w:tc>
      </w:tr>
      <w:tr w:rsidR="00595760" w:rsidRPr="0023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595760" w:rsidRDefault="00595760" w:rsidP="00BC6B07">
            <w:pPr>
              <w:spacing w:after="0"/>
              <w:jc w:val="left"/>
              <w:rPr>
                <w:rFonts w:asciiTheme="minorHAnsi" w:hAnsiTheme="minorHAnsi"/>
                <w:szCs w:val="20"/>
                <w:lang w:val="en-US"/>
              </w:rPr>
            </w:pPr>
            <w:r>
              <w:rPr>
                <w:rFonts w:asciiTheme="minorHAnsi" w:hAnsiTheme="minorHAnsi"/>
                <w:szCs w:val="20"/>
                <w:lang w:val="en-US"/>
              </w:rPr>
              <w:t>Marcelo Galas</w:t>
            </w:r>
          </w:p>
        </w:tc>
        <w:tc>
          <w:tcPr>
            <w:tcW w:w="3969" w:type="dxa"/>
          </w:tcPr>
          <w:p w:rsidR="00595760" w:rsidRDefault="00595760" w:rsidP="00BC6B07">
            <w:pPr>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0"/>
                <w:lang w:val="en-US"/>
              </w:rPr>
            </w:pPr>
            <w:r>
              <w:rPr>
                <w:rFonts w:asciiTheme="minorHAnsi" w:hAnsiTheme="minorHAnsi"/>
                <w:szCs w:val="20"/>
                <w:lang w:val="en-US"/>
              </w:rPr>
              <w:t xml:space="preserve">Instituto Malbran </w:t>
            </w:r>
          </w:p>
        </w:tc>
        <w:tc>
          <w:tcPr>
            <w:tcW w:w="2368" w:type="dxa"/>
          </w:tcPr>
          <w:p w:rsidR="00595760" w:rsidRPr="00231C30" w:rsidRDefault="00595760" w:rsidP="00BC6B07">
            <w:pPr>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0"/>
                <w:highlight w:val="yellow"/>
                <w:lang w:val="en-US"/>
              </w:rPr>
            </w:pPr>
            <w:r w:rsidRPr="00C664FC">
              <w:rPr>
                <w:rFonts w:asciiTheme="minorHAnsi" w:hAnsiTheme="minorHAnsi"/>
                <w:szCs w:val="20"/>
                <w:lang w:val="en-US"/>
              </w:rPr>
              <w:t>Argentine</w:t>
            </w:r>
          </w:p>
        </w:tc>
      </w:tr>
      <w:tr w:rsidR="00595760" w:rsidRPr="00231C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595760" w:rsidRDefault="00595760" w:rsidP="00BC6B07">
            <w:pPr>
              <w:spacing w:after="0"/>
              <w:jc w:val="left"/>
              <w:rPr>
                <w:rFonts w:asciiTheme="minorHAnsi" w:hAnsiTheme="minorHAnsi"/>
                <w:szCs w:val="20"/>
                <w:lang w:val="en-US"/>
              </w:rPr>
            </w:pPr>
            <w:r>
              <w:rPr>
                <w:rFonts w:asciiTheme="minorHAnsi" w:hAnsiTheme="minorHAnsi"/>
                <w:szCs w:val="20"/>
                <w:lang w:val="en-US"/>
              </w:rPr>
              <w:t>Marcello di Pare</w:t>
            </w:r>
          </w:p>
        </w:tc>
        <w:tc>
          <w:tcPr>
            <w:tcW w:w="3969" w:type="dxa"/>
          </w:tcPr>
          <w:p w:rsidR="00595760" w:rsidRDefault="00595760" w:rsidP="00BC6B07">
            <w:pPr>
              <w:spacing w:after="0"/>
              <w:jc w:val="left"/>
              <w:cnfStyle w:val="000000010000" w:firstRow="0" w:lastRow="0" w:firstColumn="0" w:lastColumn="0" w:oddVBand="0" w:evenVBand="0" w:oddHBand="0" w:evenHBand="1" w:firstRowFirstColumn="0" w:firstRowLastColumn="0" w:lastRowFirstColumn="0" w:lastRowLastColumn="0"/>
              <w:rPr>
                <w:rFonts w:asciiTheme="minorHAnsi" w:hAnsiTheme="minorHAnsi"/>
                <w:szCs w:val="20"/>
                <w:lang w:val="en-US"/>
              </w:rPr>
            </w:pPr>
            <w:r>
              <w:rPr>
                <w:rFonts w:asciiTheme="minorHAnsi" w:hAnsiTheme="minorHAnsi"/>
                <w:szCs w:val="20"/>
                <w:lang w:val="en-US"/>
              </w:rPr>
              <w:t>DIREM</w:t>
            </w:r>
          </w:p>
        </w:tc>
        <w:tc>
          <w:tcPr>
            <w:tcW w:w="2368" w:type="dxa"/>
          </w:tcPr>
          <w:p w:rsidR="00595760" w:rsidRPr="00231C30" w:rsidRDefault="00595760" w:rsidP="00BC6B07">
            <w:pPr>
              <w:spacing w:after="0"/>
              <w:jc w:val="left"/>
              <w:cnfStyle w:val="000000010000" w:firstRow="0" w:lastRow="0" w:firstColumn="0" w:lastColumn="0" w:oddVBand="0" w:evenVBand="0" w:oddHBand="0" w:evenHBand="1" w:firstRowFirstColumn="0" w:firstRowLastColumn="0" w:lastRowFirstColumn="0" w:lastRowLastColumn="0"/>
              <w:rPr>
                <w:rFonts w:asciiTheme="minorHAnsi" w:hAnsiTheme="minorHAnsi"/>
                <w:szCs w:val="20"/>
                <w:highlight w:val="yellow"/>
                <w:lang w:val="en-US"/>
              </w:rPr>
            </w:pPr>
            <w:r w:rsidRPr="00C664FC">
              <w:rPr>
                <w:rFonts w:asciiTheme="minorHAnsi" w:hAnsiTheme="minorHAnsi"/>
                <w:szCs w:val="20"/>
                <w:lang w:val="en-US"/>
              </w:rPr>
              <w:t>Argentine</w:t>
            </w:r>
          </w:p>
        </w:tc>
      </w:tr>
      <w:tr w:rsidR="00595760" w:rsidRPr="0023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595760" w:rsidRDefault="00595760" w:rsidP="00BC6B07">
            <w:pPr>
              <w:spacing w:after="0"/>
              <w:jc w:val="left"/>
              <w:rPr>
                <w:rFonts w:asciiTheme="minorHAnsi" w:hAnsiTheme="minorHAnsi"/>
                <w:szCs w:val="20"/>
                <w:lang w:val="en-US"/>
              </w:rPr>
            </w:pPr>
            <w:r>
              <w:rPr>
                <w:rFonts w:asciiTheme="minorHAnsi" w:hAnsiTheme="minorHAnsi"/>
                <w:szCs w:val="20"/>
                <w:lang w:val="en-US"/>
              </w:rPr>
              <w:t xml:space="preserve">Gustavo Infante </w:t>
            </w:r>
          </w:p>
        </w:tc>
        <w:tc>
          <w:tcPr>
            <w:tcW w:w="3969" w:type="dxa"/>
          </w:tcPr>
          <w:p w:rsidR="00595760" w:rsidRDefault="00595760" w:rsidP="00BC6B07">
            <w:pPr>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0"/>
                <w:lang w:val="en-US"/>
              </w:rPr>
            </w:pPr>
            <w:r>
              <w:rPr>
                <w:rFonts w:asciiTheme="minorHAnsi" w:hAnsiTheme="minorHAnsi"/>
                <w:szCs w:val="20"/>
                <w:lang w:val="en-US"/>
              </w:rPr>
              <w:t>Ministro Economicas Multilaterales</w:t>
            </w:r>
          </w:p>
        </w:tc>
        <w:tc>
          <w:tcPr>
            <w:tcW w:w="2368" w:type="dxa"/>
          </w:tcPr>
          <w:p w:rsidR="00595760" w:rsidRPr="00231C30" w:rsidRDefault="00595760" w:rsidP="00BC6B07">
            <w:pPr>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0"/>
                <w:highlight w:val="yellow"/>
                <w:lang w:val="en-US"/>
              </w:rPr>
            </w:pPr>
            <w:r w:rsidRPr="00C664FC">
              <w:rPr>
                <w:rFonts w:asciiTheme="minorHAnsi" w:hAnsiTheme="minorHAnsi"/>
                <w:szCs w:val="20"/>
                <w:lang w:val="en-US"/>
              </w:rPr>
              <w:t>Argentine</w:t>
            </w:r>
          </w:p>
        </w:tc>
      </w:tr>
      <w:tr w:rsidR="00595760" w:rsidRPr="00B536F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595760" w:rsidRDefault="00595760" w:rsidP="00BC6B07">
            <w:pPr>
              <w:spacing w:after="0"/>
              <w:jc w:val="left"/>
              <w:rPr>
                <w:rFonts w:asciiTheme="minorHAnsi" w:hAnsiTheme="minorHAnsi"/>
                <w:szCs w:val="20"/>
                <w:lang w:val="en-US"/>
              </w:rPr>
            </w:pPr>
            <w:r>
              <w:rPr>
                <w:rFonts w:asciiTheme="minorHAnsi" w:hAnsiTheme="minorHAnsi"/>
                <w:szCs w:val="20"/>
                <w:lang w:val="en-US"/>
              </w:rPr>
              <w:t>Pablo Renzulli</w:t>
            </w:r>
          </w:p>
        </w:tc>
        <w:tc>
          <w:tcPr>
            <w:tcW w:w="3969" w:type="dxa"/>
          </w:tcPr>
          <w:p w:rsidR="00595760" w:rsidRPr="001E66FA" w:rsidRDefault="00595760" w:rsidP="00BC6B07">
            <w:pPr>
              <w:spacing w:after="0"/>
              <w:jc w:val="left"/>
              <w:cnfStyle w:val="000000010000" w:firstRow="0" w:lastRow="0" w:firstColumn="0" w:lastColumn="0" w:oddVBand="0" w:evenVBand="0" w:oddHBand="0" w:evenHBand="1" w:firstRowFirstColumn="0" w:firstRowLastColumn="0" w:lastRowFirstColumn="0" w:lastRowLastColumn="0"/>
              <w:rPr>
                <w:rFonts w:asciiTheme="minorHAnsi" w:hAnsiTheme="minorHAnsi"/>
                <w:szCs w:val="20"/>
                <w:lang w:val="es-ES"/>
              </w:rPr>
            </w:pPr>
            <w:r w:rsidRPr="001E66FA">
              <w:rPr>
                <w:rFonts w:asciiTheme="minorHAnsi" w:hAnsiTheme="minorHAnsi"/>
                <w:szCs w:val="20"/>
                <w:lang w:val="es-ES"/>
              </w:rPr>
              <w:t>Centro de Investigacion e Desarrollo</w:t>
            </w:r>
          </w:p>
        </w:tc>
        <w:tc>
          <w:tcPr>
            <w:tcW w:w="2368" w:type="dxa"/>
          </w:tcPr>
          <w:p w:rsidR="00595760" w:rsidRPr="001E66FA" w:rsidRDefault="00595760" w:rsidP="00BC6B07">
            <w:pPr>
              <w:spacing w:after="0"/>
              <w:jc w:val="left"/>
              <w:cnfStyle w:val="000000010000" w:firstRow="0" w:lastRow="0" w:firstColumn="0" w:lastColumn="0" w:oddVBand="0" w:evenVBand="0" w:oddHBand="0" w:evenHBand="1" w:firstRowFirstColumn="0" w:firstRowLastColumn="0" w:lastRowFirstColumn="0" w:lastRowLastColumn="0"/>
              <w:rPr>
                <w:rFonts w:asciiTheme="minorHAnsi" w:hAnsiTheme="minorHAnsi"/>
                <w:szCs w:val="20"/>
                <w:highlight w:val="yellow"/>
                <w:lang w:val="es-ES"/>
              </w:rPr>
            </w:pPr>
            <w:r w:rsidRPr="00C664FC">
              <w:rPr>
                <w:rFonts w:asciiTheme="minorHAnsi" w:hAnsiTheme="minorHAnsi"/>
                <w:szCs w:val="20"/>
                <w:lang w:val="en-US"/>
              </w:rPr>
              <w:t>Argentine</w:t>
            </w:r>
          </w:p>
        </w:tc>
      </w:tr>
      <w:tr w:rsidR="00595760" w:rsidRPr="0023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595760" w:rsidRDefault="00595760" w:rsidP="00BC6B07">
            <w:pPr>
              <w:spacing w:after="0"/>
              <w:jc w:val="left"/>
              <w:rPr>
                <w:rFonts w:asciiTheme="minorHAnsi" w:hAnsiTheme="minorHAnsi"/>
                <w:szCs w:val="20"/>
                <w:lang w:val="en-US"/>
              </w:rPr>
            </w:pPr>
            <w:r>
              <w:rPr>
                <w:rFonts w:asciiTheme="minorHAnsi" w:hAnsiTheme="minorHAnsi"/>
                <w:szCs w:val="20"/>
                <w:lang w:val="en-US"/>
              </w:rPr>
              <w:t>Roberto Urrere</w:t>
            </w:r>
          </w:p>
        </w:tc>
        <w:tc>
          <w:tcPr>
            <w:tcW w:w="3969" w:type="dxa"/>
          </w:tcPr>
          <w:p w:rsidR="00595760" w:rsidRDefault="00595760" w:rsidP="00BC6B07">
            <w:pPr>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0"/>
                <w:lang w:val="en-US"/>
              </w:rPr>
            </w:pPr>
            <w:r>
              <w:rPr>
                <w:rFonts w:asciiTheme="minorHAnsi" w:hAnsiTheme="minorHAnsi"/>
                <w:szCs w:val="20"/>
                <w:lang w:val="en-US"/>
              </w:rPr>
              <w:t>SanCor Cooperativa</w:t>
            </w:r>
          </w:p>
        </w:tc>
        <w:tc>
          <w:tcPr>
            <w:tcW w:w="2368" w:type="dxa"/>
          </w:tcPr>
          <w:p w:rsidR="00595760" w:rsidRPr="00231C30" w:rsidRDefault="00595760" w:rsidP="00BC6B07">
            <w:pPr>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0"/>
                <w:highlight w:val="yellow"/>
                <w:lang w:val="en-US"/>
              </w:rPr>
            </w:pPr>
            <w:r w:rsidRPr="00C664FC">
              <w:rPr>
                <w:rFonts w:asciiTheme="minorHAnsi" w:hAnsiTheme="minorHAnsi"/>
                <w:szCs w:val="20"/>
                <w:lang w:val="en-US"/>
              </w:rPr>
              <w:t>Argentine</w:t>
            </w:r>
          </w:p>
        </w:tc>
      </w:tr>
      <w:tr w:rsidR="00595760" w:rsidRPr="00B536F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595760" w:rsidRDefault="00595760" w:rsidP="00BC6B07">
            <w:pPr>
              <w:spacing w:after="0"/>
              <w:jc w:val="left"/>
              <w:rPr>
                <w:rFonts w:asciiTheme="minorHAnsi" w:hAnsiTheme="minorHAnsi"/>
                <w:szCs w:val="20"/>
                <w:lang w:val="en-US"/>
              </w:rPr>
            </w:pPr>
            <w:r>
              <w:rPr>
                <w:rFonts w:asciiTheme="minorHAnsi" w:hAnsiTheme="minorHAnsi"/>
                <w:szCs w:val="20"/>
                <w:lang w:val="en-US"/>
              </w:rPr>
              <w:t>Oscar Solis</w:t>
            </w:r>
          </w:p>
        </w:tc>
        <w:tc>
          <w:tcPr>
            <w:tcW w:w="3969" w:type="dxa"/>
          </w:tcPr>
          <w:p w:rsidR="00595760" w:rsidRDefault="00595760" w:rsidP="00BC6B07">
            <w:pPr>
              <w:spacing w:after="0"/>
              <w:jc w:val="left"/>
              <w:cnfStyle w:val="000000010000" w:firstRow="0" w:lastRow="0" w:firstColumn="0" w:lastColumn="0" w:oddVBand="0" w:evenVBand="0" w:oddHBand="0" w:evenHBand="1" w:firstRowFirstColumn="0" w:firstRowLastColumn="0" w:lastRowFirstColumn="0" w:lastRowLastColumn="0"/>
              <w:rPr>
                <w:rFonts w:asciiTheme="minorHAnsi" w:hAnsiTheme="minorHAnsi"/>
                <w:szCs w:val="20"/>
                <w:lang w:val="en-US"/>
              </w:rPr>
            </w:pPr>
            <w:r>
              <w:rPr>
                <w:rFonts w:asciiTheme="minorHAnsi" w:hAnsiTheme="minorHAnsi"/>
                <w:szCs w:val="20"/>
                <w:lang w:val="en-US"/>
              </w:rPr>
              <w:t>Sub-Secretary, Ministry of Africulture</w:t>
            </w:r>
          </w:p>
        </w:tc>
        <w:tc>
          <w:tcPr>
            <w:tcW w:w="2368" w:type="dxa"/>
          </w:tcPr>
          <w:p w:rsidR="00595760" w:rsidRPr="00231C30" w:rsidRDefault="00595760" w:rsidP="00BC6B07">
            <w:pPr>
              <w:spacing w:after="0"/>
              <w:jc w:val="left"/>
              <w:cnfStyle w:val="000000010000" w:firstRow="0" w:lastRow="0" w:firstColumn="0" w:lastColumn="0" w:oddVBand="0" w:evenVBand="0" w:oddHBand="0" w:evenHBand="1" w:firstRowFirstColumn="0" w:firstRowLastColumn="0" w:lastRowFirstColumn="0" w:lastRowLastColumn="0"/>
              <w:rPr>
                <w:rFonts w:asciiTheme="minorHAnsi" w:hAnsiTheme="minorHAnsi"/>
                <w:szCs w:val="20"/>
                <w:highlight w:val="yellow"/>
                <w:lang w:val="en-US"/>
              </w:rPr>
            </w:pPr>
            <w:r w:rsidRPr="00C664FC">
              <w:rPr>
                <w:rFonts w:asciiTheme="minorHAnsi" w:hAnsiTheme="minorHAnsi"/>
                <w:szCs w:val="20"/>
                <w:lang w:val="en-US"/>
              </w:rPr>
              <w:t>Argentine</w:t>
            </w:r>
          </w:p>
        </w:tc>
      </w:tr>
      <w:tr w:rsidR="00595760" w:rsidRPr="00B536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595760" w:rsidRDefault="00595760" w:rsidP="00BC6B07">
            <w:pPr>
              <w:spacing w:after="0"/>
              <w:jc w:val="left"/>
              <w:rPr>
                <w:rFonts w:asciiTheme="minorHAnsi" w:hAnsiTheme="minorHAnsi"/>
                <w:szCs w:val="20"/>
                <w:lang w:val="en-US"/>
              </w:rPr>
            </w:pPr>
            <w:r>
              <w:rPr>
                <w:rFonts w:asciiTheme="minorHAnsi" w:hAnsiTheme="minorHAnsi"/>
                <w:szCs w:val="20"/>
                <w:lang w:val="en-US"/>
              </w:rPr>
              <w:t>Gerardo Petri</w:t>
            </w:r>
          </w:p>
        </w:tc>
        <w:tc>
          <w:tcPr>
            <w:tcW w:w="3969" w:type="dxa"/>
          </w:tcPr>
          <w:p w:rsidR="00595760" w:rsidRDefault="00595760" w:rsidP="00BC6B07">
            <w:pPr>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0"/>
                <w:lang w:val="en-US"/>
              </w:rPr>
            </w:pPr>
            <w:r>
              <w:rPr>
                <w:rFonts w:asciiTheme="minorHAnsi" w:hAnsiTheme="minorHAnsi"/>
                <w:szCs w:val="20"/>
                <w:lang w:val="en-US"/>
              </w:rPr>
              <w:t>Sub-Secretary, Ministry of Africulture</w:t>
            </w:r>
          </w:p>
        </w:tc>
        <w:tc>
          <w:tcPr>
            <w:tcW w:w="2368" w:type="dxa"/>
          </w:tcPr>
          <w:p w:rsidR="00595760" w:rsidRPr="00231C30" w:rsidRDefault="00595760" w:rsidP="00BC6B07">
            <w:pPr>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0"/>
                <w:highlight w:val="yellow"/>
                <w:lang w:val="en-US"/>
              </w:rPr>
            </w:pPr>
            <w:r w:rsidRPr="00C664FC">
              <w:rPr>
                <w:rFonts w:asciiTheme="minorHAnsi" w:hAnsiTheme="minorHAnsi"/>
                <w:szCs w:val="20"/>
                <w:lang w:val="en-US"/>
              </w:rPr>
              <w:t>Argentine</w:t>
            </w:r>
          </w:p>
        </w:tc>
      </w:tr>
      <w:tr w:rsidR="00231C30" w:rsidRPr="00231C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231C30" w:rsidRPr="00231C30" w:rsidRDefault="00231C30" w:rsidP="00231C30">
            <w:pPr>
              <w:spacing w:after="0"/>
              <w:jc w:val="left"/>
              <w:rPr>
                <w:rFonts w:asciiTheme="minorHAnsi" w:hAnsiTheme="minorHAnsi"/>
                <w:szCs w:val="20"/>
                <w:lang w:val="en-US"/>
              </w:rPr>
            </w:pPr>
            <w:r w:rsidRPr="00231C30">
              <w:rPr>
                <w:rFonts w:asciiTheme="minorHAnsi" w:hAnsiTheme="minorHAnsi"/>
                <w:szCs w:val="20"/>
                <w:lang w:val="en-US"/>
              </w:rPr>
              <w:t>Ms. Iren Melkonyan</w:t>
            </w:r>
          </w:p>
        </w:tc>
        <w:tc>
          <w:tcPr>
            <w:tcW w:w="3969" w:type="dxa"/>
          </w:tcPr>
          <w:p w:rsidR="00231C30" w:rsidRPr="00231C30" w:rsidRDefault="00231C30" w:rsidP="00231C30">
            <w:pPr>
              <w:spacing w:after="0"/>
              <w:jc w:val="left"/>
              <w:cnfStyle w:val="000000010000" w:firstRow="0" w:lastRow="0" w:firstColumn="0" w:lastColumn="0" w:oddVBand="0" w:evenVBand="0" w:oddHBand="0" w:evenHBand="1" w:firstRowFirstColumn="0" w:firstRowLastColumn="0" w:lastRowFirstColumn="0" w:lastRowLastColumn="0"/>
              <w:rPr>
                <w:rFonts w:asciiTheme="minorHAnsi" w:hAnsiTheme="minorHAnsi"/>
                <w:szCs w:val="20"/>
                <w:lang w:val="en-US"/>
              </w:rPr>
            </w:pPr>
            <w:r w:rsidRPr="00231C30">
              <w:rPr>
                <w:rFonts w:asciiTheme="minorHAnsi" w:hAnsiTheme="minorHAnsi"/>
                <w:szCs w:val="20"/>
                <w:lang w:val="en-US"/>
              </w:rPr>
              <w:t>Ministry of Agriculture</w:t>
            </w:r>
          </w:p>
        </w:tc>
        <w:tc>
          <w:tcPr>
            <w:tcW w:w="2368" w:type="dxa"/>
          </w:tcPr>
          <w:p w:rsidR="00231C30" w:rsidRPr="00231C30" w:rsidRDefault="00231C30" w:rsidP="00231C30">
            <w:pPr>
              <w:spacing w:after="0"/>
              <w:jc w:val="left"/>
              <w:cnfStyle w:val="000000010000" w:firstRow="0" w:lastRow="0" w:firstColumn="0" w:lastColumn="0" w:oddVBand="0" w:evenVBand="0" w:oddHBand="0" w:evenHBand="1" w:firstRowFirstColumn="0" w:firstRowLastColumn="0" w:lastRowFirstColumn="0" w:lastRowLastColumn="0"/>
              <w:rPr>
                <w:rFonts w:asciiTheme="minorHAnsi" w:hAnsiTheme="minorHAnsi"/>
                <w:szCs w:val="20"/>
                <w:lang w:val="en-US"/>
              </w:rPr>
            </w:pPr>
            <w:r w:rsidRPr="00231C30">
              <w:rPr>
                <w:rFonts w:asciiTheme="minorHAnsi" w:hAnsiTheme="minorHAnsi"/>
                <w:szCs w:val="20"/>
                <w:lang w:val="en-US"/>
              </w:rPr>
              <w:t>Armenia</w:t>
            </w:r>
          </w:p>
        </w:tc>
      </w:tr>
      <w:tr w:rsidR="00231C30" w:rsidRPr="0023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231C30" w:rsidRPr="00231C30" w:rsidRDefault="00231C30" w:rsidP="00231C30">
            <w:pPr>
              <w:spacing w:after="0"/>
              <w:jc w:val="left"/>
              <w:rPr>
                <w:rFonts w:asciiTheme="minorHAnsi" w:hAnsiTheme="minorHAnsi"/>
                <w:szCs w:val="20"/>
                <w:lang w:val="en-US"/>
              </w:rPr>
            </w:pPr>
            <w:r w:rsidRPr="00231C30">
              <w:rPr>
                <w:rFonts w:asciiTheme="minorHAnsi" w:hAnsiTheme="minorHAnsi"/>
                <w:szCs w:val="20"/>
                <w:lang w:val="en-US"/>
              </w:rPr>
              <w:t>Mr. Arthur Varjapetyan</w:t>
            </w:r>
          </w:p>
        </w:tc>
        <w:tc>
          <w:tcPr>
            <w:tcW w:w="3969" w:type="dxa"/>
          </w:tcPr>
          <w:p w:rsidR="00231C30" w:rsidRPr="00231C30" w:rsidRDefault="00231C30" w:rsidP="00231C30">
            <w:pPr>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0"/>
                <w:lang w:val="en-US"/>
              </w:rPr>
            </w:pPr>
            <w:r w:rsidRPr="00231C30">
              <w:rPr>
                <w:rFonts w:asciiTheme="minorHAnsi" w:hAnsiTheme="minorHAnsi"/>
                <w:szCs w:val="20"/>
                <w:lang w:val="en-US"/>
              </w:rPr>
              <w:t>Ministry of Agriculture</w:t>
            </w:r>
          </w:p>
        </w:tc>
        <w:tc>
          <w:tcPr>
            <w:tcW w:w="2368" w:type="dxa"/>
          </w:tcPr>
          <w:p w:rsidR="00231C30" w:rsidRPr="00231C30" w:rsidRDefault="00231C30" w:rsidP="00231C30">
            <w:pPr>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0"/>
                <w:lang w:val="en-US"/>
              </w:rPr>
            </w:pPr>
            <w:r w:rsidRPr="00231C30">
              <w:rPr>
                <w:rFonts w:asciiTheme="minorHAnsi" w:hAnsiTheme="minorHAnsi"/>
                <w:szCs w:val="20"/>
                <w:lang w:val="en-US"/>
              </w:rPr>
              <w:t>Armenia</w:t>
            </w:r>
          </w:p>
        </w:tc>
      </w:tr>
      <w:tr w:rsidR="00231C30" w:rsidRPr="00231C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231C30" w:rsidRPr="00231C30" w:rsidRDefault="00231C30" w:rsidP="00231C30">
            <w:pPr>
              <w:spacing w:after="0"/>
              <w:jc w:val="left"/>
              <w:rPr>
                <w:rFonts w:asciiTheme="minorHAnsi" w:hAnsiTheme="minorHAnsi"/>
                <w:szCs w:val="20"/>
                <w:lang w:val="en-US"/>
              </w:rPr>
            </w:pPr>
            <w:r w:rsidRPr="00231C30">
              <w:rPr>
                <w:rFonts w:asciiTheme="minorHAnsi" w:hAnsiTheme="minorHAnsi"/>
                <w:szCs w:val="20"/>
                <w:lang w:val="en-US"/>
              </w:rPr>
              <w:t>Mr. Samvel Avetisyan</w:t>
            </w:r>
          </w:p>
        </w:tc>
        <w:tc>
          <w:tcPr>
            <w:tcW w:w="3969" w:type="dxa"/>
          </w:tcPr>
          <w:p w:rsidR="00231C30" w:rsidRPr="00231C30" w:rsidRDefault="00231C30" w:rsidP="00231C30">
            <w:pPr>
              <w:spacing w:after="0"/>
              <w:jc w:val="left"/>
              <w:cnfStyle w:val="000000010000" w:firstRow="0" w:lastRow="0" w:firstColumn="0" w:lastColumn="0" w:oddVBand="0" w:evenVBand="0" w:oddHBand="0" w:evenHBand="1" w:firstRowFirstColumn="0" w:firstRowLastColumn="0" w:lastRowFirstColumn="0" w:lastRowLastColumn="0"/>
              <w:rPr>
                <w:rFonts w:asciiTheme="minorHAnsi" w:hAnsiTheme="minorHAnsi"/>
                <w:szCs w:val="20"/>
                <w:lang w:val="en-US"/>
              </w:rPr>
            </w:pPr>
            <w:r w:rsidRPr="00231C30">
              <w:rPr>
                <w:rFonts w:asciiTheme="minorHAnsi" w:hAnsiTheme="minorHAnsi"/>
                <w:szCs w:val="20"/>
                <w:lang w:val="en-US"/>
              </w:rPr>
              <w:t>First Deputy Minister of Agriculture</w:t>
            </w:r>
          </w:p>
        </w:tc>
        <w:tc>
          <w:tcPr>
            <w:tcW w:w="2368" w:type="dxa"/>
          </w:tcPr>
          <w:p w:rsidR="00231C30" w:rsidRPr="00231C30" w:rsidRDefault="00231C30" w:rsidP="00231C30">
            <w:pPr>
              <w:spacing w:after="0"/>
              <w:jc w:val="left"/>
              <w:cnfStyle w:val="000000010000" w:firstRow="0" w:lastRow="0" w:firstColumn="0" w:lastColumn="0" w:oddVBand="0" w:evenVBand="0" w:oddHBand="0" w:evenHBand="1" w:firstRowFirstColumn="0" w:firstRowLastColumn="0" w:lastRowFirstColumn="0" w:lastRowLastColumn="0"/>
              <w:rPr>
                <w:rFonts w:asciiTheme="minorHAnsi" w:hAnsiTheme="minorHAnsi"/>
                <w:szCs w:val="20"/>
                <w:lang w:val="en-US"/>
              </w:rPr>
            </w:pPr>
            <w:r w:rsidRPr="00231C30">
              <w:rPr>
                <w:rFonts w:asciiTheme="minorHAnsi" w:hAnsiTheme="minorHAnsi"/>
                <w:szCs w:val="20"/>
                <w:lang w:val="en-US"/>
              </w:rPr>
              <w:t>Armenia</w:t>
            </w:r>
          </w:p>
        </w:tc>
      </w:tr>
      <w:tr w:rsidR="00231C30" w:rsidRPr="0023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231C30" w:rsidRPr="00231C30" w:rsidRDefault="00231C30" w:rsidP="00231C30">
            <w:pPr>
              <w:spacing w:after="0"/>
              <w:jc w:val="left"/>
              <w:rPr>
                <w:rFonts w:asciiTheme="minorHAnsi" w:hAnsiTheme="minorHAnsi"/>
                <w:szCs w:val="20"/>
                <w:lang w:val="en-US"/>
              </w:rPr>
            </w:pPr>
            <w:r w:rsidRPr="00231C30">
              <w:rPr>
                <w:rFonts w:asciiTheme="minorHAnsi" w:hAnsiTheme="minorHAnsi"/>
                <w:szCs w:val="20"/>
                <w:lang w:val="en-US"/>
              </w:rPr>
              <w:t>Mr. Abgar Yeghoyan</w:t>
            </w:r>
          </w:p>
        </w:tc>
        <w:tc>
          <w:tcPr>
            <w:tcW w:w="3969" w:type="dxa"/>
          </w:tcPr>
          <w:p w:rsidR="00231C30" w:rsidRPr="00231C30" w:rsidRDefault="00231C30" w:rsidP="00231C30">
            <w:pPr>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0"/>
                <w:lang w:val="en-US"/>
              </w:rPr>
            </w:pPr>
            <w:r w:rsidRPr="00231C30">
              <w:rPr>
                <w:rFonts w:asciiTheme="minorHAnsi" w:hAnsiTheme="minorHAnsi"/>
                <w:szCs w:val="20"/>
                <w:lang w:val="en-US"/>
              </w:rPr>
              <w:t>Consumers’ Rights Protection</w:t>
            </w:r>
          </w:p>
        </w:tc>
        <w:tc>
          <w:tcPr>
            <w:tcW w:w="2368" w:type="dxa"/>
          </w:tcPr>
          <w:p w:rsidR="00231C30" w:rsidRPr="00231C30" w:rsidRDefault="00231C30" w:rsidP="00231C30">
            <w:pPr>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0"/>
                <w:lang w:val="en-US"/>
              </w:rPr>
            </w:pPr>
            <w:r w:rsidRPr="00231C30">
              <w:rPr>
                <w:rFonts w:asciiTheme="minorHAnsi" w:hAnsiTheme="minorHAnsi"/>
                <w:szCs w:val="20"/>
                <w:lang w:val="en-US"/>
              </w:rPr>
              <w:t>Armenia</w:t>
            </w:r>
          </w:p>
        </w:tc>
      </w:tr>
      <w:tr w:rsidR="00231C30" w:rsidRPr="00231C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231C30" w:rsidRPr="00231C30" w:rsidRDefault="00231C30" w:rsidP="00231C30">
            <w:pPr>
              <w:spacing w:after="0"/>
              <w:jc w:val="left"/>
              <w:rPr>
                <w:rFonts w:asciiTheme="minorHAnsi" w:hAnsiTheme="minorHAnsi"/>
                <w:szCs w:val="20"/>
                <w:lang w:val="en-US"/>
              </w:rPr>
            </w:pPr>
            <w:r w:rsidRPr="00231C30">
              <w:rPr>
                <w:rFonts w:asciiTheme="minorHAnsi" w:hAnsiTheme="minorHAnsi"/>
                <w:szCs w:val="20"/>
                <w:lang w:val="en-US"/>
              </w:rPr>
              <w:t xml:space="preserve">Ms. A. Baghdasaryan and colleagues </w:t>
            </w:r>
          </w:p>
        </w:tc>
        <w:tc>
          <w:tcPr>
            <w:tcW w:w="3969" w:type="dxa"/>
          </w:tcPr>
          <w:p w:rsidR="00231C30" w:rsidRPr="00231C30" w:rsidRDefault="00231C30" w:rsidP="00231C30">
            <w:pPr>
              <w:spacing w:after="0"/>
              <w:jc w:val="left"/>
              <w:cnfStyle w:val="000000010000" w:firstRow="0" w:lastRow="0" w:firstColumn="0" w:lastColumn="0" w:oddVBand="0" w:evenVBand="0" w:oddHBand="0" w:evenHBand="1" w:firstRowFirstColumn="0" w:firstRowLastColumn="0" w:lastRowFirstColumn="0" w:lastRowLastColumn="0"/>
              <w:rPr>
                <w:rFonts w:asciiTheme="minorHAnsi" w:hAnsiTheme="minorHAnsi"/>
                <w:szCs w:val="20"/>
                <w:lang w:val="en-US"/>
              </w:rPr>
            </w:pPr>
            <w:r w:rsidRPr="00231C30">
              <w:rPr>
                <w:rFonts w:asciiTheme="minorHAnsi" w:hAnsiTheme="minorHAnsi"/>
                <w:szCs w:val="20"/>
                <w:lang w:val="en-US"/>
              </w:rPr>
              <w:t>National Institute of Standards</w:t>
            </w:r>
          </w:p>
        </w:tc>
        <w:tc>
          <w:tcPr>
            <w:tcW w:w="2368" w:type="dxa"/>
          </w:tcPr>
          <w:p w:rsidR="00231C30" w:rsidRPr="00231C30" w:rsidRDefault="00231C30" w:rsidP="00231C30">
            <w:pPr>
              <w:spacing w:after="0"/>
              <w:jc w:val="left"/>
              <w:cnfStyle w:val="000000010000" w:firstRow="0" w:lastRow="0" w:firstColumn="0" w:lastColumn="0" w:oddVBand="0" w:evenVBand="0" w:oddHBand="0" w:evenHBand="1" w:firstRowFirstColumn="0" w:firstRowLastColumn="0" w:lastRowFirstColumn="0" w:lastRowLastColumn="0"/>
              <w:rPr>
                <w:rFonts w:asciiTheme="minorHAnsi" w:hAnsiTheme="minorHAnsi"/>
                <w:szCs w:val="20"/>
                <w:lang w:val="en-US"/>
              </w:rPr>
            </w:pPr>
            <w:r w:rsidRPr="00231C30">
              <w:rPr>
                <w:rFonts w:asciiTheme="minorHAnsi" w:hAnsiTheme="minorHAnsi"/>
                <w:szCs w:val="20"/>
                <w:lang w:val="en-US"/>
              </w:rPr>
              <w:t>Armenia</w:t>
            </w:r>
          </w:p>
        </w:tc>
      </w:tr>
      <w:tr w:rsidR="00231C30" w:rsidRPr="0023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231C30" w:rsidRPr="00231C30" w:rsidRDefault="00231C30" w:rsidP="00231C30">
            <w:pPr>
              <w:spacing w:after="0"/>
              <w:jc w:val="left"/>
              <w:rPr>
                <w:rFonts w:asciiTheme="minorHAnsi" w:hAnsiTheme="minorHAnsi"/>
                <w:szCs w:val="20"/>
                <w:lang w:val="en-US"/>
              </w:rPr>
            </w:pPr>
            <w:r w:rsidRPr="00231C30">
              <w:rPr>
                <w:rFonts w:asciiTheme="minorHAnsi" w:hAnsiTheme="minorHAnsi"/>
                <w:szCs w:val="20"/>
                <w:lang w:val="en-US"/>
              </w:rPr>
              <w:t>Ms. Margarita Babayan</w:t>
            </w:r>
          </w:p>
        </w:tc>
        <w:tc>
          <w:tcPr>
            <w:tcW w:w="3969" w:type="dxa"/>
          </w:tcPr>
          <w:p w:rsidR="00231C30" w:rsidRPr="00231C30" w:rsidRDefault="00231C30" w:rsidP="00231C30">
            <w:pPr>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0"/>
                <w:lang w:val="en-US"/>
              </w:rPr>
            </w:pPr>
            <w:r w:rsidRPr="00231C30">
              <w:rPr>
                <w:rFonts w:asciiTheme="minorHAnsi" w:hAnsiTheme="minorHAnsi"/>
                <w:szCs w:val="20"/>
                <w:lang w:val="en-US"/>
              </w:rPr>
              <w:t>Ministry of Health</w:t>
            </w:r>
          </w:p>
        </w:tc>
        <w:tc>
          <w:tcPr>
            <w:tcW w:w="2368" w:type="dxa"/>
          </w:tcPr>
          <w:p w:rsidR="00231C30" w:rsidRPr="00231C30" w:rsidRDefault="00231C30" w:rsidP="00231C30">
            <w:pPr>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0"/>
                <w:lang w:val="en-US"/>
              </w:rPr>
            </w:pPr>
            <w:r w:rsidRPr="00231C30">
              <w:rPr>
                <w:rFonts w:asciiTheme="minorHAnsi" w:hAnsiTheme="minorHAnsi"/>
                <w:szCs w:val="20"/>
                <w:lang w:val="en-US"/>
              </w:rPr>
              <w:t>Armenia</w:t>
            </w:r>
          </w:p>
        </w:tc>
      </w:tr>
      <w:tr w:rsidR="008543B2" w:rsidRPr="00231C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8543B2" w:rsidRPr="00231C30" w:rsidRDefault="008543B2" w:rsidP="00BC6B07">
            <w:pPr>
              <w:spacing w:after="0"/>
              <w:jc w:val="left"/>
              <w:rPr>
                <w:rFonts w:asciiTheme="minorHAnsi" w:hAnsiTheme="minorHAnsi"/>
                <w:szCs w:val="20"/>
                <w:lang w:val="en-US"/>
              </w:rPr>
            </w:pPr>
            <w:r>
              <w:rPr>
                <w:rFonts w:asciiTheme="minorHAnsi" w:hAnsiTheme="minorHAnsi"/>
                <w:szCs w:val="20"/>
                <w:lang w:val="en-US"/>
              </w:rPr>
              <w:t>Beatriz Guttierez</w:t>
            </w:r>
          </w:p>
        </w:tc>
        <w:tc>
          <w:tcPr>
            <w:tcW w:w="3969" w:type="dxa"/>
          </w:tcPr>
          <w:p w:rsidR="008543B2" w:rsidRPr="00231C30" w:rsidRDefault="008543B2" w:rsidP="00BC6B07">
            <w:pPr>
              <w:spacing w:after="0"/>
              <w:jc w:val="left"/>
              <w:cnfStyle w:val="000000010000" w:firstRow="0" w:lastRow="0" w:firstColumn="0" w:lastColumn="0" w:oddVBand="0" w:evenVBand="0" w:oddHBand="0" w:evenHBand="1" w:firstRowFirstColumn="0" w:firstRowLastColumn="0" w:lastRowFirstColumn="0" w:lastRowLastColumn="0"/>
              <w:rPr>
                <w:rFonts w:asciiTheme="minorHAnsi" w:hAnsiTheme="minorHAnsi"/>
                <w:szCs w:val="20"/>
                <w:lang w:val="en-US"/>
              </w:rPr>
            </w:pPr>
            <w:r>
              <w:rPr>
                <w:rFonts w:asciiTheme="minorHAnsi" w:hAnsiTheme="minorHAnsi"/>
                <w:szCs w:val="20"/>
                <w:lang w:val="en-US"/>
              </w:rPr>
              <w:t>Codex Contact point</w:t>
            </w:r>
          </w:p>
        </w:tc>
        <w:tc>
          <w:tcPr>
            <w:tcW w:w="2368" w:type="dxa"/>
          </w:tcPr>
          <w:p w:rsidR="008543B2" w:rsidRPr="00231C30" w:rsidRDefault="000207AC" w:rsidP="00BC6B07">
            <w:pPr>
              <w:spacing w:after="0"/>
              <w:jc w:val="left"/>
              <w:cnfStyle w:val="000000010000" w:firstRow="0" w:lastRow="0" w:firstColumn="0" w:lastColumn="0" w:oddVBand="0" w:evenVBand="0" w:oddHBand="0" w:evenHBand="1" w:firstRowFirstColumn="0" w:firstRowLastColumn="0" w:lastRowFirstColumn="0" w:lastRowLastColumn="0"/>
              <w:rPr>
                <w:rFonts w:asciiTheme="minorHAnsi" w:hAnsiTheme="minorHAnsi"/>
                <w:szCs w:val="20"/>
                <w:lang w:val="en-US"/>
              </w:rPr>
            </w:pPr>
            <w:r w:rsidRPr="000207AC">
              <w:rPr>
                <w:rFonts w:asciiTheme="minorHAnsi" w:hAnsiTheme="minorHAnsi"/>
                <w:szCs w:val="20"/>
                <w:lang w:val="en-US"/>
              </w:rPr>
              <w:t>Bolivia</w:t>
            </w:r>
          </w:p>
        </w:tc>
      </w:tr>
      <w:tr w:rsidR="00595760" w:rsidRPr="0023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595760" w:rsidRDefault="00595760" w:rsidP="00BC6B07">
            <w:pPr>
              <w:spacing w:after="0"/>
              <w:jc w:val="left"/>
              <w:rPr>
                <w:rFonts w:asciiTheme="minorHAnsi" w:hAnsiTheme="minorHAnsi"/>
                <w:szCs w:val="20"/>
                <w:lang w:val="en-US"/>
              </w:rPr>
            </w:pPr>
            <w:r>
              <w:rPr>
                <w:rFonts w:asciiTheme="minorHAnsi" w:hAnsiTheme="minorHAnsi"/>
                <w:szCs w:val="20"/>
                <w:lang w:val="en-US"/>
              </w:rPr>
              <w:t>Carolla Zeballos</w:t>
            </w:r>
          </w:p>
        </w:tc>
        <w:tc>
          <w:tcPr>
            <w:tcW w:w="3969" w:type="dxa"/>
          </w:tcPr>
          <w:p w:rsidR="00595760" w:rsidRDefault="00595760" w:rsidP="00BC6B07">
            <w:pPr>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0"/>
                <w:lang w:val="en-US"/>
              </w:rPr>
            </w:pPr>
            <w:r>
              <w:rPr>
                <w:rFonts w:asciiTheme="minorHAnsi" w:hAnsiTheme="minorHAnsi"/>
                <w:szCs w:val="20"/>
                <w:lang w:val="en-US"/>
              </w:rPr>
              <w:t>Director, Subcomite de Etiquetado</w:t>
            </w:r>
          </w:p>
        </w:tc>
        <w:tc>
          <w:tcPr>
            <w:tcW w:w="2368" w:type="dxa"/>
          </w:tcPr>
          <w:p w:rsidR="00595760" w:rsidRPr="00231C30" w:rsidRDefault="00595760" w:rsidP="00BC6B07">
            <w:pPr>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0"/>
                <w:highlight w:val="yellow"/>
                <w:lang w:val="en-US"/>
              </w:rPr>
            </w:pPr>
            <w:r w:rsidRPr="001A0E97">
              <w:rPr>
                <w:rFonts w:asciiTheme="minorHAnsi" w:hAnsiTheme="minorHAnsi"/>
                <w:szCs w:val="20"/>
                <w:lang w:val="en-US"/>
              </w:rPr>
              <w:t>Bolivia</w:t>
            </w:r>
          </w:p>
        </w:tc>
      </w:tr>
      <w:tr w:rsidR="00595760" w:rsidRPr="00231C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595760" w:rsidRDefault="00595760" w:rsidP="00BC6B07">
            <w:pPr>
              <w:spacing w:after="0"/>
              <w:jc w:val="left"/>
              <w:rPr>
                <w:rFonts w:asciiTheme="minorHAnsi" w:hAnsiTheme="minorHAnsi"/>
                <w:szCs w:val="20"/>
                <w:lang w:val="en-US"/>
              </w:rPr>
            </w:pPr>
            <w:r>
              <w:rPr>
                <w:rFonts w:asciiTheme="minorHAnsi" w:hAnsiTheme="minorHAnsi"/>
                <w:szCs w:val="20"/>
                <w:lang w:val="en-US"/>
              </w:rPr>
              <w:t>José Endaisa</w:t>
            </w:r>
          </w:p>
        </w:tc>
        <w:tc>
          <w:tcPr>
            <w:tcW w:w="3969" w:type="dxa"/>
          </w:tcPr>
          <w:p w:rsidR="00595760" w:rsidRDefault="00595760" w:rsidP="00BC6B07">
            <w:pPr>
              <w:spacing w:after="0"/>
              <w:jc w:val="left"/>
              <w:cnfStyle w:val="000000010000" w:firstRow="0" w:lastRow="0" w:firstColumn="0" w:lastColumn="0" w:oddVBand="0" w:evenVBand="0" w:oddHBand="0" w:evenHBand="1" w:firstRowFirstColumn="0" w:firstRowLastColumn="0" w:lastRowFirstColumn="0" w:lastRowLastColumn="0"/>
              <w:rPr>
                <w:rFonts w:asciiTheme="minorHAnsi" w:hAnsiTheme="minorHAnsi"/>
                <w:szCs w:val="20"/>
                <w:lang w:val="en-US"/>
              </w:rPr>
            </w:pPr>
            <w:r>
              <w:rPr>
                <w:rFonts w:asciiTheme="minorHAnsi" w:hAnsiTheme="minorHAnsi"/>
                <w:szCs w:val="20"/>
                <w:lang w:val="en-US"/>
              </w:rPr>
              <w:t>Subcomite Inspeccion</w:t>
            </w:r>
          </w:p>
        </w:tc>
        <w:tc>
          <w:tcPr>
            <w:tcW w:w="2368" w:type="dxa"/>
          </w:tcPr>
          <w:p w:rsidR="00595760" w:rsidRPr="00231C30" w:rsidRDefault="00595760" w:rsidP="00BC6B07">
            <w:pPr>
              <w:spacing w:after="0"/>
              <w:jc w:val="left"/>
              <w:cnfStyle w:val="000000010000" w:firstRow="0" w:lastRow="0" w:firstColumn="0" w:lastColumn="0" w:oddVBand="0" w:evenVBand="0" w:oddHBand="0" w:evenHBand="1" w:firstRowFirstColumn="0" w:firstRowLastColumn="0" w:lastRowFirstColumn="0" w:lastRowLastColumn="0"/>
              <w:rPr>
                <w:rFonts w:asciiTheme="minorHAnsi" w:hAnsiTheme="minorHAnsi"/>
                <w:szCs w:val="20"/>
                <w:highlight w:val="yellow"/>
                <w:lang w:val="en-US"/>
              </w:rPr>
            </w:pPr>
            <w:r w:rsidRPr="001A0E97">
              <w:rPr>
                <w:rFonts w:asciiTheme="minorHAnsi" w:hAnsiTheme="minorHAnsi"/>
                <w:szCs w:val="20"/>
                <w:lang w:val="en-US"/>
              </w:rPr>
              <w:t>Bolivia</w:t>
            </w:r>
          </w:p>
        </w:tc>
      </w:tr>
      <w:tr w:rsidR="00595760" w:rsidRPr="0023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595760" w:rsidRDefault="00595760" w:rsidP="00BC6B07">
            <w:pPr>
              <w:spacing w:after="0"/>
              <w:jc w:val="left"/>
              <w:rPr>
                <w:rFonts w:asciiTheme="minorHAnsi" w:hAnsiTheme="minorHAnsi"/>
                <w:szCs w:val="20"/>
                <w:lang w:val="en-US"/>
              </w:rPr>
            </w:pPr>
            <w:r>
              <w:rPr>
                <w:rFonts w:asciiTheme="minorHAnsi" w:hAnsiTheme="minorHAnsi"/>
                <w:szCs w:val="20"/>
                <w:lang w:val="en-US"/>
              </w:rPr>
              <w:t>Renato Pucci</w:t>
            </w:r>
          </w:p>
        </w:tc>
        <w:tc>
          <w:tcPr>
            <w:tcW w:w="3969" w:type="dxa"/>
          </w:tcPr>
          <w:p w:rsidR="00595760" w:rsidRDefault="00595760" w:rsidP="00BC6B07">
            <w:pPr>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0"/>
                <w:lang w:val="en-US"/>
              </w:rPr>
            </w:pPr>
            <w:r>
              <w:rPr>
                <w:rFonts w:asciiTheme="minorHAnsi" w:hAnsiTheme="minorHAnsi"/>
                <w:szCs w:val="20"/>
                <w:lang w:val="en-US"/>
              </w:rPr>
              <w:t>Subcomite Inspeccion</w:t>
            </w:r>
          </w:p>
        </w:tc>
        <w:tc>
          <w:tcPr>
            <w:tcW w:w="2368" w:type="dxa"/>
          </w:tcPr>
          <w:p w:rsidR="00595760" w:rsidRPr="00231C30" w:rsidRDefault="00595760" w:rsidP="00BC6B07">
            <w:pPr>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0"/>
                <w:highlight w:val="yellow"/>
                <w:lang w:val="en-US"/>
              </w:rPr>
            </w:pPr>
            <w:r w:rsidRPr="001A0E97">
              <w:rPr>
                <w:rFonts w:asciiTheme="minorHAnsi" w:hAnsiTheme="minorHAnsi"/>
                <w:szCs w:val="20"/>
                <w:lang w:val="en-US"/>
              </w:rPr>
              <w:t>Bolivia</w:t>
            </w:r>
          </w:p>
        </w:tc>
      </w:tr>
      <w:tr w:rsidR="00595760" w:rsidRPr="00B536F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595760" w:rsidRDefault="00595760" w:rsidP="00BC6B07">
            <w:pPr>
              <w:spacing w:after="0"/>
              <w:jc w:val="left"/>
              <w:rPr>
                <w:rFonts w:asciiTheme="minorHAnsi" w:hAnsiTheme="minorHAnsi"/>
                <w:szCs w:val="20"/>
                <w:lang w:val="en-US"/>
              </w:rPr>
            </w:pPr>
            <w:r>
              <w:rPr>
                <w:rFonts w:asciiTheme="minorHAnsi" w:hAnsiTheme="minorHAnsi"/>
                <w:szCs w:val="20"/>
                <w:lang w:val="en-US"/>
              </w:rPr>
              <w:t>Carmen Maria del Adela</w:t>
            </w:r>
          </w:p>
        </w:tc>
        <w:tc>
          <w:tcPr>
            <w:tcW w:w="3969" w:type="dxa"/>
          </w:tcPr>
          <w:p w:rsidR="00595760" w:rsidRPr="001E66FA" w:rsidRDefault="00595760" w:rsidP="00BC6B07">
            <w:pPr>
              <w:spacing w:after="0"/>
              <w:jc w:val="left"/>
              <w:cnfStyle w:val="000000010000" w:firstRow="0" w:lastRow="0" w:firstColumn="0" w:lastColumn="0" w:oddVBand="0" w:evenVBand="0" w:oddHBand="0" w:evenHBand="1" w:firstRowFirstColumn="0" w:firstRowLastColumn="0" w:lastRowFirstColumn="0" w:lastRowLastColumn="0"/>
              <w:rPr>
                <w:rFonts w:asciiTheme="minorHAnsi" w:hAnsiTheme="minorHAnsi"/>
                <w:szCs w:val="20"/>
                <w:lang w:val="es-ES"/>
              </w:rPr>
            </w:pPr>
            <w:r w:rsidRPr="001E66FA">
              <w:rPr>
                <w:rFonts w:asciiTheme="minorHAnsi" w:hAnsiTheme="minorHAnsi"/>
                <w:szCs w:val="20"/>
                <w:lang w:val="es-ES"/>
              </w:rPr>
              <w:t>Director, Subcomite de Regimen Especiales</w:t>
            </w:r>
          </w:p>
        </w:tc>
        <w:tc>
          <w:tcPr>
            <w:tcW w:w="2368" w:type="dxa"/>
          </w:tcPr>
          <w:p w:rsidR="00595760" w:rsidRPr="001E66FA" w:rsidRDefault="00595760" w:rsidP="00BC6B07">
            <w:pPr>
              <w:spacing w:after="0"/>
              <w:jc w:val="left"/>
              <w:cnfStyle w:val="000000010000" w:firstRow="0" w:lastRow="0" w:firstColumn="0" w:lastColumn="0" w:oddVBand="0" w:evenVBand="0" w:oddHBand="0" w:evenHBand="1" w:firstRowFirstColumn="0" w:firstRowLastColumn="0" w:lastRowFirstColumn="0" w:lastRowLastColumn="0"/>
              <w:rPr>
                <w:rFonts w:asciiTheme="minorHAnsi" w:hAnsiTheme="minorHAnsi"/>
                <w:szCs w:val="20"/>
                <w:highlight w:val="yellow"/>
                <w:lang w:val="es-ES"/>
              </w:rPr>
            </w:pPr>
            <w:r w:rsidRPr="001A0E97">
              <w:rPr>
                <w:rFonts w:asciiTheme="minorHAnsi" w:hAnsiTheme="minorHAnsi"/>
                <w:szCs w:val="20"/>
                <w:lang w:val="en-US"/>
              </w:rPr>
              <w:t>Bolivia</w:t>
            </w:r>
          </w:p>
        </w:tc>
      </w:tr>
      <w:tr w:rsidR="00595760" w:rsidRPr="0023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595760" w:rsidRDefault="00595760" w:rsidP="00BC6B07">
            <w:pPr>
              <w:spacing w:after="0"/>
              <w:jc w:val="left"/>
              <w:rPr>
                <w:rFonts w:asciiTheme="minorHAnsi" w:hAnsiTheme="minorHAnsi"/>
                <w:szCs w:val="20"/>
                <w:lang w:val="en-US"/>
              </w:rPr>
            </w:pPr>
            <w:r>
              <w:rPr>
                <w:rFonts w:asciiTheme="minorHAnsi" w:hAnsiTheme="minorHAnsi"/>
                <w:szCs w:val="20"/>
                <w:lang w:val="en-US"/>
              </w:rPr>
              <w:t>Catalina Fuentes</w:t>
            </w:r>
          </w:p>
        </w:tc>
        <w:tc>
          <w:tcPr>
            <w:tcW w:w="3969" w:type="dxa"/>
          </w:tcPr>
          <w:p w:rsidR="00595760" w:rsidRDefault="00595760" w:rsidP="00BC6B07">
            <w:pPr>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0"/>
                <w:lang w:val="en-US"/>
              </w:rPr>
            </w:pPr>
            <w:r>
              <w:rPr>
                <w:rFonts w:asciiTheme="minorHAnsi" w:hAnsiTheme="minorHAnsi"/>
                <w:szCs w:val="20"/>
                <w:lang w:val="en-US"/>
              </w:rPr>
              <w:t>Subcomite de Regimen Especiales</w:t>
            </w:r>
          </w:p>
        </w:tc>
        <w:tc>
          <w:tcPr>
            <w:tcW w:w="2368" w:type="dxa"/>
          </w:tcPr>
          <w:p w:rsidR="00595760" w:rsidRPr="00231C30" w:rsidRDefault="00595760" w:rsidP="00BC6B07">
            <w:pPr>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0"/>
                <w:highlight w:val="yellow"/>
                <w:lang w:val="en-US"/>
              </w:rPr>
            </w:pPr>
            <w:r w:rsidRPr="001A0E97">
              <w:rPr>
                <w:rFonts w:asciiTheme="minorHAnsi" w:hAnsiTheme="minorHAnsi"/>
                <w:szCs w:val="20"/>
                <w:lang w:val="en-US"/>
              </w:rPr>
              <w:t>Bolivia</w:t>
            </w:r>
          </w:p>
        </w:tc>
      </w:tr>
      <w:tr w:rsidR="00595760" w:rsidRPr="00231C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595760" w:rsidRDefault="00595760" w:rsidP="00BC6B07">
            <w:pPr>
              <w:spacing w:after="0"/>
              <w:jc w:val="left"/>
              <w:rPr>
                <w:rFonts w:asciiTheme="minorHAnsi" w:hAnsiTheme="minorHAnsi"/>
                <w:szCs w:val="20"/>
                <w:lang w:val="en-US"/>
              </w:rPr>
            </w:pPr>
            <w:r>
              <w:rPr>
                <w:rFonts w:asciiTheme="minorHAnsi" w:hAnsiTheme="minorHAnsi"/>
                <w:szCs w:val="20"/>
                <w:lang w:val="en-US"/>
              </w:rPr>
              <w:t>Katherine Rodrigues</w:t>
            </w:r>
          </w:p>
        </w:tc>
        <w:tc>
          <w:tcPr>
            <w:tcW w:w="3969" w:type="dxa"/>
          </w:tcPr>
          <w:p w:rsidR="00595760" w:rsidRDefault="00595760" w:rsidP="00BC6B07">
            <w:pPr>
              <w:spacing w:after="0"/>
              <w:jc w:val="left"/>
              <w:cnfStyle w:val="000000010000" w:firstRow="0" w:lastRow="0" w:firstColumn="0" w:lastColumn="0" w:oddVBand="0" w:evenVBand="0" w:oddHBand="0" w:evenHBand="1" w:firstRowFirstColumn="0" w:firstRowLastColumn="0" w:lastRowFirstColumn="0" w:lastRowLastColumn="0"/>
              <w:rPr>
                <w:rFonts w:asciiTheme="minorHAnsi" w:hAnsiTheme="minorHAnsi"/>
                <w:szCs w:val="20"/>
                <w:lang w:val="en-US"/>
              </w:rPr>
            </w:pPr>
            <w:r>
              <w:rPr>
                <w:rFonts w:asciiTheme="minorHAnsi" w:hAnsiTheme="minorHAnsi"/>
                <w:szCs w:val="20"/>
                <w:lang w:val="en-US"/>
              </w:rPr>
              <w:t>Director, Subcomite di Higiene</w:t>
            </w:r>
          </w:p>
        </w:tc>
        <w:tc>
          <w:tcPr>
            <w:tcW w:w="2368" w:type="dxa"/>
          </w:tcPr>
          <w:p w:rsidR="00595760" w:rsidRPr="00231C30" w:rsidRDefault="00595760" w:rsidP="00BC6B07">
            <w:pPr>
              <w:spacing w:after="0"/>
              <w:jc w:val="left"/>
              <w:cnfStyle w:val="000000010000" w:firstRow="0" w:lastRow="0" w:firstColumn="0" w:lastColumn="0" w:oddVBand="0" w:evenVBand="0" w:oddHBand="0" w:evenHBand="1" w:firstRowFirstColumn="0" w:firstRowLastColumn="0" w:lastRowFirstColumn="0" w:lastRowLastColumn="0"/>
              <w:rPr>
                <w:rFonts w:asciiTheme="minorHAnsi" w:hAnsiTheme="minorHAnsi"/>
                <w:szCs w:val="20"/>
                <w:highlight w:val="yellow"/>
                <w:lang w:val="en-US"/>
              </w:rPr>
            </w:pPr>
            <w:r w:rsidRPr="001A0E97">
              <w:rPr>
                <w:rFonts w:asciiTheme="minorHAnsi" w:hAnsiTheme="minorHAnsi"/>
                <w:szCs w:val="20"/>
                <w:lang w:val="en-US"/>
              </w:rPr>
              <w:t>Bolivia</w:t>
            </w:r>
          </w:p>
        </w:tc>
      </w:tr>
      <w:tr w:rsidR="00595760" w:rsidRPr="0023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595760" w:rsidRDefault="00595760" w:rsidP="00BC6B07">
            <w:pPr>
              <w:spacing w:after="0"/>
              <w:jc w:val="left"/>
              <w:rPr>
                <w:rFonts w:asciiTheme="minorHAnsi" w:hAnsiTheme="minorHAnsi"/>
                <w:szCs w:val="20"/>
                <w:lang w:val="en-US"/>
              </w:rPr>
            </w:pPr>
            <w:r>
              <w:rPr>
                <w:rFonts w:asciiTheme="minorHAnsi" w:hAnsiTheme="minorHAnsi"/>
                <w:szCs w:val="20"/>
                <w:lang w:val="en-US"/>
              </w:rPr>
              <w:t>Reynaldo Flores</w:t>
            </w:r>
          </w:p>
        </w:tc>
        <w:tc>
          <w:tcPr>
            <w:tcW w:w="3969" w:type="dxa"/>
          </w:tcPr>
          <w:p w:rsidR="00595760" w:rsidRDefault="00595760" w:rsidP="00BC6B07">
            <w:pPr>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0"/>
                <w:lang w:val="en-US"/>
              </w:rPr>
            </w:pPr>
            <w:r>
              <w:rPr>
                <w:rFonts w:asciiTheme="minorHAnsi" w:hAnsiTheme="minorHAnsi"/>
                <w:szCs w:val="20"/>
                <w:lang w:val="en-US"/>
              </w:rPr>
              <w:t>Subcomite di Higiene</w:t>
            </w:r>
          </w:p>
        </w:tc>
        <w:tc>
          <w:tcPr>
            <w:tcW w:w="2368" w:type="dxa"/>
          </w:tcPr>
          <w:p w:rsidR="00595760" w:rsidRPr="00231C30" w:rsidRDefault="00595760" w:rsidP="00BC6B07">
            <w:pPr>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0"/>
                <w:highlight w:val="yellow"/>
                <w:lang w:val="en-US"/>
              </w:rPr>
            </w:pPr>
            <w:r w:rsidRPr="001A0E97">
              <w:rPr>
                <w:rFonts w:asciiTheme="minorHAnsi" w:hAnsiTheme="minorHAnsi"/>
                <w:szCs w:val="20"/>
                <w:lang w:val="en-US"/>
              </w:rPr>
              <w:t>Bolivia</w:t>
            </w:r>
          </w:p>
        </w:tc>
      </w:tr>
      <w:tr w:rsidR="00595760" w:rsidRPr="00231C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595760" w:rsidRDefault="00595760" w:rsidP="00BC6B07">
            <w:pPr>
              <w:spacing w:after="0"/>
              <w:jc w:val="left"/>
              <w:rPr>
                <w:rFonts w:asciiTheme="minorHAnsi" w:hAnsiTheme="minorHAnsi"/>
                <w:szCs w:val="20"/>
                <w:lang w:val="en-US"/>
              </w:rPr>
            </w:pPr>
            <w:r>
              <w:rPr>
                <w:rFonts w:asciiTheme="minorHAnsi" w:hAnsiTheme="minorHAnsi"/>
                <w:szCs w:val="20"/>
                <w:lang w:val="en-US"/>
              </w:rPr>
              <w:lastRenderedPageBreak/>
              <w:t>Elisa Panades</w:t>
            </w:r>
          </w:p>
        </w:tc>
        <w:tc>
          <w:tcPr>
            <w:tcW w:w="3969" w:type="dxa"/>
          </w:tcPr>
          <w:p w:rsidR="00595760" w:rsidRDefault="00595760" w:rsidP="00BC6B07">
            <w:pPr>
              <w:spacing w:after="0"/>
              <w:jc w:val="left"/>
              <w:cnfStyle w:val="000000010000" w:firstRow="0" w:lastRow="0" w:firstColumn="0" w:lastColumn="0" w:oddVBand="0" w:evenVBand="0" w:oddHBand="0" w:evenHBand="1" w:firstRowFirstColumn="0" w:firstRowLastColumn="0" w:lastRowFirstColumn="0" w:lastRowLastColumn="0"/>
              <w:rPr>
                <w:rFonts w:asciiTheme="minorHAnsi" w:hAnsiTheme="minorHAnsi"/>
                <w:szCs w:val="20"/>
                <w:lang w:val="en-US"/>
              </w:rPr>
            </w:pPr>
            <w:r>
              <w:rPr>
                <w:rFonts w:asciiTheme="minorHAnsi" w:hAnsiTheme="minorHAnsi"/>
                <w:szCs w:val="20"/>
                <w:lang w:val="en-US"/>
              </w:rPr>
              <w:t xml:space="preserve">Director, FAO Office </w:t>
            </w:r>
          </w:p>
        </w:tc>
        <w:tc>
          <w:tcPr>
            <w:tcW w:w="2368" w:type="dxa"/>
          </w:tcPr>
          <w:p w:rsidR="00595760" w:rsidRPr="00231C30" w:rsidRDefault="00595760" w:rsidP="00BC6B07">
            <w:pPr>
              <w:spacing w:after="0"/>
              <w:jc w:val="left"/>
              <w:cnfStyle w:val="000000010000" w:firstRow="0" w:lastRow="0" w:firstColumn="0" w:lastColumn="0" w:oddVBand="0" w:evenVBand="0" w:oddHBand="0" w:evenHBand="1" w:firstRowFirstColumn="0" w:firstRowLastColumn="0" w:lastRowFirstColumn="0" w:lastRowLastColumn="0"/>
              <w:rPr>
                <w:rFonts w:asciiTheme="minorHAnsi" w:hAnsiTheme="minorHAnsi"/>
                <w:szCs w:val="20"/>
                <w:highlight w:val="yellow"/>
                <w:lang w:val="en-US"/>
              </w:rPr>
            </w:pPr>
            <w:r w:rsidRPr="001A0E97">
              <w:rPr>
                <w:rFonts w:asciiTheme="minorHAnsi" w:hAnsiTheme="minorHAnsi"/>
                <w:szCs w:val="20"/>
                <w:lang w:val="en-US"/>
              </w:rPr>
              <w:t>Bolivia</w:t>
            </w:r>
          </w:p>
        </w:tc>
      </w:tr>
      <w:tr w:rsidR="00595760" w:rsidRPr="0023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595760" w:rsidRDefault="00595760" w:rsidP="00BC6B07">
            <w:pPr>
              <w:spacing w:after="0"/>
              <w:jc w:val="left"/>
              <w:rPr>
                <w:rFonts w:asciiTheme="minorHAnsi" w:hAnsiTheme="minorHAnsi"/>
                <w:szCs w:val="20"/>
                <w:lang w:val="en-US"/>
              </w:rPr>
            </w:pPr>
            <w:r>
              <w:rPr>
                <w:rFonts w:asciiTheme="minorHAnsi" w:hAnsiTheme="minorHAnsi"/>
                <w:szCs w:val="20"/>
                <w:lang w:val="en-US"/>
              </w:rPr>
              <w:t>Christian Darras</w:t>
            </w:r>
          </w:p>
        </w:tc>
        <w:tc>
          <w:tcPr>
            <w:tcW w:w="3969" w:type="dxa"/>
          </w:tcPr>
          <w:p w:rsidR="00595760" w:rsidRDefault="00595760" w:rsidP="00BC6B07">
            <w:pPr>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0"/>
                <w:lang w:val="en-US"/>
              </w:rPr>
            </w:pPr>
            <w:r>
              <w:rPr>
                <w:rFonts w:asciiTheme="minorHAnsi" w:hAnsiTheme="minorHAnsi"/>
                <w:szCs w:val="20"/>
                <w:lang w:val="en-US"/>
              </w:rPr>
              <w:t xml:space="preserve">Director WHO Office </w:t>
            </w:r>
          </w:p>
        </w:tc>
        <w:tc>
          <w:tcPr>
            <w:tcW w:w="2368" w:type="dxa"/>
          </w:tcPr>
          <w:p w:rsidR="00595760" w:rsidRPr="00231C30" w:rsidRDefault="00595760" w:rsidP="00BC6B07">
            <w:pPr>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0"/>
                <w:highlight w:val="yellow"/>
                <w:lang w:val="en-US"/>
              </w:rPr>
            </w:pPr>
            <w:r w:rsidRPr="001A0E97">
              <w:rPr>
                <w:rFonts w:asciiTheme="minorHAnsi" w:hAnsiTheme="minorHAnsi"/>
                <w:szCs w:val="20"/>
                <w:lang w:val="en-US"/>
              </w:rPr>
              <w:t>Bolivia</w:t>
            </w:r>
          </w:p>
        </w:tc>
      </w:tr>
      <w:tr w:rsidR="00595760" w:rsidRPr="00231C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595760" w:rsidRDefault="00595760" w:rsidP="00BC6B07">
            <w:pPr>
              <w:spacing w:after="0"/>
              <w:jc w:val="left"/>
              <w:rPr>
                <w:rFonts w:asciiTheme="minorHAnsi" w:hAnsiTheme="minorHAnsi"/>
                <w:szCs w:val="20"/>
                <w:lang w:val="en-US"/>
              </w:rPr>
            </w:pPr>
            <w:r>
              <w:rPr>
                <w:rFonts w:asciiTheme="minorHAnsi" w:hAnsiTheme="minorHAnsi"/>
                <w:szCs w:val="20"/>
                <w:lang w:val="en-US"/>
              </w:rPr>
              <w:t>Fidel Villegas</w:t>
            </w:r>
          </w:p>
        </w:tc>
        <w:tc>
          <w:tcPr>
            <w:tcW w:w="3969" w:type="dxa"/>
          </w:tcPr>
          <w:p w:rsidR="00595760" w:rsidRDefault="00595760" w:rsidP="00BC6B07">
            <w:pPr>
              <w:spacing w:after="0"/>
              <w:jc w:val="left"/>
              <w:cnfStyle w:val="000000010000" w:firstRow="0" w:lastRow="0" w:firstColumn="0" w:lastColumn="0" w:oddVBand="0" w:evenVBand="0" w:oddHBand="0" w:evenHBand="1" w:firstRowFirstColumn="0" w:firstRowLastColumn="0" w:lastRowFirstColumn="0" w:lastRowLastColumn="0"/>
              <w:rPr>
                <w:rFonts w:asciiTheme="minorHAnsi" w:hAnsiTheme="minorHAnsi"/>
                <w:szCs w:val="20"/>
                <w:lang w:val="en-US"/>
              </w:rPr>
            </w:pPr>
            <w:r>
              <w:rPr>
                <w:rFonts w:asciiTheme="minorHAnsi" w:hAnsiTheme="minorHAnsi"/>
                <w:szCs w:val="20"/>
                <w:lang w:val="en-US"/>
              </w:rPr>
              <w:t>WHO</w:t>
            </w:r>
          </w:p>
        </w:tc>
        <w:tc>
          <w:tcPr>
            <w:tcW w:w="2368" w:type="dxa"/>
          </w:tcPr>
          <w:p w:rsidR="00595760" w:rsidRPr="00231C30" w:rsidRDefault="00595760" w:rsidP="00BC6B07">
            <w:pPr>
              <w:spacing w:after="0"/>
              <w:jc w:val="left"/>
              <w:cnfStyle w:val="000000010000" w:firstRow="0" w:lastRow="0" w:firstColumn="0" w:lastColumn="0" w:oddVBand="0" w:evenVBand="0" w:oddHBand="0" w:evenHBand="1" w:firstRowFirstColumn="0" w:firstRowLastColumn="0" w:lastRowFirstColumn="0" w:lastRowLastColumn="0"/>
              <w:rPr>
                <w:rFonts w:asciiTheme="minorHAnsi" w:hAnsiTheme="minorHAnsi"/>
                <w:szCs w:val="20"/>
                <w:highlight w:val="yellow"/>
                <w:lang w:val="en-US"/>
              </w:rPr>
            </w:pPr>
            <w:r w:rsidRPr="001A0E97">
              <w:rPr>
                <w:rFonts w:asciiTheme="minorHAnsi" w:hAnsiTheme="minorHAnsi"/>
                <w:szCs w:val="20"/>
                <w:lang w:val="en-US"/>
              </w:rPr>
              <w:t>Bolivia</w:t>
            </w:r>
          </w:p>
        </w:tc>
      </w:tr>
      <w:tr w:rsidR="00595760" w:rsidRPr="0023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595760" w:rsidRDefault="00595760" w:rsidP="00BC6B07">
            <w:pPr>
              <w:spacing w:after="0"/>
              <w:jc w:val="left"/>
              <w:rPr>
                <w:rFonts w:asciiTheme="minorHAnsi" w:hAnsiTheme="minorHAnsi"/>
                <w:szCs w:val="20"/>
                <w:lang w:val="en-US"/>
              </w:rPr>
            </w:pPr>
            <w:r>
              <w:rPr>
                <w:rFonts w:asciiTheme="minorHAnsi" w:hAnsiTheme="minorHAnsi"/>
                <w:szCs w:val="20"/>
                <w:lang w:val="en-US"/>
              </w:rPr>
              <w:t>Esperanza Guillen</w:t>
            </w:r>
          </w:p>
        </w:tc>
        <w:tc>
          <w:tcPr>
            <w:tcW w:w="3969" w:type="dxa"/>
          </w:tcPr>
          <w:p w:rsidR="00595760" w:rsidRDefault="00595760" w:rsidP="00BC6B07">
            <w:pPr>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0"/>
                <w:lang w:val="en-US"/>
              </w:rPr>
            </w:pPr>
            <w:r>
              <w:rPr>
                <w:rFonts w:asciiTheme="minorHAnsi" w:hAnsiTheme="minorHAnsi"/>
                <w:szCs w:val="20"/>
                <w:lang w:val="en-US"/>
              </w:rPr>
              <w:t>Ministry of Health</w:t>
            </w:r>
          </w:p>
        </w:tc>
        <w:tc>
          <w:tcPr>
            <w:tcW w:w="2368" w:type="dxa"/>
          </w:tcPr>
          <w:p w:rsidR="00595760" w:rsidRPr="00231C30" w:rsidRDefault="00595760" w:rsidP="00BC6B07">
            <w:pPr>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0"/>
                <w:highlight w:val="yellow"/>
                <w:lang w:val="en-US"/>
              </w:rPr>
            </w:pPr>
            <w:r w:rsidRPr="001A0E97">
              <w:rPr>
                <w:rFonts w:asciiTheme="minorHAnsi" w:hAnsiTheme="minorHAnsi"/>
                <w:szCs w:val="20"/>
                <w:lang w:val="en-US"/>
              </w:rPr>
              <w:t>Bolivia</w:t>
            </w:r>
          </w:p>
        </w:tc>
      </w:tr>
      <w:tr w:rsidR="00595760" w:rsidRPr="00231C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595760" w:rsidRDefault="00595760" w:rsidP="00BC6B07">
            <w:pPr>
              <w:spacing w:after="0"/>
              <w:jc w:val="left"/>
              <w:rPr>
                <w:rFonts w:asciiTheme="minorHAnsi" w:hAnsiTheme="minorHAnsi"/>
                <w:szCs w:val="20"/>
                <w:lang w:val="en-US"/>
              </w:rPr>
            </w:pPr>
            <w:r>
              <w:rPr>
                <w:rFonts w:asciiTheme="minorHAnsi" w:hAnsiTheme="minorHAnsi"/>
                <w:szCs w:val="20"/>
                <w:lang w:val="en-US"/>
              </w:rPr>
              <w:t xml:space="preserve">Luis Chavez </w:t>
            </w:r>
          </w:p>
        </w:tc>
        <w:tc>
          <w:tcPr>
            <w:tcW w:w="3969" w:type="dxa"/>
          </w:tcPr>
          <w:p w:rsidR="00595760" w:rsidRDefault="00595760" w:rsidP="00BC6B07">
            <w:pPr>
              <w:spacing w:after="0"/>
              <w:jc w:val="left"/>
              <w:cnfStyle w:val="000000010000" w:firstRow="0" w:lastRow="0" w:firstColumn="0" w:lastColumn="0" w:oddVBand="0" w:evenVBand="0" w:oddHBand="0" w:evenHBand="1" w:firstRowFirstColumn="0" w:firstRowLastColumn="0" w:lastRowFirstColumn="0" w:lastRowLastColumn="0"/>
              <w:rPr>
                <w:rFonts w:asciiTheme="minorHAnsi" w:hAnsiTheme="minorHAnsi"/>
                <w:szCs w:val="20"/>
                <w:lang w:val="en-US"/>
              </w:rPr>
            </w:pPr>
            <w:r>
              <w:rPr>
                <w:rFonts w:asciiTheme="minorHAnsi" w:hAnsiTheme="minorHAnsi"/>
                <w:szCs w:val="20"/>
                <w:lang w:val="en-US"/>
              </w:rPr>
              <w:t>Subcomite Lacteos</w:t>
            </w:r>
          </w:p>
        </w:tc>
        <w:tc>
          <w:tcPr>
            <w:tcW w:w="2368" w:type="dxa"/>
          </w:tcPr>
          <w:p w:rsidR="00595760" w:rsidRPr="00231C30" w:rsidRDefault="00595760" w:rsidP="00BC6B07">
            <w:pPr>
              <w:spacing w:after="0"/>
              <w:jc w:val="left"/>
              <w:cnfStyle w:val="000000010000" w:firstRow="0" w:lastRow="0" w:firstColumn="0" w:lastColumn="0" w:oddVBand="0" w:evenVBand="0" w:oddHBand="0" w:evenHBand="1" w:firstRowFirstColumn="0" w:firstRowLastColumn="0" w:lastRowFirstColumn="0" w:lastRowLastColumn="0"/>
              <w:rPr>
                <w:rFonts w:asciiTheme="minorHAnsi" w:hAnsiTheme="minorHAnsi"/>
                <w:szCs w:val="20"/>
                <w:highlight w:val="yellow"/>
                <w:lang w:val="en-US"/>
              </w:rPr>
            </w:pPr>
            <w:r w:rsidRPr="001A0E97">
              <w:rPr>
                <w:rFonts w:asciiTheme="minorHAnsi" w:hAnsiTheme="minorHAnsi"/>
                <w:szCs w:val="20"/>
                <w:lang w:val="en-US"/>
              </w:rPr>
              <w:t>Bolivia</w:t>
            </w:r>
          </w:p>
        </w:tc>
      </w:tr>
      <w:tr w:rsidR="00595760" w:rsidRPr="0023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595760" w:rsidRDefault="00595760" w:rsidP="00BC6B07">
            <w:pPr>
              <w:spacing w:after="0"/>
              <w:jc w:val="left"/>
              <w:rPr>
                <w:rFonts w:asciiTheme="minorHAnsi" w:hAnsiTheme="minorHAnsi"/>
                <w:szCs w:val="20"/>
                <w:lang w:val="en-US"/>
              </w:rPr>
            </w:pPr>
            <w:r>
              <w:rPr>
                <w:rFonts w:asciiTheme="minorHAnsi" w:hAnsiTheme="minorHAnsi"/>
                <w:szCs w:val="20"/>
                <w:lang w:val="en-US"/>
              </w:rPr>
              <w:t>Sheila Coca</w:t>
            </w:r>
          </w:p>
        </w:tc>
        <w:tc>
          <w:tcPr>
            <w:tcW w:w="3969" w:type="dxa"/>
          </w:tcPr>
          <w:p w:rsidR="00595760" w:rsidRDefault="00595760" w:rsidP="00BC6B07">
            <w:pPr>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0"/>
                <w:lang w:val="en-US"/>
              </w:rPr>
            </w:pPr>
            <w:r>
              <w:rPr>
                <w:rFonts w:asciiTheme="minorHAnsi" w:hAnsiTheme="minorHAnsi"/>
                <w:szCs w:val="20"/>
                <w:lang w:val="en-US"/>
              </w:rPr>
              <w:t>Director, subcomite Lacteos</w:t>
            </w:r>
          </w:p>
        </w:tc>
        <w:tc>
          <w:tcPr>
            <w:tcW w:w="2368" w:type="dxa"/>
          </w:tcPr>
          <w:p w:rsidR="00595760" w:rsidRPr="00231C30" w:rsidRDefault="00595760" w:rsidP="00BC6B07">
            <w:pPr>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0"/>
                <w:highlight w:val="yellow"/>
                <w:lang w:val="en-US"/>
              </w:rPr>
            </w:pPr>
            <w:r w:rsidRPr="001A0E97">
              <w:rPr>
                <w:rFonts w:asciiTheme="minorHAnsi" w:hAnsiTheme="minorHAnsi"/>
                <w:szCs w:val="20"/>
                <w:lang w:val="en-US"/>
              </w:rPr>
              <w:t>Bolivia</w:t>
            </w:r>
          </w:p>
        </w:tc>
      </w:tr>
      <w:tr w:rsidR="00595760" w:rsidRPr="00231C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595760" w:rsidRDefault="00595760" w:rsidP="00BC6B07">
            <w:pPr>
              <w:spacing w:after="0"/>
              <w:jc w:val="left"/>
              <w:rPr>
                <w:rFonts w:asciiTheme="minorHAnsi" w:hAnsiTheme="minorHAnsi"/>
                <w:szCs w:val="20"/>
                <w:lang w:val="en-US"/>
              </w:rPr>
            </w:pPr>
            <w:r>
              <w:rPr>
                <w:rFonts w:asciiTheme="minorHAnsi" w:hAnsiTheme="minorHAnsi"/>
                <w:szCs w:val="20"/>
                <w:lang w:val="en-US"/>
              </w:rPr>
              <w:t xml:space="preserve">Jose Endara </w:t>
            </w:r>
          </w:p>
        </w:tc>
        <w:tc>
          <w:tcPr>
            <w:tcW w:w="3969" w:type="dxa"/>
          </w:tcPr>
          <w:p w:rsidR="00595760" w:rsidRDefault="00595760" w:rsidP="00BC6B07">
            <w:pPr>
              <w:spacing w:after="0"/>
              <w:jc w:val="left"/>
              <w:cnfStyle w:val="000000010000" w:firstRow="0" w:lastRow="0" w:firstColumn="0" w:lastColumn="0" w:oddVBand="0" w:evenVBand="0" w:oddHBand="0" w:evenHBand="1" w:firstRowFirstColumn="0" w:firstRowLastColumn="0" w:lastRowFirstColumn="0" w:lastRowLastColumn="0"/>
              <w:rPr>
                <w:rFonts w:asciiTheme="minorHAnsi" w:hAnsiTheme="minorHAnsi"/>
                <w:szCs w:val="20"/>
                <w:lang w:val="en-US"/>
              </w:rPr>
            </w:pPr>
            <w:r>
              <w:rPr>
                <w:rFonts w:asciiTheme="minorHAnsi" w:hAnsiTheme="minorHAnsi"/>
                <w:szCs w:val="20"/>
                <w:lang w:val="en-US"/>
              </w:rPr>
              <w:t>Chambers of Commerce</w:t>
            </w:r>
          </w:p>
        </w:tc>
        <w:tc>
          <w:tcPr>
            <w:tcW w:w="2368" w:type="dxa"/>
          </w:tcPr>
          <w:p w:rsidR="00595760" w:rsidRPr="00231C30" w:rsidRDefault="00595760" w:rsidP="00BC6B07">
            <w:pPr>
              <w:spacing w:after="0"/>
              <w:jc w:val="left"/>
              <w:cnfStyle w:val="000000010000" w:firstRow="0" w:lastRow="0" w:firstColumn="0" w:lastColumn="0" w:oddVBand="0" w:evenVBand="0" w:oddHBand="0" w:evenHBand="1" w:firstRowFirstColumn="0" w:firstRowLastColumn="0" w:lastRowFirstColumn="0" w:lastRowLastColumn="0"/>
              <w:rPr>
                <w:rFonts w:asciiTheme="minorHAnsi" w:hAnsiTheme="minorHAnsi"/>
                <w:szCs w:val="20"/>
                <w:highlight w:val="yellow"/>
                <w:lang w:val="en-US"/>
              </w:rPr>
            </w:pPr>
            <w:r w:rsidRPr="001A0E97">
              <w:rPr>
                <w:rFonts w:asciiTheme="minorHAnsi" w:hAnsiTheme="minorHAnsi"/>
                <w:szCs w:val="20"/>
                <w:lang w:val="en-US"/>
              </w:rPr>
              <w:t>Bolivia</w:t>
            </w:r>
          </w:p>
        </w:tc>
      </w:tr>
      <w:tr w:rsidR="00595760" w:rsidRPr="0023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595760" w:rsidRDefault="00595760" w:rsidP="00BC6B07">
            <w:pPr>
              <w:spacing w:after="0"/>
              <w:jc w:val="left"/>
              <w:rPr>
                <w:rFonts w:asciiTheme="minorHAnsi" w:hAnsiTheme="minorHAnsi"/>
                <w:szCs w:val="20"/>
                <w:lang w:val="en-US"/>
              </w:rPr>
            </w:pPr>
            <w:r>
              <w:rPr>
                <w:rFonts w:asciiTheme="minorHAnsi" w:hAnsiTheme="minorHAnsi"/>
                <w:szCs w:val="20"/>
                <w:lang w:val="en-US"/>
              </w:rPr>
              <w:t>Silvia Coca</w:t>
            </w:r>
          </w:p>
        </w:tc>
        <w:tc>
          <w:tcPr>
            <w:tcW w:w="3969" w:type="dxa"/>
          </w:tcPr>
          <w:p w:rsidR="00595760" w:rsidRDefault="00595760" w:rsidP="00BC6B07">
            <w:pPr>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0"/>
                <w:lang w:val="en-US"/>
              </w:rPr>
            </w:pPr>
            <w:r>
              <w:rPr>
                <w:rFonts w:asciiTheme="minorHAnsi" w:hAnsiTheme="minorHAnsi"/>
                <w:szCs w:val="20"/>
                <w:lang w:val="en-US"/>
              </w:rPr>
              <w:t>Ministry of Rural development</w:t>
            </w:r>
          </w:p>
        </w:tc>
        <w:tc>
          <w:tcPr>
            <w:tcW w:w="2368" w:type="dxa"/>
          </w:tcPr>
          <w:p w:rsidR="00595760" w:rsidRPr="00231C30" w:rsidRDefault="00595760" w:rsidP="00BC6B07">
            <w:pPr>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0"/>
                <w:highlight w:val="yellow"/>
                <w:lang w:val="en-US"/>
              </w:rPr>
            </w:pPr>
            <w:r w:rsidRPr="001A0E97">
              <w:rPr>
                <w:rFonts w:asciiTheme="minorHAnsi" w:hAnsiTheme="minorHAnsi"/>
                <w:szCs w:val="20"/>
                <w:lang w:val="en-US"/>
              </w:rPr>
              <w:t>Bolivia</w:t>
            </w:r>
          </w:p>
        </w:tc>
      </w:tr>
      <w:tr w:rsidR="00595760" w:rsidRPr="00231C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595760" w:rsidRDefault="00595760" w:rsidP="00BC6B07">
            <w:pPr>
              <w:spacing w:after="0"/>
              <w:jc w:val="left"/>
              <w:rPr>
                <w:rFonts w:asciiTheme="minorHAnsi" w:hAnsiTheme="minorHAnsi"/>
                <w:szCs w:val="20"/>
                <w:lang w:val="en-US"/>
              </w:rPr>
            </w:pPr>
            <w:r>
              <w:rPr>
                <w:rFonts w:asciiTheme="minorHAnsi" w:hAnsiTheme="minorHAnsi"/>
                <w:szCs w:val="20"/>
                <w:lang w:val="en-US"/>
              </w:rPr>
              <w:t>Marco Iriarte</w:t>
            </w:r>
          </w:p>
        </w:tc>
        <w:tc>
          <w:tcPr>
            <w:tcW w:w="3969" w:type="dxa"/>
          </w:tcPr>
          <w:p w:rsidR="00595760" w:rsidRDefault="00595760" w:rsidP="00BC6B07">
            <w:pPr>
              <w:spacing w:after="0"/>
              <w:jc w:val="left"/>
              <w:cnfStyle w:val="000000010000" w:firstRow="0" w:lastRow="0" w:firstColumn="0" w:lastColumn="0" w:oddVBand="0" w:evenVBand="0" w:oddHBand="0" w:evenHBand="1" w:firstRowFirstColumn="0" w:firstRowLastColumn="0" w:lastRowFirstColumn="0" w:lastRowLastColumn="0"/>
              <w:rPr>
                <w:rFonts w:asciiTheme="minorHAnsi" w:hAnsiTheme="minorHAnsi"/>
                <w:szCs w:val="20"/>
                <w:lang w:val="en-US"/>
              </w:rPr>
            </w:pPr>
            <w:r>
              <w:rPr>
                <w:rFonts w:asciiTheme="minorHAnsi" w:hAnsiTheme="minorHAnsi"/>
                <w:szCs w:val="20"/>
                <w:lang w:val="en-US"/>
              </w:rPr>
              <w:t xml:space="preserve">Ministry of Rural development </w:t>
            </w:r>
          </w:p>
        </w:tc>
        <w:tc>
          <w:tcPr>
            <w:tcW w:w="2368" w:type="dxa"/>
          </w:tcPr>
          <w:p w:rsidR="00595760" w:rsidRPr="00231C30" w:rsidRDefault="00595760" w:rsidP="00BC6B07">
            <w:pPr>
              <w:spacing w:after="0"/>
              <w:jc w:val="left"/>
              <w:cnfStyle w:val="000000010000" w:firstRow="0" w:lastRow="0" w:firstColumn="0" w:lastColumn="0" w:oddVBand="0" w:evenVBand="0" w:oddHBand="0" w:evenHBand="1" w:firstRowFirstColumn="0" w:firstRowLastColumn="0" w:lastRowFirstColumn="0" w:lastRowLastColumn="0"/>
              <w:rPr>
                <w:rFonts w:asciiTheme="minorHAnsi" w:hAnsiTheme="minorHAnsi"/>
                <w:szCs w:val="20"/>
                <w:highlight w:val="yellow"/>
                <w:lang w:val="en-US"/>
              </w:rPr>
            </w:pPr>
            <w:r w:rsidRPr="001A0E97">
              <w:rPr>
                <w:rFonts w:asciiTheme="minorHAnsi" w:hAnsiTheme="minorHAnsi"/>
                <w:szCs w:val="20"/>
                <w:lang w:val="en-US"/>
              </w:rPr>
              <w:t>Bolivia</w:t>
            </w:r>
          </w:p>
        </w:tc>
      </w:tr>
      <w:tr w:rsidR="00595760" w:rsidRPr="0023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595760" w:rsidRDefault="00595760" w:rsidP="00BC6B07">
            <w:pPr>
              <w:spacing w:after="0"/>
              <w:jc w:val="left"/>
              <w:rPr>
                <w:rFonts w:asciiTheme="minorHAnsi" w:hAnsiTheme="minorHAnsi"/>
                <w:szCs w:val="20"/>
                <w:lang w:val="en-US"/>
              </w:rPr>
            </w:pPr>
            <w:r>
              <w:rPr>
                <w:rFonts w:asciiTheme="minorHAnsi" w:hAnsiTheme="minorHAnsi"/>
                <w:szCs w:val="20"/>
                <w:lang w:val="en-US"/>
              </w:rPr>
              <w:t>Fidel Villeags</w:t>
            </w:r>
          </w:p>
        </w:tc>
        <w:tc>
          <w:tcPr>
            <w:tcW w:w="3969" w:type="dxa"/>
          </w:tcPr>
          <w:p w:rsidR="00595760" w:rsidRDefault="00595760" w:rsidP="00BC6B07">
            <w:pPr>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0"/>
                <w:lang w:val="en-US"/>
              </w:rPr>
            </w:pPr>
            <w:r>
              <w:rPr>
                <w:rFonts w:asciiTheme="minorHAnsi" w:hAnsiTheme="minorHAnsi"/>
                <w:szCs w:val="20"/>
                <w:lang w:val="en-US"/>
              </w:rPr>
              <w:t>PAHO/WHO</w:t>
            </w:r>
          </w:p>
        </w:tc>
        <w:tc>
          <w:tcPr>
            <w:tcW w:w="2368" w:type="dxa"/>
          </w:tcPr>
          <w:p w:rsidR="00595760" w:rsidRPr="00231C30" w:rsidRDefault="00595760" w:rsidP="00BC6B07">
            <w:pPr>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0"/>
                <w:highlight w:val="yellow"/>
                <w:lang w:val="en-US"/>
              </w:rPr>
            </w:pPr>
            <w:r w:rsidRPr="001A0E97">
              <w:rPr>
                <w:rFonts w:asciiTheme="minorHAnsi" w:hAnsiTheme="minorHAnsi"/>
                <w:szCs w:val="20"/>
                <w:lang w:val="en-US"/>
              </w:rPr>
              <w:t>Bolivia</w:t>
            </w:r>
          </w:p>
        </w:tc>
      </w:tr>
      <w:tr w:rsidR="00595760" w:rsidRPr="00231C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595760" w:rsidRDefault="00595760" w:rsidP="00BC6B07">
            <w:pPr>
              <w:spacing w:after="0"/>
              <w:jc w:val="left"/>
              <w:rPr>
                <w:rFonts w:asciiTheme="minorHAnsi" w:hAnsiTheme="minorHAnsi"/>
                <w:szCs w:val="20"/>
                <w:lang w:val="en-US"/>
              </w:rPr>
            </w:pPr>
            <w:r>
              <w:rPr>
                <w:rFonts w:asciiTheme="minorHAnsi" w:hAnsiTheme="minorHAnsi"/>
                <w:szCs w:val="20"/>
                <w:lang w:val="en-US"/>
              </w:rPr>
              <w:t>Augusto Estivariz</w:t>
            </w:r>
          </w:p>
        </w:tc>
        <w:tc>
          <w:tcPr>
            <w:tcW w:w="3969" w:type="dxa"/>
          </w:tcPr>
          <w:p w:rsidR="00595760" w:rsidRDefault="00595760" w:rsidP="00BC6B07">
            <w:pPr>
              <w:spacing w:after="0"/>
              <w:jc w:val="left"/>
              <w:cnfStyle w:val="000000010000" w:firstRow="0" w:lastRow="0" w:firstColumn="0" w:lastColumn="0" w:oddVBand="0" w:evenVBand="0" w:oddHBand="0" w:evenHBand="1" w:firstRowFirstColumn="0" w:firstRowLastColumn="0" w:lastRowFirstColumn="0" w:lastRowLastColumn="0"/>
              <w:rPr>
                <w:rFonts w:asciiTheme="minorHAnsi" w:hAnsiTheme="minorHAnsi"/>
                <w:szCs w:val="20"/>
                <w:lang w:val="en-US"/>
              </w:rPr>
            </w:pPr>
            <w:r>
              <w:rPr>
                <w:rFonts w:asciiTheme="minorHAnsi" w:hAnsiTheme="minorHAnsi"/>
                <w:szCs w:val="20"/>
                <w:lang w:val="en-US"/>
              </w:rPr>
              <w:t>Chamber of Commerce</w:t>
            </w:r>
          </w:p>
        </w:tc>
        <w:tc>
          <w:tcPr>
            <w:tcW w:w="2368" w:type="dxa"/>
          </w:tcPr>
          <w:p w:rsidR="00595760" w:rsidRPr="00231C30" w:rsidRDefault="00595760" w:rsidP="00BC6B07">
            <w:pPr>
              <w:spacing w:after="0"/>
              <w:jc w:val="left"/>
              <w:cnfStyle w:val="000000010000" w:firstRow="0" w:lastRow="0" w:firstColumn="0" w:lastColumn="0" w:oddVBand="0" w:evenVBand="0" w:oddHBand="0" w:evenHBand="1" w:firstRowFirstColumn="0" w:firstRowLastColumn="0" w:lastRowFirstColumn="0" w:lastRowLastColumn="0"/>
              <w:rPr>
                <w:rFonts w:asciiTheme="minorHAnsi" w:hAnsiTheme="minorHAnsi"/>
                <w:szCs w:val="20"/>
                <w:highlight w:val="yellow"/>
                <w:lang w:val="en-US"/>
              </w:rPr>
            </w:pPr>
            <w:r w:rsidRPr="001A0E97">
              <w:rPr>
                <w:rFonts w:asciiTheme="minorHAnsi" w:hAnsiTheme="minorHAnsi"/>
                <w:szCs w:val="20"/>
                <w:lang w:val="en-US"/>
              </w:rPr>
              <w:t>Bolivia</w:t>
            </w:r>
          </w:p>
        </w:tc>
      </w:tr>
      <w:tr w:rsidR="00595760" w:rsidRPr="0023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595760" w:rsidRDefault="00595760" w:rsidP="00BC6B07">
            <w:pPr>
              <w:spacing w:after="0"/>
              <w:jc w:val="left"/>
              <w:rPr>
                <w:rFonts w:asciiTheme="minorHAnsi" w:hAnsiTheme="minorHAnsi"/>
                <w:szCs w:val="20"/>
                <w:lang w:val="en-US"/>
              </w:rPr>
            </w:pPr>
            <w:r>
              <w:rPr>
                <w:rFonts w:asciiTheme="minorHAnsi" w:hAnsiTheme="minorHAnsi"/>
                <w:szCs w:val="20"/>
                <w:lang w:val="en-US"/>
              </w:rPr>
              <w:t>Jose Endara Mollinedo</w:t>
            </w:r>
          </w:p>
        </w:tc>
        <w:tc>
          <w:tcPr>
            <w:tcW w:w="3969" w:type="dxa"/>
          </w:tcPr>
          <w:p w:rsidR="00595760" w:rsidRDefault="00595760" w:rsidP="00BC6B07">
            <w:pPr>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0"/>
                <w:lang w:val="en-US"/>
              </w:rPr>
            </w:pPr>
            <w:r>
              <w:rPr>
                <w:rFonts w:asciiTheme="minorHAnsi" w:hAnsiTheme="minorHAnsi"/>
                <w:szCs w:val="20"/>
                <w:lang w:val="en-US"/>
              </w:rPr>
              <w:t>Department of External Commerce</w:t>
            </w:r>
          </w:p>
        </w:tc>
        <w:tc>
          <w:tcPr>
            <w:tcW w:w="2368" w:type="dxa"/>
          </w:tcPr>
          <w:p w:rsidR="00595760" w:rsidRPr="00231C30" w:rsidRDefault="00595760" w:rsidP="00BC6B07">
            <w:pPr>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0"/>
                <w:highlight w:val="yellow"/>
                <w:lang w:val="en-US"/>
              </w:rPr>
            </w:pPr>
            <w:r w:rsidRPr="001A0E97">
              <w:rPr>
                <w:rFonts w:asciiTheme="minorHAnsi" w:hAnsiTheme="minorHAnsi"/>
                <w:szCs w:val="20"/>
                <w:lang w:val="en-US"/>
              </w:rPr>
              <w:t>Bolivia</w:t>
            </w:r>
          </w:p>
        </w:tc>
      </w:tr>
      <w:tr w:rsidR="00231C30" w:rsidRPr="00231C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231C30" w:rsidRPr="00231C30" w:rsidRDefault="00231C30" w:rsidP="00231C30">
            <w:pPr>
              <w:spacing w:after="0"/>
              <w:jc w:val="left"/>
              <w:rPr>
                <w:rFonts w:asciiTheme="minorHAnsi" w:hAnsiTheme="minorHAnsi"/>
                <w:szCs w:val="20"/>
                <w:lang w:val="en-US"/>
              </w:rPr>
            </w:pPr>
            <w:r w:rsidRPr="00231C30">
              <w:rPr>
                <w:rFonts w:asciiTheme="minorHAnsi" w:hAnsiTheme="minorHAnsi"/>
                <w:szCs w:val="20"/>
                <w:lang w:val="en-US"/>
              </w:rPr>
              <w:t xml:space="preserve">Genevieve Baah </w:t>
            </w:r>
          </w:p>
          <w:p w:rsidR="00231C30" w:rsidRPr="00231C30" w:rsidRDefault="00231C30" w:rsidP="00231C30">
            <w:pPr>
              <w:spacing w:after="0"/>
              <w:jc w:val="left"/>
              <w:rPr>
                <w:rFonts w:asciiTheme="minorHAnsi" w:hAnsiTheme="minorHAnsi"/>
                <w:szCs w:val="20"/>
                <w:lang w:val="en-US"/>
              </w:rPr>
            </w:pPr>
            <w:r w:rsidRPr="00231C30">
              <w:rPr>
                <w:rFonts w:asciiTheme="minorHAnsi" w:hAnsiTheme="minorHAnsi"/>
                <w:szCs w:val="20"/>
                <w:lang w:val="en-US"/>
              </w:rPr>
              <w:t xml:space="preserve">John Oppong – Otoo </w:t>
            </w:r>
          </w:p>
          <w:p w:rsidR="00231C30" w:rsidRPr="00231C30" w:rsidRDefault="00231C30" w:rsidP="00231C30">
            <w:pPr>
              <w:spacing w:after="0"/>
              <w:jc w:val="left"/>
              <w:rPr>
                <w:rFonts w:asciiTheme="minorHAnsi" w:hAnsiTheme="minorHAnsi"/>
                <w:szCs w:val="20"/>
                <w:lang w:val="en-US"/>
              </w:rPr>
            </w:pPr>
            <w:r w:rsidRPr="00231C30">
              <w:rPr>
                <w:rFonts w:asciiTheme="minorHAnsi" w:hAnsiTheme="minorHAnsi"/>
                <w:szCs w:val="20"/>
                <w:lang w:val="en-US"/>
              </w:rPr>
              <w:t xml:space="preserve">Paul Osei –Fosu </w:t>
            </w:r>
          </w:p>
          <w:p w:rsidR="00231C30" w:rsidRPr="00231C30" w:rsidRDefault="00231C30" w:rsidP="00231C30">
            <w:pPr>
              <w:spacing w:after="0"/>
              <w:jc w:val="left"/>
              <w:rPr>
                <w:rFonts w:asciiTheme="minorHAnsi" w:hAnsiTheme="minorHAnsi"/>
                <w:szCs w:val="20"/>
                <w:lang w:val="it-IT"/>
              </w:rPr>
            </w:pPr>
            <w:r w:rsidRPr="00231C30">
              <w:rPr>
                <w:rFonts w:asciiTheme="minorHAnsi" w:hAnsiTheme="minorHAnsi"/>
                <w:szCs w:val="20"/>
                <w:lang w:val="en-US"/>
              </w:rPr>
              <w:t>K</w:t>
            </w:r>
            <w:r w:rsidRPr="00231C30">
              <w:rPr>
                <w:rFonts w:asciiTheme="minorHAnsi" w:hAnsiTheme="minorHAnsi"/>
                <w:szCs w:val="20"/>
                <w:lang w:val="id-ID"/>
              </w:rPr>
              <w:t>o</w:t>
            </w:r>
            <w:r w:rsidRPr="00231C30">
              <w:rPr>
                <w:rFonts w:asciiTheme="minorHAnsi" w:hAnsiTheme="minorHAnsi"/>
                <w:szCs w:val="20"/>
                <w:lang w:val="en-US"/>
              </w:rPr>
              <w:t>jo Eshun</w:t>
            </w:r>
            <w:r w:rsidRPr="00231C30">
              <w:rPr>
                <w:rFonts w:asciiTheme="minorHAnsi" w:hAnsiTheme="minorHAnsi"/>
                <w:szCs w:val="20"/>
                <w:lang w:val="it-IT"/>
              </w:rPr>
              <w:t xml:space="preserve"> </w:t>
            </w:r>
          </w:p>
          <w:p w:rsidR="00231C30" w:rsidRPr="00231C30" w:rsidRDefault="00231C30" w:rsidP="00231C30">
            <w:pPr>
              <w:spacing w:after="0"/>
              <w:jc w:val="left"/>
              <w:rPr>
                <w:rFonts w:asciiTheme="minorHAnsi" w:hAnsiTheme="minorHAnsi"/>
                <w:szCs w:val="20"/>
                <w:lang w:val="it-IT"/>
              </w:rPr>
            </w:pPr>
            <w:r w:rsidRPr="00231C30">
              <w:rPr>
                <w:rFonts w:asciiTheme="minorHAnsi" w:hAnsiTheme="minorHAnsi"/>
                <w:szCs w:val="20"/>
                <w:lang w:val="it-IT"/>
              </w:rPr>
              <w:t xml:space="preserve">Genevieve Baah </w:t>
            </w:r>
          </w:p>
          <w:p w:rsidR="00231C30" w:rsidRPr="00231C30" w:rsidRDefault="00231C30" w:rsidP="00231C30">
            <w:pPr>
              <w:spacing w:after="0"/>
              <w:jc w:val="left"/>
              <w:rPr>
                <w:rFonts w:asciiTheme="minorHAnsi" w:hAnsiTheme="minorHAnsi"/>
                <w:szCs w:val="20"/>
                <w:lang w:val="it-IT"/>
              </w:rPr>
            </w:pPr>
            <w:r w:rsidRPr="00231C30">
              <w:rPr>
                <w:rFonts w:asciiTheme="minorHAnsi" w:hAnsiTheme="minorHAnsi"/>
                <w:szCs w:val="20"/>
                <w:lang w:val="it-IT"/>
              </w:rPr>
              <w:t xml:space="preserve">Lyshech Adelota </w:t>
            </w:r>
          </w:p>
          <w:p w:rsidR="00231C30" w:rsidRPr="00231C30" w:rsidRDefault="00231C30" w:rsidP="00231C30">
            <w:pPr>
              <w:spacing w:after="0"/>
              <w:jc w:val="left"/>
              <w:rPr>
                <w:rFonts w:asciiTheme="minorHAnsi" w:hAnsiTheme="minorHAnsi"/>
                <w:szCs w:val="20"/>
                <w:lang w:val="es-ES"/>
              </w:rPr>
            </w:pPr>
            <w:r w:rsidRPr="00231C30">
              <w:rPr>
                <w:rFonts w:asciiTheme="minorHAnsi" w:hAnsiTheme="minorHAnsi"/>
                <w:szCs w:val="20"/>
                <w:lang w:val="it-IT"/>
              </w:rPr>
              <w:t>Prudence Asamoah Bonti</w:t>
            </w:r>
          </w:p>
        </w:tc>
        <w:tc>
          <w:tcPr>
            <w:tcW w:w="3969" w:type="dxa"/>
          </w:tcPr>
          <w:p w:rsidR="00231C30" w:rsidRPr="00231C30" w:rsidRDefault="00231C30" w:rsidP="00231C30">
            <w:pPr>
              <w:spacing w:after="0"/>
              <w:jc w:val="left"/>
              <w:cnfStyle w:val="000000010000" w:firstRow="0" w:lastRow="0" w:firstColumn="0" w:lastColumn="0" w:oddVBand="0" w:evenVBand="0" w:oddHBand="0" w:evenHBand="1" w:firstRowFirstColumn="0" w:firstRowLastColumn="0" w:lastRowFirstColumn="0" w:lastRowLastColumn="0"/>
              <w:rPr>
                <w:rFonts w:asciiTheme="minorHAnsi" w:hAnsiTheme="minorHAnsi"/>
                <w:szCs w:val="20"/>
                <w:lang w:val="en-US"/>
              </w:rPr>
            </w:pPr>
            <w:r w:rsidRPr="00231C30">
              <w:rPr>
                <w:rFonts w:asciiTheme="minorHAnsi" w:hAnsiTheme="minorHAnsi"/>
                <w:szCs w:val="20"/>
                <w:lang w:val="en-US"/>
              </w:rPr>
              <w:t>Ghana Standards Board</w:t>
            </w:r>
          </w:p>
        </w:tc>
        <w:tc>
          <w:tcPr>
            <w:tcW w:w="2368" w:type="dxa"/>
          </w:tcPr>
          <w:p w:rsidR="00231C30" w:rsidRPr="00231C30" w:rsidRDefault="00231C30" w:rsidP="00231C30">
            <w:pPr>
              <w:spacing w:after="0"/>
              <w:jc w:val="left"/>
              <w:cnfStyle w:val="000000010000" w:firstRow="0" w:lastRow="0" w:firstColumn="0" w:lastColumn="0" w:oddVBand="0" w:evenVBand="0" w:oddHBand="0" w:evenHBand="1" w:firstRowFirstColumn="0" w:firstRowLastColumn="0" w:lastRowFirstColumn="0" w:lastRowLastColumn="0"/>
              <w:rPr>
                <w:rFonts w:asciiTheme="minorHAnsi" w:hAnsiTheme="minorHAnsi"/>
                <w:szCs w:val="20"/>
                <w:lang w:val="en-US"/>
              </w:rPr>
            </w:pPr>
            <w:r w:rsidRPr="00231C30">
              <w:rPr>
                <w:rFonts w:asciiTheme="minorHAnsi" w:hAnsiTheme="minorHAnsi"/>
                <w:szCs w:val="20"/>
                <w:lang w:val="en-US"/>
              </w:rPr>
              <w:t>Ghana</w:t>
            </w:r>
          </w:p>
        </w:tc>
      </w:tr>
      <w:tr w:rsidR="00231C30" w:rsidRPr="0023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231C30" w:rsidRPr="00231C30" w:rsidRDefault="00231C30" w:rsidP="00231C30">
            <w:pPr>
              <w:spacing w:after="0"/>
              <w:jc w:val="left"/>
              <w:rPr>
                <w:rFonts w:asciiTheme="minorHAnsi" w:hAnsiTheme="minorHAnsi"/>
                <w:szCs w:val="20"/>
                <w:lang w:val="en-US"/>
              </w:rPr>
            </w:pPr>
            <w:r w:rsidRPr="00231C30">
              <w:rPr>
                <w:rFonts w:asciiTheme="minorHAnsi" w:hAnsiTheme="minorHAnsi"/>
                <w:szCs w:val="20"/>
                <w:lang w:val="en-US"/>
              </w:rPr>
              <w:t>Prof. Dr. George S. Ayernor</w:t>
            </w:r>
          </w:p>
        </w:tc>
        <w:tc>
          <w:tcPr>
            <w:tcW w:w="3969" w:type="dxa"/>
          </w:tcPr>
          <w:p w:rsidR="00231C30" w:rsidRPr="00231C30" w:rsidRDefault="00231C30" w:rsidP="00231C30">
            <w:pPr>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231C30">
              <w:rPr>
                <w:rFonts w:asciiTheme="minorHAnsi" w:hAnsiTheme="minorHAnsi"/>
                <w:szCs w:val="20"/>
              </w:rPr>
              <w:t>University of Ghana</w:t>
            </w:r>
          </w:p>
        </w:tc>
        <w:tc>
          <w:tcPr>
            <w:tcW w:w="2368" w:type="dxa"/>
          </w:tcPr>
          <w:p w:rsidR="00231C30" w:rsidRPr="00231C30" w:rsidRDefault="00231C30" w:rsidP="00231C30">
            <w:pPr>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0"/>
                <w:lang w:val="en-US"/>
              </w:rPr>
            </w:pPr>
            <w:r w:rsidRPr="00231C30">
              <w:rPr>
                <w:rFonts w:asciiTheme="minorHAnsi" w:hAnsiTheme="minorHAnsi"/>
                <w:szCs w:val="20"/>
                <w:lang w:val="en-US"/>
              </w:rPr>
              <w:t>Ghana</w:t>
            </w:r>
          </w:p>
        </w:tc>
      </w:tr>
      <w:tr w:rsidR="00231C30" w:rsidRPr="00231C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231C30" w:rsidRPr="00231C30" w:rsidRDefault="00231C30" w:rsidP="00231C30">
            <w:pPr>
              <w:spacing w:after="0"/>
              <w:jc w:val="left"/>
              <w:rPr>
                <w:rFonts w:asciiTheme="minorHAnsi" w:hAnsiTheme="minorHAnsi"/>
                <w:szCs w:val="20"/>
                <w:lang w:val="id-ID"/>
              </w:rPr>
            </w:pPr>
            <w:r w:rsidRPr="00231C30">
              <w:rPr>
                <w:rFonts w:asciiTheme="minorHAnsi" w:hAnsiTheme="minorHAnsi"/>
                <w:szCs w:val="20"/>
              </w:rPr>
              <w:t>Prof. S. Sefa</w:t>
            </w:r>
            <w:r w:rsidRPr="00231C30">
              <w:rPr>
                <w:rFonts w:asciiTheme="minorHAnsi" w:hAnsiTheme="minorHAnsi"/>
                <w:szCs w:val="20"/>
                <w:lang w:val="id-ID"/>
              </w:rPr>
              <w:t>-</w:t>
            </w:r>
            <w:r w:rsidRPr="00231C30">
              <w:rPr>
                <w:rFonts w:asciiTheme="minorHAnsi" w:hAnsiTheme="minorHAnsi"/>
                <w:szCs w:val="20"/>
              </w:rPr>
              <w:t xml:space="preserve"> Dede</w:t>
            </w:r>
            <w:r w:rsidRPr="00231C30">
              <w:rPr>
                <w:rFonts w:asciiTheme="minorHAnsi" w:hAnsiTheme="minorHAnsi"/>
                <w:szCs w:val="20"/>
                <w:lang w:val="id-ID"/>
              </w:rPr>
              <w:t>h</w:t>
            </w:r>
          </w:p>
        </w:tc>
        <w:tc>
          <w:tcPr>
            <w:tcW w:w="3969" w:type="dxa"/>
          </w:tcPr>
          <w:p w:rsidR="00231C30" w:rsidRPr="00231C30" w:rsidRDefault="00231C30" w:rsidP="00231C30">
            <w:pPr>
              <w:spacing w:after="0"/>
              <w:jc w:val="left"/>
              <w:cnfStyle w:val="000000010000" w:firstRow="0" w:lastRow="0" w:firstColumn="0" w:lastColumn="0" w:oddVBand="0" w:evenVBand="0" w:oddHBand="0" w:evenHBand="1" w:firstRowFirstColumn="0" w:firstRowLastColumn="0" w:lastRowFirstColumn="0" w:lastRowLastColumn="0"/>
              <w:rPr>
                <w:rFonts w:asciiTheme="minorHAnsi" w:hAnsiTheme="minorHAnsi"/>
                <w:szCs w:val="20"/>
                <w:lang w:val="en-US"/>
              </w:rPr>
            </w:pPr>
            <w:r w:rsidRPr="00231C30">
              <w:rPr>
                <w:rFonts w:asciiTheme="minorHAnsi" w:hAnsiTheme="minorHAnsi"/>
                <w:szCs w:val="20"/>
                <w:lang w:val="en-US"/>
              </w:rPr>
              <w:t>Coordinator, CCAFRICA</w:t>
            </w:r>
          </w:p>
        </w:tc>
        <w:tc>
          <w:tcPr>
            <w:tcW w:w="2368" w:type="dxa"/>
          </w:tcPr>
          <w:p w:rsidR="00231C30" w:rsidRPr="00231C30" w:rsidRDefault="00231C30" w:rsidP="00231C30">
            <w:pPr>
              <w:spacing w:after="0"/>
              <w:jc w:val="left"/>
              <w:cnfStyle w:val="000000010000" w:firstRow="0" w:lastRow="0" w:firstColumn="0" w:lastColumn="0" w:oddVBand="0" w:evenVBand="0" w:oddHBand="0" w:evenHBand="1" w:firstRowFirstColumn="0" w:firstRowLastColumn="0" w:lastRowFirstColumn="0" w:lastRowLastColumn="0"/>
              <w:rPr>
                <w:rFonts w:asciiTheme="minorHAnsi" w:hAnsiTheme="minorHAnsi"/>
                <w:szCs w:val="20"/>
                <w:lang w:val="en-US"/>
              </w:rPr>
            </w:pPr>
            <w:r w:rsidRPr="00231C30">
              <w:rPr>
                <w:rFonts w:asciiTheme="minorHAnsi" w:hAnsiTheme="minorHAnsi"/>
                <w:szCs w:val="20"/>
                <w:lang w:val="en-US"/>
              </w:rPr>
              <w:t>Ghana</w:t>
            </w:r>
          </w:p>
        </w:tc>
      </w:tr>
      <w:tr w:rsidR="00231C30" w:rsidRPr="0023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231C30" w:rsidRPr="00231C30" w:rsidRDefault="00231C30" w:rsidP="00231C30">
            <w:pPr>
              <w:spacing w:after="0"/>
              <w:jc w:val="left"/>
              <w:rPr>
                <w:rFonts w:asciiTheme="minorHAnsi" w:hAnsiTheme="minorHAnsi"/>
                <w:szCs w:val="20"/>
              </w:rPr>
            </w:pPr>
            <w:r w:rsidRPr="00231C30">
              <w:rPr>
                <w:rFonts w:asciiTheme="minorHAnsi" w:hAnsiTheme="minorHAnsi"/>
                <w:szCs w:val="20"/>
              </w:rPr>
              <w:t>Sharon Affrifah</w:t>
            </w:r>
          </w:p>
        </w:tc>
        <w:tc>
          <w:tcPr>
            <w:tcW w:w="3969" w:type="dxa"/>
          </w:tcPr>
          <w:p w:rsidR="00231C30" w:rsidRPr="00927CF7" w:rsidRDefault="00231C30" w:rsidP="00231C30">
            <w:pPr>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0"/>
                <w:lang w:val="en-US"/>
              </w:rPr>
            </w:pPr>
            <w:r w:rsidRPr="00231C30">
              <w:rPr>
                <w:rFonts w:asciiTheme="minorHAnsi" w:hAnsiTheme="minorHAnsi"/>
                <w:szCs w:val="20"/>
                <w:lang w:val="en-US"/>
              </w:rPr>
              <w:t xml:space="preserve">Nestle Central &amp; West Africa Ltd. </w:t>
            </w:r>
          </w:p>
        </w:tc>
        <w:tc>
          <w:tcPr>
            <w:tcW w:w="2368" w:type="dxa"/>
          </w:tcPr>
          <w:p w:rsidR="00231C30" w:rsidRPr="00231C30" w:rsidRDefault="00231C30" w:rsidP="00231C30">
            <w:pPr>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0"/>
                <w:lang w:val="en-US"/>
              </w:rPr>
            </w:pPr>
            <w:r w:rsidRPr="00231C30">
              <w:rPr>
                <w:rFonts w:asciiTheme="minorHAnsi" w:hAnsiTheme="minorHAnsi"/>
                <w:szCs w:val="20"/>
                <w:lang w:val="en-US"/>
              </w:rPr>
              <w:t>Ghana</w:t>
            </w:r>
          </w:p>
        </w:tc>
      </w:tr>
      <w:tr w:rsidR="00231C30" w:rsidRPr="00231C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231C30" w:rsidRPr="00231C30" w:rsidRDefault="00231C30" w:rsidP="00231C30">
            <w:pPr>
              <w:spacing w:after="0"/>
              <w:jc w:val="left"/>
              <w:rPr>
                <w:rFonts w:asciiTheme="minorHAnsi" w:hAnsiTheme="minorHAnsi"/>
                <w:szCs w:val="20"/>
              </w:rPr>
            </w:pPr>
            <w:r w:rsidRPr="00231C30">
              <w:rPr>
                <w:rFonts w:asciiTheme="minorHAnsi" w:hAnsiTheme="minorHAnsi"/>
                <w:szCs w:val="20"/>
              </w:rPr>
              <w:t>John Odame Darkwali</w:t>
            </w:r>
          </w:p>
        </w:tc>
        <w:tc>
          <w:tcPr>
            <w:tcW w:w="3969" w:type="dxa"/>
          </w:tcPr>
          <w:p w:rsidR="00231C30" w:rsidRPr="00231C30" w:rsidRDefault="00231C30" w:rsidP="00231C30">
            <w:pPr>
              <w:spacing w:after="0"/>
              <w:jc w:val="left"/>
              <w:cnfStyle w:val="000000010000" w:firstRow="0" w:lastRow="0" w:firstColumn="0" w:lastColumn="0" w:oddVBand="0" w:evenVBand="0" w:oddHBand="0" w:evenHBand="1" w:firstRowFirstColumn="0" w:firstRowLastColumn="0" w:lastRowFirstColumn="0" w:lastRowLastColumn="0"/>
              <w:rPr>
                <w:rFonts w:asciiTheme="minorHAnsi" w:hAnsiTheme="minorHAnsi"/>
                <w:szCs w:val="20"/>
              </w:rPr>
            </w:pPr>
            <w:r w:rsidRPr="00231C30">
              <w:rPr>
                <w:rFonts w:asciiTheme="minorHAnsi" w:hAnsiTheme="minorHAnsi"/>
                <w:szCs w:val="20"/>
              </w:rPr>
              <w:t>Food and Drugs B</w:t>
            </w:r>
          </w:p>
        </w:tc>
        <w:tc>
          <w:tcPr>
            <w:tcW w:w="2368" w:type="dxa"/>
          </w:tcPr>
          <w:p w:rsidR="00231C30" w:rsidRPr="00231C30" w:rsidRDefault="00231C30" w:rsidP="00231C30">
            <w:pPr>
              <w:spacing w:after="0"/>
              <w:jc w:val="left"/>
              <w:cnfStyle w:val="000000010000" w:firstRow="0" w:lastRow="0" w:firstColumn="0" w:lastColumn="0" w:oddVBand="0" w:evenVBand="0" w:oddHBand="0" w:evenHBand="1" w:firstRowFirstColumn="0" w:firstRowLastColumn="0" w:lastRowFirstColumn="0" w:lastRowLastColumn="0"/>
              <w:rPr>
                <w:rFonts w:asciiTheme="minorHAnsi" w:hAnsiTheme="minorHAnsi"/>
                <w:szCs w:val="20"/>
                <w:lang w:val="en-US"/>
              </w:rPr>
            </w:pPr>
            <w:r w:rsidRPr="00231C30">
              <w:rPr>
                <w:rFonts w:asciiTheme="minorHAnsi" w:hAnsiTheme="minorHAnsi"/>
                <w:szCs w:val="20"/>
                <w:lang w:val="en-US"/>
              </w:rPr>
              <w:t>Ghana</w:t>
            </w:r>
          </w:p>
        </w:tc>
      </w:tr>
      <w:tr w:rsidR="00231C30" w:rsidRPr="0023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231C30" w:rsidRPr="00231C30" w:rsidRDefault="00231C30" w:rsidP="00231C30">
            <w:pPr>
              <w:spacing w:after="0"/>
              <w:jc w:val="left"/>
              <w:rPr>
                <w:rFonts w:asciiTheme="minorHAnsi" w:hAnsiTheme="minorHAnsi"/>
                <w:szCs w:val="20"/>
              </w:rPr>
            </w:pPr>
            <w:r w:rsidRPr="00231C30">
              <w:rPr>
                <w:rFonts w:asciiTheme="minorHAnsi" w:hAnsiTheme="minorHAnsi"/>
                <w:szCs w:val="20"/>
              </w:rPr>
              <w:t>J</w:t>
            </w:r>
            <w:r w:rsidRPr="00231C30">
              <w:rPr>
                <w:rFonts w:asciiTheme="minorHAnsi" w:hAnsiTheme="minorHAnsi"/>
                <w:szCs w:val="20"/>
                <w:lang w:val="id-ID"/>
              </w:rPr>
              <w:t>.</w:t>
            </w:r>
            <w:r w:rsidRPr="00231C30">
              <w:rPr>
                <w:rFonts w:asciiTheme="minorHAnsi" w:hAnsiTheme="minorHAnsi"/>
                <w:szCs w:val="20"/>
              </w:rPr>
              <w:t>G</w:t>
            </w:r>
            <w:r w:rsidRPr="00231C30">
              <w:rPr>
                <w:rFonts w:asciiTheme="minorHAnsi" w:hAnsiTheme="minorHAnsi"/>
                <w:szCs w:val="20"/>
                <w:lang w:val="id-ID"/>
              </w:rPr>
              <w:t>.</w:t>
            </w:r>
            <w:r w:rsidRPr="00231C30">
              <w:rPr>
                <w:rFonts w:asciiTheme="minorHAnsi" w:hAnsiTheme="minorHAnsi"/>
                <w:szCs w:val="20"/>
              </w:rPr>
              <w:t>A Amah</w:t>
            </w:r>
          </w:p>
        </w:tc>
        <w:tc>
          <w:tcPr>
            <w:tcW w:w="3969" w:type="dxa"/>
          </w:tcPr>
          <w:p w:rsidR="00231C30" w:rsidRPr="00231C30" w:rsidRDefault="00231C30" w:rsidP="00231C30">
            <w:pPr>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231C30">
              <w:rPr>
                <w:rFonts w:asciiTheme="minorHAnsi" w:hAnsiTheme="minorHAnsi"/>
                <w:szCs w:val="20"/>
              </w:rPr>
              <w:t xml:space="preserve">GHS – Retired </w:t>
            </w:r>
          </w:p>
        </w:tc>
        <w:tc>
          <w:tcPr>
            <w:tcW w:w="2368" w:type="dxa"/>
          </w:tcPr>
          <w:p w:rsidR="00231C30" w:rsidRPr="00231C30" w:rsidRDefault="00231C30" w:rsidP="00231C30">
            <w:pPr>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0"/>
                <w:lang w:val="en-US"/>
              </w:rPr>
            </w:pPr>
            <w:r w:rsidRPr="00231C30">
              <w:rPr>
                <w:rFonts w:asciiTheme="minorHAnsi" w:hAnsiTheme="minorHAnsi"/>
                <w:szCs w:val="20"/>
                <w:lang w:val="en-US"/>
              </w:rPr>
              <w:t>Ghana</w:t>
            </w:r>
          </w:p>
        </w:tc>
      </w:tr>
      <w:tr w:rsidR="00231C30" w:rsidRPr="00231C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231C30" w:rsidRPr="00231C30" w:rsidRDefault="00231C30" w:rsidP="00231C30">
            <w:pPr>
              <w:spacing w:after="0"/>
              <w:jc w:val="left"/>
              <w:rPr>
                <w:rFonts w:asciiTheme="minorHAnsi" w:hAnsiTheme="minorHAnsi"/>
                <w:szCs w:val="20"/>
              </w:rPr>
            </w:pPr>
            <w:r w:rsidRPr="00231C30">
              <w:rPr>
                <w:rFonts w:asciiTheme="minorHAnsi" w:hAnsiTheme="minorHAnsi"/>
                <w:szCs w:val="20"/>
              </w:rPr>
              <w:t>Dr. F. Kunadu – Ampratwam</w:t>
            </w:r>
          </w:p>
        </w:tc>
        <w:tc>
          <w:tcPr>
            <w:tcW w:w="3969" w:type="dxa"/>
          </w:tcPr>
          <w:p w:rsidR="00231C30" w:rsidRPr="00231C30" w:rsidRDefault="00231C30" w:rsidP="00231C30">
            <w:pPr>
              <w:spacing w:after="0"/>
              <w:jc w:val="left"/>
              <w:cnfStyle w:val="000000010000" w:firstRow="0" w:lastRow="0" w:firstColumn="0" w:lastColumn="0" w:oddVBand="0" w:evenVBand="0" w:oddHBand="0" w:evenHBand="1" w:firstRowFirstColumn="0" w:firstRowLastColumn="0" w:lastRowFirstColumn="0" w:lastRowLastColumn="0"/>
              <w:rPr>
                <w:rFonts w:asciiTheme="minorHAnsi" w:hAnsiTheme="minorHAnsi"/>
                <w:szCs w:val="20"/>
              </w:rPr>
            </w:pPr>
            <w:r w:rsidRPr="00231C30">
              <w:rPr>
                <w:rFonts w:asciiTheme="minorHAnsi" w:hAnsiTheme="minorHAnsi"/>
                <w:szCs w:val="20"/>
              </w:rPr>
              <w:t>USD/MOFA</w:t>
            </w:r>
          </w:p>
        </w:tc>
        <w:tc>
          <w:tcPr>
            <w:tcW w:w="2368" w:type="dxa"/>
          </w:tcPr>
          <w:p w:rsidR="00231C30" w:rsidRPr="00231C30" w:rsidRDefault="00231C30" w:rsidP="00231C30">
            <w:pPr>
              <w:spacing w:after="0"/>
              <w:jc w:val="left"/>
              <w:cnfStyle w:val="000000010000" w:firstRow="0" w:lastRow="0" w:firstColumn="0" w:lastColumn="0" w:oddVBand="0" w:evenVBand="0" w:oddHBand="0" w:evenHBand="1" w:firstRowFirstColumn="0" w:firstRowLastColumn="0" w:lastRowFirstColumn="0" w:lastRowLastColumn="0"/>
              <w:rPr>
                <w:rFonts w:asciiTheme="minorHAnsi" w:hAnsiTheme="minorHAnsi"/>
                <w:szCs w:val="20"/>
                <w:lang w:val="en-US"/>
              </w:rPr>
            </w:pPr>
            <w:r w:rsidRPr="00231C30">
              <w:rPr>
                <w:rFonts w:asciiTheme="minorHAnsi" w:hAnsiTheme="minorHAnsi"/>
                <w:szCs w:val="20"/>
                <w:lang w:val="en-US"/>
              </w:rPr>
              <w:t>Ghana</w:t>
            </w:r>
          </w:p>
        </w:tc>
      </w:tr>
      <w:tr w:rsidR="00231C30" w:rsidRPr="0023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231C30" w:rsidRPr="00231C30" w:rsidRDefault="00231C30" w:rsidP="00231C30">
            <w:pPr>
              <w:spacing w:after="0"/>
              <w:jc w:val="left"/>
              <w:rPr>
                <w:rFonts w:asciiTheme="minorHAnsi" w:hAnsiTheme="minorHAnsi"/>
                <w:szCs w:val="20"/>
              </w:rPr>
            </w:pPr>
            <w:r w:rsidRPr="00231C30">
              <w:rPr>
                <w:rFonts w:asciiTheme="minorHAnsi" w:hAnsiTheme="minorHAnsi"/>
                <w:szCs w:val="20"/>
              </w:rPr>
              <w:t>Rosetta Annan</w:t>
            </w:r>
          </w:p>
        </w:tc>
        <w:tc>
          <w:tcPr>
            <w:tcW w:w="3969" w:type="dxa"/>
          </w:tcPr>
          <w:p w:rsidR="00231C30" w:rsidRPr="00231C30" w:rsidRDefault="00231C30" w:rsidP="00231C30">
            <w:pPr>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0"/>
                <w:lang w:val="en-US"/>
              </w:rPr>
            </w:pPr>
            <w:r w:rsidRPr="00231C30">
              <w:rPr>
                <w:rFonts w:asciiTheme="minorHAnsi" w:hAnsiTheme="minorHAnsi"/>
                <w:szCs w:val="20"/>
                <w:lang w:val="en-US"/>
              </w:rPr>
              <w:t>Rtd. Chair C/o MOFA</w:t>
            </w:r>
          </w:p>
        </w:tc>
        <w:tc>
          <w:tcPr>
            <w:tcW w:w="2368" w:type="dxa"/>
          </w:tcPr>
          <w:p w:rsidR="00231C30" w:rsidRPr="00231C30" w:rsidRDefault="00231C30" w:rsidP="00231C30">
            <w:pPr>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0"/>
                <w:lang w:val="en-US"/>
              </w:rPr>
            </w:pPr>
            <w:r w:rsidRPr="00231C30">
              <w:rPr>
                <w:rFonts w:asciiTheme="minorHAnsi" w:hAnsiTheme="minorHAnsi"/>
                <w:szCs w:val="20"/>
                <w:lang w:val="en-US"/>
              </w:rPr>
              <w:t>Ghana</w:t>
            </w:r>
          </w:p>
        </w:tc>
      </w:tr>
      <w:tr w:rsidR="00231C30" w:rsidRPr="00231C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231C30" w:rsidRPr="00231C30" w:rsidRDefault="00231C30" w:rsidP="00231C30">
            <w:pPr>
              <w:spacing w:after="0"/>
              <w:jc w:val="left"/>
              <w:rPr>
                <w:rFonts w:asciiTheme="minorHAnsi" w:hAnsiTheme="minorHAnsi"/>
                <w:szCs w:val="20"/>
                <w:lang w:val="it-IT"/>
              </w:rPr>
            </w:pPr>
            <w:r w:rsidRPr="00231C30">
              <w:rPr>
                <w:rFonts w:asciiTheme="minorHAnsi" w:hAnsiTheme="minorHAnsi"/>
                <w:szCs w:val="20"/>
                <w:lang w:val="it-IT"/>
              </w:rPr>
              <w:t>Danie; Degbotse</w:t>
            </w:r>
          </w:p>
        </w:tc>
        <w:tc>
          <w:tcPr>
            <w:tcW w:w="3969" w:type="dxa"/>
          </w:tcPr>
          <w:p w:rsidR="00231C30" w:rsidRPr="00231C30" w:rsidRDefault="00231C30" w:rsidP="00231C30">
            <w:pPr>
              <w:spacing w:after="0"/>
              <w:jc w:val="left"/>
              <w:cnfStyle w:val="000000010000" w:firstRow="0" w:lastRow="0" w:firstColumn="0" w:lastColumn="0" w:oddVBand="0" w:evenVBand="0" w:oddHBand="0" w:evenHBand="1" w:firstRowFirstColumn="0" w:firstRowLastColumn="0" w:lastRowFirstColumn="0" w:lastRowLastColumn="0"/>
              <w:rPr>
                <w:rFonts w:asciiTheme="minorHAnsi" w:hAnsiTheme="minorHAnsi"/>
                <w:szCs w:val="20"/>
                <w:lang w:val="it-IT"/>
              </w:rPr>
            </w:pPr>
            <w:r w:rsidRPr="00231C30">
              <w:rPr>
                <w:rFonts w:asciiTheme="minorHAnsi" w:hAnsiTheme="minorHAnsi"/>
                <w:szCs w:val="20"/>
                <w:lang w:val="it-IT"/>
              </w:rPr>
              <w:t>M.O.H</w:t>
            </w:r>
          </w:p>
        </w:tc>
        <w:tc>
          <w:tcPr>
            <w:tcW w:w="2368" w:type="dxa"/>
          </w:tcPr>
          <w:p w:rsidR="00231C30" w:rsidRPr="00231C30" w:rsidRDefault="00231C30" w:rsidP="00231C30">
            <w:pPr>
              <w:spacing w:after="0"/>
              <w:jc w:val="left"/>
              <w:cnfStyle w:val="000000010000" w:firstRow="0" w:lastRow="0" w:firstColumn="0" w:lastColumn="0" w:oddVBand="0" w:evenVBand="0" w:oddHBand="0" w:evenHBand="1" w:firstRowFirstColumn="0" w:firstRowLastColumn="0" w:lastRowFirstColumn="0" w:lastRowLastColumn="0"/>
              <w:rPr>
                <w:rFonts w:asciiTheme="minorHAnsi" w:hAnsiTheme="minorHAnsi"/>
                <w:szCs w:val="20"/>
                <w:lang w:val="en-US"/>
              </w:rPr>
            </w:pPr>
            <w:r w:rsidRPr="00231C30">
              <w:rPr>
                <w:rFonts w:asciiTheme="minorHAnsi" w:hAnsiTheme="minorHAnsi"/>
                <w:szCs w:val="20"/>
                <w:lang w:val="en-US"/>
              </w:rPr>
              <w:t>Ghana</w:t>
            </w:r>
          </w:p>
        </w:tc>
      </w:tr>
      <w:tr w:rsidR="00231C30" w:rsidRPr="0023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231C30" w:rsidRPr="00231C30" w:rsidRDefault="00231C30" w:rsidP="00231C30">
            <w:pPr>
              <w:spacing w:after="0"/>
              <w:jc w:val="left"/>
              <w:rPr>
                <w:rFonts w:asciiTheme="minorHAnsi" w:hAnsiTheme="minorHAnsi"/>
                <w:szCs w:val="20"/>
                <w:lang w:val="it-IT"/>
              </w:rPr>
            </w:pPr>
            <w:r w:rsidRPr="00231C30">
              <w:rPr>
                <w:rFonts w:asciiTheme="minorHAnsi" w:hAnsiTheme="minorHAnsi"/>
                <w:szCs w:val="20"/>
                <w:lang w:val="it-IT"/>
              </w:rPr>
              <w:t>Robert A.K. Nketia</w:t>
            </w:r>
          </w:p>
        </w:tc>
        <w:tc>
          <w:tcPr>
            <w:tcW w:w="3969" w:type="dxa"/>
          </w:tcPr>
          <w:p w:rsidR="00231C30" w:rsidRPr="00231C30" w:rsidRDefault="00231C30" w:rsidP="00231C30">
            <w:pPr>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0"/>
                <w:lang w:val="it-IT"/>
              </w:rPr>
            </w:pPr>
            <w:r w:rsidRPr="00231C30">
              <w:rPr>
                <w:rFonts w:asciiTheme="minorHAnsi" w:hAnsiTheme="minorHAnsi"/>
                <w:szCs w:val="20"/>
                <w:lang w:val="it-IT"/>
              </w:rPr>
              <w:t>Association of Ghana Industries</w:t>
            </w:r>
          </w:p>
        </w:tc>
        <w:tc>
          <w:tcPr>
            <w:tcW w:w="2368" w:type="dxa"/>
          </w:tcPr>
          <w:p w:rsidR="00231C30" w:rsidRPr="00231C30" w:rsidRDefault="00231C30" w:rsidP="00231C30">
            <w:pPr>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0"/>
                <w:lang w:val="en-US"/>
              </w:rPr>
            </w:pPr>
            <w:r w:rsidRPr="00231C30">
              <w:rPr>
                <w:rFonts w:asciiTheme="minorHAnsi" w:hAnsiTheme="minorHAnsi"/>
                <w:szCs w:val="20"/>
                <w:lang w:val="en-US"/>
              </w:rPr>
              <w:t>Ghana</w:t>
            </w:r>
          </w:p>
        </w:tc>
      </w:tr>
      <w:tr w:rsidR="00231C30" w:rsidRPr="00231C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231C30" w:rsidRPr="00231C30" w:rsidRDefault="00231C30" w:rsidP="00231C30">
            <w:pPr>
              <w:spacing w:after="0"/>
              <w:jc w:val="left"/>
              <w:rPr>
                <w:rFonts w:asciiTheme="minorHAnsi" w:hAnsiTheme="minorHAnsi"/>
                <w:szCs w:val="20"/>
                <w:lang w:val="it-IT"/>
              </w:rPr>
            </w:pPr>
            <w:r w:rsidRPr="00231C30">
              <w:rPr>
                <w:rFonts w:asciiTheme="minorHAnsi" w:hAnsiTheme="minorHAnsi"/>
                <w:szCs w:val="20"/>
                <w:lang w:val="it-IT"/>
              </w:rPr>
              <w:t xml:space="preserve">Dr. PNT Johnson </w:t>
            </w:r>
          </w:p>
        </w:tc>
        <w:tc>
          <w:tcPr>
            <w:tcW w:w="3969" w:type="dxa"/>
          </w:tcPr>
          <w:p w:rsidR="00231C30" w:rsidRPr="00231C30" w:rsidRDefault="00231C30" w:rsidP="00231C30">
            <w:pPr>
              <w:spacing w:after="0"/>
              <w:jc w:val="left"/>
              <w:cnfStyle w:val="000000010000" w:firstRow="0" w:lastRow="0" w:firstColumn="0" w:lastColumn="0" w:oddVBand="0" w:evenVBand="0" w:oddHBand="0" w:evenHBand="1" w:firstRowFirstColumn="0" w:firstRowLastColumn="0" w:lastRowFirstColumn="0" w:lastRowLastColumn="0"/>
              <w:rPr>
                <w:rFonts w:asciiTheme="minorHAnsi" w:hAnsiTheme="minorHAnsi"/>
                <w:szCs w:val="20"/>
                <w:lang w:val="en-US"/>
              </w:rPr>
            </w:pPr>
            <w:r w:rsidRPr="00231C30">
              <w:rPr>
                <w:rFonts w:asciiTheme="minorHAnsi" w:hAnsiTheme="minorHAnsi"/>
                <w:szCs w:val="20"/>
                <w:lang w:val="en-US"/>
              </w:rPr>
              <w:t>Food Research  Ent. (CSIR)</w:t>
            </w:r>
          </w:p>
        </w:tc>
        <w:tc>
          <w:tcPr>
            <w:tcW w:w="2368" w:type="dxa"/>
          </w:tcPr>
          <w:p w:rsidR="00231C30" w:rsidRPr="00231C30" w:rsidRDefault="00231C30" w:rsidP="00231C30">
            <w:pPr>
              <w:spacing w:after="0"/>
              <w:jc w:val="left"/>
              <w:cnfStyle w:val="000000010000" w:firstRow="0" w:lastRow="0" w:firstColumn="0" w:lastColumn="0" w:oddVBand="0" w:evenVBand="0" w:oddHBand="0" w:evenHBand="1" w:firstRowFirstColumn="0" w:firstRowLastColumn="0" w:lastRowFirstColumn="0" w:lastRowLastColumn="0"/>
              <w:rPr>
                <w:rFonts w:asciiTheme="minorHAnsi" w:hAnsiTheme="minorHAnsi"/>
                <w:szCs w:val="20"/>
                <w:lang w:val="en-US"/>
              </w:rPr>
            </w:pPr>
            <w:r w:rsidRPr="00231C30">
              <w:rPr>
                <w:rFonts w:asciiTheme="minorHAnsi" w:hAnsiTheme="minorHAnsi"/>
                <w:szCs w:val="20"/>
                <w:lang w:val="en-US"/>
              </w:rPr>
              <w:t>Ghana</w:t>
            </w:r>
          </w:p>
        </w:tc>
      </w:tr>
      <w:tr w:rsidR="00231C30" w:rsidRPr="0023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231C30" w:rsidRPr="00231C30" w:rsidRDefault="00231C30" w:rsidP="00231C30">
            <w:pPr>
              <w:spacing w:after="0"/>
              <w:jc w:val="left"/>
              <w:rPr>
                <w:rFonts w:asciiTheme="minorHAnsi" w:hAnsiTheme="minorHAnsi"/>
                <w:szCs w:val="20"/>
                <w:lang w:val="it-IT"/>
              </w:rPr>
            </w:pPr>
            <w:r w:rsidRPr="00231C30">
              <w:rPr>
                <w:rFonts w:asciiTheme="minorHAnsi" w:hAnsiTheme="minorHAnsi"/>
                <w:szCs w:val="20"/>
                <w:lang w:val="it-IT"/>
              </w:rPr>
              <w:t>Fr. F.D Tay</w:t>
            </w:r>
          </w:p>
        </w:tc>
        <w:tc>
          <w:tcPr>
            <w:tcW w:w="3969" w:type="dxa"/>
          </w:tcPr>
          <w:p w:rsidR="00231C30" w:rsidRPr="00231C30" w:rsidRDefault="00231C30" w:rsidP="00231C30">
            <w:pPr>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0"/>
                <w:lang w:val="en-US"/>
              </w:rPr>
            </w:pPr>
            <w:r w:rsidRPr="00231C30">
              <w:rPr>
                <w:rFonts w:asciiTheme="minorHAnsi" w:hAnsiTheme="minorHAnsi"/>
                <w:szCs w:val="20"/>
                <w:lang w:val="en-US"/>
              </w:rPr>
              <w:t>Consumers Association of Ghana</w:t>
            </w:r>
          </w:p>
        </w:tc>
        <w:tc>
          <w:tcPr>
            <w:tcW w:w="2368" w:type="dxa"/>
          </w:tcPr>
          <w:p w:rsidR="00231C30" w:rsidRPr="00231C30" w:rsidRDefault="00231C30" w:rsidP="00231C30">
            <w:pPr>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0"/>
                <w:lang w:val="en-US"/>
              </w:rPr>
            </w:pPr>
            <w:r w:rsidRPr="00231C30">
              <w:rPr>
                <w:rFonts w:asciiTheme="minorHAnsi" w:hAnsiTheme="minorHAnsi"/>
                <w:szCs w:val="20"/>
                <w:lang w:val="en-US"/>
              </w:rPr>
              <w:t>Ghana</w:t>
            </w:r>
          </w:p>
        </w:tc>
      </w:tr>
      <w:tr w:rsidR="00231C30" w:rsidRPr="00231C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231C30" w:rsidRPr="00231C30" w:rsidRDefault="00231C30" w:rsidP="00231C30">
            <w:pPr>
              <w:spacing w:after="0"/>
              <w:jc w:val="left"/>
              <w:rPr>
                <w:rFonts w:asciiTheme="minorHAnsi" w:hAnsiTheme="minorHAnsi"/>
                <w:szCs w:val="20"/>
                <w:lang w:val="id-ID"/>
              </w:rPr>
            </w:pPr>
            <w:r w:rsidRPr="00231C30">
              <w:rPr>
                <w:rFonts w:asciiTheme="minorHAnsi" w:hAnsiTheme="minorHAnsi"/>
                <w:szCs w:val="20"/>
                <w:lang w:val="id-ID"/>
              </w:rPr>
              <w:t>Dr.Daniel Kertesz</w:t>
            </w:r>
          </w:p>
        </w:tc>
        <w:tc>
          <w:tcPr>
            <w:tcW w:w="3969" w:type="dxa"/>
          </w:tcPr>
          <w:p w:rsidR="00231C30" w:rsidRPr="00231C30" w:rsidRDefault="00231C30" w:rsidP="00231C30">
            <w:pPr>
              <w:spacing w:after="0"/>
              <w:jc w:val="left"/>
              <w:cnfStyle w:val="000000010000" w:firstRow="0" w:lastRow="0" w:firstColumn="0" w:lastColumn="0" w:oddVBand="0" w:evenVBand="0" w:oddHBand="0" w:evenHBand="1" w:firstRowFirstColumn="0" w:firstRowLastColumn="0" w:lastRowFirstColumn="0" w:lastRowLastColumn="0"/>
              <w:rPr>
                <w:rFonts w:asciiTheme="minorHAnsi" w:hAnsiTheme="minorHAnsi"/>
                <w:szCs w:val="20"/>
                <w:lang w:val="id-ID"/>
              </w:rPr>
            </w:pPr>
            <w:r w:rsidRPr="00231C30">
              <w:rPr>
                <w:rFonts w:asciiTheme="minorHAnsi" w:hAnsiTheme="minorHAnsi"/>
                <w:szCs w:val="20"/>
                <w:lang w:val="id-ID"/>
              </w:rPr>
              <w:t xml:space="preserve">WHO Representative </w:t>
            </w:r>
          </w:p>
          <w:p w:rsidR="00231C30" w:rsidRPr="00231C30" w:rsidRDefault="00231C30" w:rsidP="00231C30">
            <w:pPr>
              <w:spacing w:after="0"/>
              <w:jc w:val="left"/>
              <w:cnfStyle w:val="000000010000" w:firstRow="0" w:lastRow="0" w:firstColumn="0" w:lastColumn="0" w:oddVBand="0" w:evenVBand="0" w:oddHBand="0" w:evenHBand="1" w:firstRowFirstColumn="0" w:firstRowLastColumn="0" w:lastRowFirstColumn="0" w:lastRowLastColumn="0"/>
              <w:rPr>
                <w:rFonts w:asciiTheme="minorHAnsi" w:hAnsiTheme="minorHAnsi"/>
                <w:szCs w:val="20"/>
                <w:lang w:val="id-ID"/>
              </w:rPr>
            </w:pPr>
            <w:r w:rsidRPr="00231C30">
              <w:rPr>
                <w:rFonts w:asciiTheme="minorHAnsi" w:hAnsiTheme="minorHAnsi"/>
                <w:szCs w:val="20"/>
                <w:lang w:val="id-ID"/>
              </w:rPr>
              <w:t>Ghana</w:t>
            </w:r>
          </w:p>
        </w:tc>
        <w:tc>
          <w:tcPr>
            <w:tcW w:w="2368" w:type="dxa"/>
          </w:tcPr>
          <w:p w:rsidR="00231C30" w:rsidRPr="00231C30" w:rsidRDefault="00231C30" w:rsidP="00231C30">
            <w:pPr>
              <w:spacing w:after="0"/>
              <w:jc w:val="left"/>
              <w:cnfStyle w:val="000000010000" w:firstRow="0" w:lastRow="0" w:firstColumn="0" w:lastColumn="0" w:oddVBand="0" w:evenVBand="0" w:oddHBand="0" w:evenHBand="1" w:firstRowFirstColumn="0" w:firstRowLastColumn="0" w:lastRowFirstColumn="0" w:lastRowLastColumn="0"/>
              <w:rPr>
                <w:rFonts w:asciiTheme="minorHAnsi" w:hAnsiTheme="minorHAnsi"/>
                <w:szCs w:val="20"/>
                <w:lang w:val="en-US"/>
              </w:rPr>
            </w:pPr>
            <w:r w:rsidRPr="00231C30">
              <w:rPr>
                <w:rFonts w:asciiTheme="minorHAnsi" w:hAnsiTheme="minorHAnsi"/>
                <w:szCs w:val="20"/>
                <w:lang w:val="en-US"/>
              </w:rPr>
              <w:t>Ghana</w:t>
            </w:r>
          </w:p>
        </w:tc>
      </w:tr>
      <w:tr w:rsidR="00231C30" w:rsidRPr="0023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231C30" w:rsidRPr="00231C30" w:rsidRDefault="00231C30" w:rsidP="00231C30">
            <w:pPr>
              <w:spacing w:after="0"/>
              <w:jc w:val="left"/>
              <w:rPr>
                <w:rFonts w:asciiTheme="minorHAnsi" w:hAnsiTheme="minorHAnsi"/>
                <w:szCs w:val="20"/>
                <w:lang w:val="id-ID"/>
              </w:rPr>
            </w:pPr>
            <w:r w:rsidRPr="00231C30">
              <w:rPr>
                <w:rFonts w:asciiTheme="minorHAnsi" w:hAnsiTheme="minorHAnsi"/>
                <w:szCs w:val="20"/>
                <w:lang w:val="id-ID"/>
              </w:rPr>
              <w:t>Mrs Akosua Kwakye</w:t>
            </w:r>
          </w:p>
        </w:tc>
        <w:tc>
          <w:tcPr>
            <w:tcW w:w="3969" w:type="dxa"/>
          </w:tcPr>
          <w:p w:rsidR="00231C30" w:rsidRPr="00231C30" w:rsidRDefault="00231C30" w:rsidP="00231C30">
            <w:pPr>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0"/>
                <w:lang w:val="id-ID"/>
              </w:rPr>
            </w:pPr>
            <w:r w:rsidRPr="00231C30">
              <w:rPr>
                <w:rFonts w:asciiTheme="minorHAnsi" w:hAnsiTheme="minorHAnsi"/>
                <w:szCs w:val="20"/>
                <w:lang w:val="id-ID"/>
              </w:rPr>
              <w:t>WHO Ghana</w:t>
            </w:r>
          </w:p>
        </w:tc>
        <w:tc>
          <w:tcPr>
            <w:tcW w:w="2368" w:type="dxa"/>
          </w:tcPr>
          <w:p w:rsidR="00231C30" w:rsidRPr="00231C30" w:rsidRDefault="00231C30" w:rsidP="00231C30">
            <w:pPr>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0"/>
                <w:lang w:val="en-US"/>
              </w:rPr>
            </w:pPr>
            <w:r w:rsidRPr="00231C30">
              <w:rPr>
                <w:rFonts w:asciiTheme="minorHAnsi" w:hAnsiTheme="minorHAnsi"/>
                <w:szCs w:val="20"/>
                <w:lang w:val="en-US"/>
              </w:rPr>
              <w:t>Ghana</w:t>
            </w:r>
          </w:p>
        </w:tc>
      </w:tr>
      <w:tr w:rsidR="00231C30" w:rsidRPr="00231C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231C30" w:rsidRPr="00231C30" w:rsidRDefault="00231C30" w:rsidP="00231C30">
            <w:pPr>
              <w:spacing w:after="0"/>
              <w:jc w:val="left"/>
              <w:rPr>
                <w:rFonts w:asciiTheme="minorHAnsi" w:hAnsiTheme="minorHAnsi"/>
                <w:szCs w:val="20"/>
              </w:rPr>
            </w:pPr>
            <w:r w:rsidRPr="00231C30">
              <w:rPr>
                <w:rFonts w:asciiTheme="minorHAnsi" w:hAnsiTheme="minorHAnsi"/>
                <w:szCs w:val="20"/>
              </w:rPr>
              <w:t>Erniningsin Haryadi</w:t>
            </w:r>
          </w:p>
          <w:p w:rsidR="00231C30" w:rsidRPr="00231C30" w:rsidRDefault="00231C30" w:rsidP="00231C30">
            <w:pPr>
              <w:spacing w:after="0"/>
              <w:jc w:val="left"/>
              <w:rPr>
                <w:rFonts w:asciiTheme="minorHAnsi" w:hAnsiTheme="minorHAnsi"/>
                <w:szCs w:val="20"/>
              </w:rPr>
            </w:pPr>
            <w:r w:rsidRPr="00231C30">
              <w:rPr>
                <w:rFonts w:asciiTheme="minorHAnsi" w:hAnsiTheme="minorHAnsi"/>
                <w:szCs w:val="20"/>
              </w:rPr>
              <w:t xml:space="preserve">Kukuh S. Achamad (Mr) </w:t>
            </w:r>
          </w:p>
          <w:p w:rsidR="00231C30" w:rsidRPr="00231C30" w:rsidRDefault="00231C30" w:rsidP="00231C30">
            <w:pPr>
              <w:spacing w:after="0"/>
              <w:jc w:val="left"/>
              <w:rPr>
                <w:rFonts w:asciiTheme="minorHAnsi" w:hAnsiTheme="minorHAnsi"/>
                <w:szCs w:val="20"/>
              </w:rPr>
            </w:pPr>
            <w:r w:rsidRPr="00231C30">
              <w:rPr>
                <w:rFonts w:asciiTheme="minorHAnsi" w:hAnsiTheme="minorHAnsi"/>
                <w:szCs w:val="20"/>
              </w:rPr>
              <w:t>Amir Partowiyatmo</w:t>
            </w:r>
          </w:p>
          <w:p w:rsidR="00231C30" w:rsidRPr="00231C30" w:rsidRDefault="00231C30" w:rsidP="00231C30">
            <w:pPr>
              <w:spacing w:after="0"/>
              <w:jc w:val="left"/>
              <w:rPr>
                <w:rFonts w:asciiTheme="minorHAnsi" w:hAnsiTheme="minorHAnsi"/>
                <w:szCs w:val="20"/>
                <w:lang w:val="it-IT"/>
              </w:rPr>
            </w:pPr>
            <w:r w:rsidRPr="00231C30">
              <w:rPr>
                <w:rFonts w:asciiTheme="minorHAnsi" w:hAnsiTheme="minorHAnsi"/>
                <w:szCs w:val="20"/>
                <w:lang w:val="it-IT"/>
              </w:rPr>
              <w:t>Singgih Harjanto</w:t>
            </w:r>
          </w:p>
          <w:p w:rsidR="00231C30" w:rsidRPr="00231C30" w:rsidRDefault="00231C30" w:rsidP="00231C30">
            <w:pPr>
              <w:spacing w:after="0"/>
              <w:jc w:val="left"/>
              <w:rPr>
                <w:rFonts w:asciiTheme="minorHAnsi" w:hAnsiTheme="minorHAnsi"/>
                <w:szCs w:val="20"/>
              </w:rPr>
            </w:pPr>
            <w:r w:rsidRPr="00231C30">
              <w:rPr>
                <w:rFonts w:asciiTheme="minorHAnsi" w:hAnsiTheme="minorHAnsi"/>
                <w:szCs w:val="20"/>
              </w:rPr>
              <w:t>Enninirysil</w:t>
            </w:r>
          </w:p>
        </w:tc>
        <w:tc>
          <w:tcPr>
            <w:tcW w:w="3969" w:type="dxa"/>
          </w:tcPr>
          <w:p w:rsidR="00231C30" w:rsidRPr="00231C30" w:rsidRDefault="00231C30" w:rsidP="00231C30">
            <w:pPr>
              <w:spacing w:after="0"/>
              <w:jc w:val="left"/>
              <w:cnfStyle w:val="000000010000" w:firstRow="0" w:lastRow="0" w:firstColumn="0" w:lastColumn="0" w:oddVBand="0" w:evenVBand="0" w:oddHBand="0" w:evenHBand="1" w:firstRowFirstColumn="0" w:firstRowLastColumn="0" w:lastRowFirstColumn="0" w:lastRowLastColumn="0"/>
              <w:rPr>
                <w:rFonts w:asciiTheme="minorHAnsi" w:hAnsiTheme="minorHAnsi"/>
                <w:szCs w:val="20"/>
                <w:lang w:val="en-US"/>
              </w:rPr>
            </w:pPr>
            <w:r w:rsidRPr="00231C30">
              <w:rPr>
                <w:rFonts w:asciiTheme="minorHAnsi" w:hAnsiTheme="minorHAnsi"/>
                <w:szCs w:val="20"/>
                <w:lang w:val="en-US"/>
              </w:rPr>
              <w:t>National Standardization Agency of Indonesia</w:t>
            </w:r>
          </w:p>
        </w:tc>
        <w:tc>
          <w:tcPr>
            <w:tcW w:w="2368" w:type="dxa"/>
          </w:tcPr>
          <w:p w:rsidR="00231C30" w:rsidRPr="00231C30" w:rsidRDefault="00231C30" w:rsidP="00231C30">
            <w:pPr>
              <w:spacing w:after="0"/>
              <w:jc w:val="left"/>
              <w:cnfStyle w:val="000000010000" w:firstRow="0" w:lastRow="0" w:firstColumn="0" w:lastColumn="0" w:oddVBand="0" w:evenVBand="0" w:oddHBand="0" w:evenHBand="1" w:firstRowFirstColumn="0" w:firstRowLastColumn="0" w:lastRowFirstColumn="0" w:lastRowLastColumn="0"/>
              <w:rPr>
                <w:rFonts w:asciiTheme="minorHAnsi" w:hAnsiTheme="minorHAnsi"/>
                <w:szCs w:val="20"/>
              </w:rPr>
            </w:pPr>
            <w:r w:rsidRPr="00231C30">
              <w:rPr>
                <w:rFonts w:asciiTheme="minorHAnsi" w:hAnsiTheme="minorHAnsi"/>
                <w:szCs w:val="20"/>
              </w:rPr>
              <w:t>Indonesia</w:t>
            </w:r>
          </w:p>
        </w:tc>
      </w:tr>
      <w:tr w:rsidR="00231C30" w:rsidRPr="0023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231C30" w:rsidRPr="00231C30" w:rsidRDefault="00231C30" w:rsidP="00231C30">
            <w:pPr>
              <w:spacing w:after="0"/>
              <w:jc w:val="left"/>
              <w:rPr>
                <w:rFonts w:asciiTheme="minorHAnsi" w:hAnsiTheme="minorHAnsi"/>
                <w:szCs w:val="20"/>
              </w:rPr>
            </w:pPr>
            <w:r w:rsidRPr="00231C30">
              <w:rPr>
                <w:rFonts w:asciiTheme="minorHAnsi" w:hAnsiTheme="minorHAnsi"/>
                <w:szCs w:val="20"/>
              </w:rPr>
              <w:t>Sri Sulashi</w:t>
            </w:r>
          </w:p>
        </w:tc>
        <w:tc>
          <w:tcPr>
            <w:tcW w:w="3969" w:type="dxa"/>
          </w:tcPr>
          <w:p w:rsidR="00231C30" w:rsidRPr="00231C30" w:rsidRDefault="00231C30" w:rsidP="00231C30">
            <w:pPr>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231C30">
              <w:rPr>
                <w:rFonts w:asciiTheme="minorHAnsi" w:hAnsiTheme="minorHAnsi"/>
                <w:szCs w:val="20"/>
              </w:rPr>
              <w:t xml:space="preserve">Ministry of Agriculture </w:t>
            </w:r>
          </w:p>
        </w:tc>
        <w:tc>
          <w:tcPr>
            <w:tcW w:w="2368" w:type="dxa"/>
          </w:tcPr>
          <w:p w:rsidR="00231C30" w:rsidRPr="00231C30" w:rsidRDefault="00231C30" w:rsidP="00231C30">
            <w:pPr>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231C30">
              <w:rPr>
                <w:rFonts w:asciiTheme="minorHAnsi" w:hAnsiTheme="minorHAnsi"/>
                <w:szCs w:val="20"/>
              </w:rPr>
              <w:t>Indonesia</w:t>
            </w:r>
          </w:p>
        </w:tc>
      </w:tr>
      <w:tr w:rsidR="00231C30" w:rsidRPr="00231C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231C30" w:rsidRPr="00231C30" w:rsidRDefault="00231C30" w:rsidP="00231C30">
            <w:pPr>
              <w:spacing w:after="0"/>
              <w:jc w:val="left"/>
              <w:rPr>
                <w:rFonts w:asciiTheme="minorHAnsi" w:hAnsiTheme="minorHAnsi"/>
                <w:szCs w:val="20"/>
              </w:rPr>
            </w:pPr>
            <w:r w:rsidRPr="00231C30">
              <w:rPr>
                <w:rFonts w:asciiTheme="minorHAnsi" w:hAnsiTheme="minorHAnsi"/>
                <w:szCs w:val="20"/>
              </w:rPr>
              <w:t>Tetty H. Sihombing</w:t>
            </w:r>
          </w:p>
        </w:tc>
        <w:tc>
          <w:tcPr>
            <w:tcW w:w="3969" w:type="dxa"/>
          </w:tcPr>
          <w:p w:rsidR="00231C30" w:rsidRPr="00231C30" w:rsidRDefault="00231C30" w:rsidP="00231C30">
            <w:pPr>
              <w:spacing w:after="0"/>
              <w:jc w:val="left"/>
              <w:cnfStyle w:val="000000010000" w:firstRow="0" w:lastRow="0" w:firstColumn="0" w:lastColumn="0" w:oddVBand="0" w:evenVBand="0" w:oddHBand="0" w:evenHBand="1" w:firstRowFirstColumn="0" w:firstRowLastColumn="0" w:lastRowFirstColumn="0" w:lastRowLastColumn="0"/>
              <w:rPr>
                <w:rFonts w:asciiTheme="minorHAnsi" w:hAnsiTheme="minorHAnsi"/>
                <w:szCs w:val="20"/>
                <w:lang w:val="en-US"/>
              </w:rPr>
            </w:pPr>
            <w:r w:rsidRPr="00231C30">
              <w:rPr>
                <w:rFonts w:asciiTheme="minorHAnsi" w:hAnsiTheme="minorHAnsi"/>
                <w:szCs w:val="20"/>
                <w:lang w:val="en-US"/>
              </w:rPr>
              <w:t>National Agency of Drug and Food Control</w:t>
            </w:r>
          </w:p>
        </w:tc>
        <w:tc>
          <w:tcPr>
            <w:tcW w:w="2368" w:type="dxa"/>
          </w:tcPr>
          <w:p w:rsidR="00231C30" w:rsidRPr="00231C30" w:rsidRDefault="00231C30" w:rsidP="00231C30">
            <w:pPr>
              <w:spacing w:after="0"/>
              <w:jc w:val="left"/>
              <w:cnfStyle w:val="000000010000" w:firstRow="0" w:lastRow="0" w:firstColumn="0" w:lastColumn="0" w:oddVBand="0" w:evenVBand="0" w:oddHBand="0" w:evenHBand="1" w:firstRowFirstColumn="0" w:firstRowLastColumn="0" w:lastRowFirstColumn="0" w:lastRowLastColumn="0"/>
              <w:rPr>
                <w:rFonts w:asciiTheme="minorHAnsi" w:hAnsiTheme="minorHAnsi"/>
                <w:szCs w:val="20"/>
                <w:lang w:val="it-IT"/>
              </w:rPr>
            </w:pPr>
            <w:r w:rsidRPr="00231C30">
              <w:rPr>
                <w:rFonts w:asciiTheme="minorHAnsi" w:hAnsiTheme="minorHAnsi"/>
                <w:szCs w:val="20"/>
              </w:rPr>
              <w:t>Indonesia</w:t>
            </w:r>
          </w:p>
        </w:tc>
      </w:tr>
      <w:tr w:rsidR="00231C30" w:rsidRPr="0023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231C30" w:rsidRPr="00231C30" w:rsidRDefault="00231C30" w:rsidP="00231C30">
            <w:pPr>
              <w:spacing w:after="0"/>
              <w:jc w:val="left"/>
              <w:rPr>
                <w:rFonts w:asciiTheme="minorHAnsi" w:hAnsiTheme="minorHAnsi"/>
                <w:szCs w:val="20"/>
                <w:lang w:val="it-IT"/>
              </w:rPr>
            </w:pPr>
            <w:r w:rsidRPr="00231C30">
              <w:rPr>
                <w:rFonts w:asciiTheme="minorHAnsi" w:hAnsiTheme="minorHAnsi"/>
                <w:szCs w:val="20"/>
                <w:lang w:val="it-IT"/>
              </w:rPr>
              <w:t>Andreas Anligerah (Mr.)</w:t>
            </w:r>
          </w:p>
        </w:tc>
        <w:tc>
          <w:tcPr>
            <w:tcW w:w="3969" w:type="dxa"/>
          </w:tcPr>
          <w:p w:rsidR="00231C30" w:rsidRPr="00231C30" w:rsidRDefault="00231C30" w:rsidP="00231C30">
            <w:pPr>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0"/>
                <w:lang w:val="en-US"/>
              </w:rPr>
            </w:pPr>
            <w:r w:rsidRPr="00231C30">
              <w:rPr>
                <w:rFonts w:asciiTheme="minorHAnsi" w:hAnsiTheme="minorHAnsi"/>
                <w:szCs w:val="20"/>
                <w:lang w:val="en-US"/>
              </w:rPr>
              <w:t>MoT</w:t>
            </w:r>
          </w:p>
        </w:tc>
        <w:tc>
          <w:tcPr>
            <w:tcW w:w="2368" w:type="dxa"/>
          </w:tcPr>
          <w:p w:rsidR="00231C30" w:rsidRPr="00231C30" w:rsidRDefault="00231C30" w:rsidP="00231C30">
            <w:pPr>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0"/>
                <w:lang w:val="en-US"/>
              </w:rPr>
            </w:pPr>
            <w:r w:rsidRPr="00231C30">
              <w:rPr>
                <w:rFonts w:asciiTheme="minorHAnsi" w:hAnsiTheme="minorHAnsi"/>
                <w:szCs w:val="20"/>
              </w:rPr>
              <w:t>Indonesia</w:t>
            </w:r>
          </w:p>
        </w:tc>
      </w:tr>
      <w:tr w:rsidR="00231C30" w:rsidRPr="00231C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231C30" w:rsidRPr="00231C30" w:rsidRDefault="00231C30" w:rsidP="00231C30">
            <w:pPr>
              <w:spacing w:after="0"/>
              <w:jc w:val="left"/>
              <w:rPr>
                <w:rFonts w:asciiTheme="minorHAnsi" w:hAnsiTheme="minorHAnsi"/>
                <w:szCs w:val="20"/>
                <w:lang w:val="it-IT"/>
              </w:rPr>
            </w:pPr>
            <w:r w:rsidRPr="00231C30">
              <w:rPr>
                <w:rFonts w:asciiTheme="minorHAnsi" w:hAnsiTheme="minorHAnsi"/>
                <w:szCs w:val="20"/>
                <w:lang w:val="it-IT"/>
              </w:rPr>
              <w:t>Bfdrik Munr</w:t>
            </w:r>
          </w:p>
        </w:tc>
        <w:tc>
          <w:tcPr>
            <w:tcW w:w="3969" w:type="dxa"/>
          </w:tcPr>
          <w:p w:rsidR="00231C30" w:rsidRPr="00231C30" w:rsidRDefault="00231C30" w:rsidP="00231C30">
            <w:pPr>
              <w:spacing w:after="0"/>
              <w:jc w:val="left"/>
              <w:cnfStyle w:val="000000010000" w:firstRow="0" w:lastRow="0" w:firstColumn="0" w:lastColumn="0" w:oddVBand="0" w:evenVBand="0" w:oddHBand="0" w:evenHBand="1" w:firstRowFirstColumn="0" w:firstRowLastColumn="0" w:lastRowFirstColumn="0" w:lastRowLastColumn="0"/>
              <w:rPr>
                <w:rFonts w:asciiTheme="minorHAnsi" w:hAnsiTheme="minorHAnsi"/>
                <w:szCs w:val="20"/>
                <w:lang w:val="en-US"/>
              </w:rPr>
            </w:pPr>
            <w:r w:rsidRPr="00231C30">
              <w:rPr>
                <w:rFonts w:asciiTheme="minorHAnsi" w:hAnsiTheme="minorHAnsi"/>
                <w:szCs w:val="20"/>
                <w:lang w:val="en-US"/>
              </w:rPr>
              <w:t>Ministry of Industry</w:t>
            </w:r>
          </w:p>
        </w:tc>
        <w:tc>
          <w:tcPr>
            <w:tcW w:w="2368" w:type="dxa"/>
          </w:tcPr>
          <w:p w:rsidR="00231C30" w:rsidRPr="00231C30" w:rsidRDefault="00231C30" w:rsidP="00231C30">
            <w:pPr>
              <w:spacing w:after="0"/>
              <w:jc w:val="left"/>
              <w:cnfStyle w:val="000000010000" w:firstRow="0" w:lastRow="0" w:firstColumn="0" w:lastColumn="0" w:oddVBand="0" w:evenVBand="0" w:oddHBand="0" w:evenHBand="1" w:firstRowFirstColumn="0" w:firstRowLastColumn="0" w:lastRowFirstColumn="0" w:lastRowLastColumn="0"/>
              <w:rPr>
                <w:rFonts w:asciiTheme="minorHAnsi" w:hAnsiTheme="minorHAnsi"/>
                <w:szCs w:val="20"/>
              </w:rPr>
            </w:pPr>
            <w:r w:rsidRPr="00231C30">
              <w:rPr>
                <w:rFonts w:asciiTheme="minorHAnsi" w:hAnsiTheme="minorHAnsi"/>
                <w:szCs w:val="20"/>
              </w:rPr>
              <w:t>Indonesia</w:t>
            </w:r>
          </w:p>
        </w:tc>
      </w:tr>
      <w:tr w:rsidR="00231C30" w:rsidRPr="0023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231C30" w:rsidRPr="00231C30" w:rsidRDefault="00231C30" w:rsidP="00231C30">
            <w:pPr>
              <w:spacing w:after="0"/>
              <w:jc w:val="left"/>
              <w:rPr>
                <w:rFonts w:asciiTheme="minorHAnsi" w:hAnsiTheme="minorHAnsi"/>
                <w:szCs w:val="20"/>
                <w:lang w:val="it-IT"/>
              </w:rPr>
            </w:pPr>
            <w:r w:rsidRPr="00231C30">
              <w:rPr>
                <w:rFonts w:asciiTheme="minorHAnsi" w:hAnsiTheme="minorHAnsi"/>
                <w:szCs w:val="20"/>
                <w:lang w:val="it-IT"/>
              </w:rPr>
              <w:t>Aslam Hasan</w:t>
            </w:r>
          </w:p>
        </w:tc>
        <w:tc>
          <w:tcPr>
            <w:tcW w:w="3969" w:type="dxa"/>
          </w:tcPr>
          <w:p w:rsidR="00231C30" w:rsidRPr="00231C30" w:rsidRDefault="00231C30" w:rsidP="00231C30">
            <w:pPr>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0"/>
                <w:lang w:val="en-US"/>
              </w:rPr>
            </w:pPr>
            <w:r w:rsidRPr="00231C30">
              <w:rPr>
                <w:rFonts w:asciiTheme="minorHAnsi" w:hAnsiTheme="minorHAnsi"/>
                <w:szCs w:val="20"/>
                <w:lang w:val="en-US"/>
              </w:rPr>
              <w:t>Tobacco Industry</w:t>
            </w:r>
          </w:p>
        </w:tc>
        <w:tc>
          <w:tcPr>
            <w:tcW w:w="2368" w:type="dxa"/>
          </w:tcPr>
          <w:p w:rsidR="00231C30" w:rsidRPr="00231C30" w:rsidRDefault="00231C30" w:rsidP="00231C30">
            <w:pPr>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231C30">
              <w:rPr>
                <w:rFonts w:asciiTheme="minorHAnsi" w:hAnsiTheme="minorHAnsi"/>
                <w:szCs w:val="20"/>
              </w:rPr>
              <w:t>Indonesia</w:t>
            </w:r>
          </w:p>
        </w:tc>
      </w:tr>
      <w:tr w:rsidR="00231C30" w:rsidRPr="00231C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231C30" w:rsidRPr="00231C30" w:rsidRDefault="00231C30" w:rsidP="00231C30">
            <w:pPr>
              <w:spacing w:after="0"/>
              <w:jc w:val="left"/>
              <w:rPr>
                <w:rFonts w:asciiTheme="minorHAnsi" w:hAnsiTheme="minorHAnsi"/>
                <w:szCs w:val="20"/>
                <w:lang w:val="en-US"/>
              </w:rPr>
            </w:pPr>
            <w:r w:rsidRPr="00231C30">
              <w:rPr>
                <w:rFonts w:asciiTheme="minorHAnsi" w:hAnsiTheme="minorHAnsi"/>
                <w:szCs w:val="20"/>
                <w:lang w:val="en-US"/>
              </w:rPr>
              <w:t xml:space="preserve">Triosco Purnawarman </w:t>
            </w:r>
          </w:p>
        </w:tc>
        <w:tc>
          <w:tcPr>
            <w:tcW w:w="3969" w:type="dxa"/>
          </w:tcPr>
          <w:p w:rsidR="00231C30" w:rsidRPr="00231C30" w:rsidRDefault="00231C30" w:rsidP="00231C30">
            <w:pPr>
              <w:spacing w:after="0"/>
              <w:jc w:val="left"/>
              <w:cnfStyle w:val="000000010000" w:firstRow="0" w:lastRow="0" w:firstColumn="0" w:lastColumn="0" w:oddVBand="0" w:evenVBand="0" w:oddHBand="0" w:evenHBand="1" w:firstRowFirstColumn="0" w:firstRowLastColumn="0" w:lastRowFirstColumn="0" w:lastRowLastColumn="0"/>
              <w:rPr>
                <w:rFonts w:asciiTheme="minorHAnsi" w:hAnsiTheme="minorHAnsi"/>
                <w:szCs w:val="20"/>
                <w:lang w:val="en-US"/>
              </w:rPr>
            </w:pPr>
            <w:r w:rsidRPr="00231C30">
              <w:rPr>
                <w:rFonts w:asciiTheme="minorHAnsi" w:hAnsiTheme="minorHAnsi"/>
                <w:szCs w:val="20"/>
                <w:lang w:val="en-US"/>
              </w:rPr>
              <w:t>Faculty of Veterinary Medicine, Boger Agriculture Univ.</w:t>
            </w:r>
          </w:p>
        </w:tc>
        <w:tc>
          <w:tcPr>
            <w:tcW w:w="2368" w:type="dxa"/>
          </w:tcPr>
          <w:p w:rsidR="00231C30" w:rsidRPr="00231C30" w:rsidRDefault="00231C30" w:rsidP="00231C30">
            <w:pPr>
              <w:spacing w:after="0"/>
              <w:jc w:val="left"/>
              <w:cnfStyle w:val="000000010000" w:firstRow="0" w:lastRow="0" w:firstColumn="0" w:lastColumn="0" w:oddVBand="0" w:evenVBand="0" w:oddHBand="0" w:evenHBand="1" w:firstRowFirstColumn="0" w:firstRowLastColumn="0" w:lastRowFirstColumn="0" w:lastRowLastColumn="0"/>
              <w:rPr>
                <w:rFonts w:asciiTheme="minorHAnsi" w:hAnsiTheme="minorHAnsi"/>
                <w:szCs w:val="20"/>
                <w:lang w:val="en-US"/>
              </w:rPr>
            </w:pPr>
            <w:r w:rsidRPr="00231C30">
              <w:rPr>
                <w:rFonts w:asciiTheme="minorHAnsi" w:hAnsiTheme="minorHAnsi"/>
                <w:szCs w:val="20"/>
              </w:rPr>
              <w:t>Indonesia</w:t>
            </w:r>
          </w:p>
        </w:tc>
      </w:tr>
      <w:tr w:rsidR="00231C30" w:rsidRPr="0023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231C30" w:rsidRPr="00231C30" w:rsidRDefault="00231C30" w:rsidP="00231C30">
            <w:pPr>
              <w:spacing w:after="0"/>
              <w:jc w:val="left"/>
              <w:rPr>
                <w:rFonts w:asciiTheme="minorHAnsi" w:hAnsiTheme="minorHAnsi"/>
                <w:szCs w:val="20"/>
                <w:lang w:val="en-US"/>
              </w:rPr>
            </w:pPr>
            <w:r w:rsidRPr="00231C30">
              <w:rPr>
                <w:rFonts w:asciiTheme="minorHAnsi" w:hAnsiTheme="minorHAnsi"/>
                <w:szCs w:val="20"/>
                <w:lang w:val="en-US"/>
              </w:rPr>
              <w:t>Noviana KOS Yuniati</w:t>
            </w:r>
          </w:p>
        </w:tc>
        <w:tc>
          <w:tcPr>
            <w:tcW w:w="3969" w:type="dxa"/>
          </w:tcPr>
          <w:p w:rsidR="00231C30" w:rsidRPr="00231C30" w:rsidRDefault="00231C30" w:rsidP="00231C30">
            <w:pPr>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0"/>
                <w:lang w:val="en-US"/>
              </w:rPr>
            </w:pPr>
            <w:r w:rsidRPr="00231C30">
              <w:rPr>
                <w:rFonts w:asciiTheme="minorHAnsi" w:hAnsiTheme="minorHAnsi"/>
                <w:szCs w:val="20"/>
                <w:lang w:val="en-US"/>
              </w:rPr>
              <w:t>The Ministry of Trade.</w:t>
            </w:r>
          </w:p>
        </w:tc>
        <w:tc>
          <w:tcPr>
            <w:tcW w:w="2368" w:type="dxa"/>
          </w:tcPr>
          <w:p w:rsidR="00231C30" w:rsidRPr="00231C30" w:rsidRDefault="00231C30" w:rsidP="00231C30">
            <w:pPr>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231C30">
              <w:rPr>
                <w:rFonts w:asciiTheme="minorHAnsi" w:hAnsiTheme="minorHAnsi"/>
                <w:szCs w:val="20"/>
              </w:rPr>
              <w:t>Indonesia</w:t>
            </w:r>
          </w:p>
        </w:tc>
      </w:tr>
      <w:tr w:rsidR="00231C30" w:rsidRPr="00231C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231C30" w:rsidRPr="00231C30" w:rsidRDefault="00231C30" w:rsidP="00231C30">
            <w:pPr>
              <w:spacing w:after="0"/>
              <w:jc w:val="left"/>
              <w:rPr>
                <w:rFonts w:asciiTheme="minorHAnsi" w:hAnsiTheme="minorHAnsi"/>
                <w:szCs w:val="20"/>
                <w:lang w:val="en-US"/>
              </w:rPr>
            </w:pPr>
            <w:r w:rsidRPr="00231C30">
              <w:rPr>
                <w:rFonts w:asciiTheme="minorHAnsi" w:hAnsiTheme="minorHAnsi"/>
                <w:szCs w:val="20"/>
                <w:lang w:val="en-US"/>
              </w:rPr>
              <w:t xml:space="preserve">Ati Widya Perana </w:t>
            </w:r>
          </w:p>
        </w:tc>
        <w:tc>
          <w:tcPr>
            <w:tcW w:w="3969" w:type="dxa"/>
          </w:tcPr>
          <w:p w:rsidR="00231C30" w:rsidRPr="00231C30" w:rsidRDefault="00231C30" w:rsidP="00231C30">
            <w:pPr>
              <w:spacing w:after="0"/>
              <w:jc w:val="left"/>
              <w:cnfStyle w:val="000000010000" w:firstRow="0" w:lastRow="0" w:firstColumn="0" w:lastColumn="0" w:oddVBand="0" w:evenVBand="0" w:oddHBand="0" w:evenHBand="1" w:firstRowFirstColumn="0" w:firstRowLastColumn="0" w:lastRowFirstColumn="0" w:lastRowLastColumn="0"/>
              <w:rPr>
                <w:rFonts w:asciiTheme="minorHAnsi" w:hAnsiTheme="minorHAnsi"/>
                <w:szCs w:val="20"/>
                <w:lang w:val="en-US"/>
              </w:rPr>
            </w:pPr>
            <w:r w:rsidRPr="00231C30">
              <w:rPr>
                <w:rFonts w:asciiTheme="minorHAnsi" w:hAnsiTheme="minorHAnsi"/>
                <w:szCs w:val="20"/>
                <w:lang w:val="en-US"/>
              </w:rPr>
              <w:t>National Agency of Drug and Food Control</w:t>
            </w:r>
          </w:p>
        </w:tc>
        <w:tc>
          <w:tcPr>
            <w:tcW w:w="2368" w:type="dxa"/>
          </w:tcPr>
          <w:p w:rsidR="00231C30" w:rsidRPr="00231C30" w:rsidRDefault="00231C30" w:rsidP="00231C30">
            <w:pPr>
              <w:spacing w:after="0"/>
              <w:jc w:val="left"/>
              <w:cnfStyle w:val="000000010000" w:firstRow="0" w:lastRow="0" w:firstColumn="0" w:lastColumn="0" w:oddVBand="0" w:evenVBand="0" w:oddHBand="0" w:evenHBand="1" w:firstRowFirstColumn="0" w:firstRowLastColumn="0" w:lastRowFirstColumn="0" w:lastRowLastColumn="0"/>
              <w:rPr>
                <w:rFonts w:asciiTheme="minorHAnsi" w:hAnsiTheme="minorHAnsi"/>
                <w:szCs w:val="20"/>
                <w:lang w:val="it-IT"/>
              </w:rPr>
            </w:pPr>
            <w:r w:rsidRPr="00231C30">
              <w:rPr>
                <w:rFonts w:asciiTheme="minorHAnsi" w:hAnsiTheme="minorHAnsi"/>
                <w:szCs w:val="20"/>
              </w:rPr>
              <w:t>Indonesia</w:t>
            </w:r>
          </w:p>
        </w:tc>
      </w:tr>
      <w:tr w:rsidR="00231C30" w:rsidRPr="0023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231C30" w:rsidRPr="00231C30" w:rsidRDefault="00231C30" w:rsidP="00231C30">
            <w:pPr>
              <w:spacing w:after="0"/>
              <w:jc w:val="left"/>
              <w:rPr>
                <w:rFonts w:asciiTheme="minorHAnsi" w:hAnsiTheme="minorHAnsi"/>
                <w:szCs w:val="20"/>
                <w:lang w:val="it-IT"/>
              </w:rPr>
            </w:pPr>
            <w:r w:rsidRPr="00231C30">
              <w:rPr>
                <w:rFonts w:asciiTheme="minorHAnsi" w:hAnsiTheme="minorHAnsi"/>
                <w:szCs w:val="20"/>
                <w:lang w:val="it-IT"/>
              </w:rPr>
              <w:t>Dr. Sunarya</w:t>
            </w:r>
          </w:p>
        </w:tc>
        <w:tc>
          <w:tcPr>
            <w:tcW w:w="3969" w:type="dxa"/>
          </w:tcPr>
          <w:p w:rsidR="00231C30" w:rsidRPr="00231C30" w:rsidRDefault="00231C30" w:rsidP="00231C30">
            <w:pPr>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0"/>
                <w:lang w:val="en-US"/>
              </w:rPr>
            </w:pPr>
            <w:r w:rsidRPr="00231C30">
              <w:rPr>
                <w:rFonts w:asciiTheme="minorHAnsi" w:hAnsiTheme="minorHAnsi"/>
                <w:szCs w:val="20"/>
                <w:lang w:val="en-US"/>
              </w:rPr>
              <w:t xml:space="preserve">The Spring Institute  </w:t>
            </w:r>
          </w:p>
        </w:tc>
        <w:tc>
          <w:tcPr>
            <w:tcW w:w="2368" w:type="dxa"/>
          </w:tcPr>
          <w:p w:rsidR="00231C30" w:rsidRPr="00231C30" w:rsidRDefault="00231C30" w:rsidP="00231C30">
            <w:pPr>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231C30">
              <w:rPr>
                <w:rFonts w:asciiTheme="minorHAnsi" w:hAnsiTheme="minorHAnsi"/>
                <w:szCs w:val="20"/>
              </w:rPr>
              <w:t>Indonesia</w:t>
            </w:r>
          </w:p>
        </w:tc>
      </w:tr>
      <w:tr w:rsidR="00231C30" w:rsidRPr="00231C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231C30" w:rsidRPr="00231C30" w:rsidRDefault="00231C30" w:rsidP="00231C30">
            <w:pPr>
              <w:spacing w:after="0"/>
              <w:jc w:val="left"/>
              <w:rPr>
                <w:rFonts w:asciiTheme="minorHAnsi" w:hAnsiTheme="minorHAnsi"/>
                <w:szCs w:val="20"/>
                <w:lang w:val="it-IT"/>
              </w:rPr>
            </w:pPr>
            <w:r w:rsidRPr="00231C30">
              <w:rPr>
                <w:rFonts w:asciiTheme="minorHAnsi" w:hAnsiTheme="minorHAnsi"/>
                <w:szCs w:val="20"/>
                <w:lang w:val="it-IT"/>
              </w:rPr>
              <w:t>Rachmi Untors MD, MPH</w:t>
            </w:r>
          </w:p>
        </w:tc>
        <w:tc>
          <w:tcPr>
            <w:tcW w:w="3969" w:type="dxa"/>
          </w:tcPr>
          <w:p w:rsidR="00231C30" w:rsidRPr="00231C30" w:rsidRDefault="00231C30" w:rsidP="00231C30">
            <w:pPr>
              <w:spacing w:after="0"/>
              <w:jc w:val="left"/>
              <w:cnfStyle w:val="000000010000" w:firstRow="0" w:lastRow="0" w:firstColumn="0" w:lastColumn="0" w:oddVBand="0" w:evenVBand="0" w:oddHBand="0" w:evenHBand="1" w:firstRowFirstColumn="0" w:firstRowLastColumn="0" w:lastRowFirstColumn="0" w:lastRowLastColumn="0"/>
              <w:rPr>
                <w:rFonts w:asciiTheme="minorHAnsi" w:hAnsiTheme="minorHAnsi"/>
                <w:szCs w:val="20"/>
                <w:lang w:val="en-US"/>
              </w:rPr>
            </w:pPr>
            <w:r w:rsidRPr="00231C30">
              <w:rPr>
                <w:rFonts w:asciiTheme="minorHAnsi" w:hAnsiTheme="minorHAnsi"/>
                <w:szCs w:val="20"/>
                <w:lang w:val="en-US"/>
              </w:rPr>
              <w:t>Ministry of Health</w:t>
            </w:r>
          </w:p>
        </w:tc>
        <w:tc>
          <w:tcPr>
            <w:tcW w:w="2368" w:type="dxa"/>
          </w:tcPr>
          <w:p w:rsidR="00231C30" w:rsidRPr="00231C30" w:rsidRDefault="00231C30" w:rsidP="00231C30">
            <w:pPr>
              <w:spacing w:after="0"/>
              <w:jc w:val="left"/>
              <w:cnfStyle w:val="000000010000" w:firstRow="0" w:lastRow="0" w:firstColumn="0" w:lastColumn="0" w:oddVBand="0" w:evenVBand="0" w:oddHBand="0" w:evenHBand="1" w:firstRowFirstColumn="0" w:firstRowLastColumn="0" w:lastRowFirstColumn="0" w:lastRowLastColumn="0"/>
              <w:rPr>
                <w:rFonts w:asciiTheme="minorHAnsi" w:hAnsiTheme="minorHAnsi"/>
                <w:szCs w:val="20"/>
              </w:rPr>
            </w:pPr>
            <w:r w:rsidRPr="00231C30">
              <w:rPr>
                <w:rFonts w:asciiTheme="minorHAnsi" w:hAnsiTheme="minorHAnsi"/>
                <w:szCs w:val="20"/>
              </w:rPr>
              <w:t>Indonesia</w:t>
            </w:r>
          </w:p>
        </w:tc>
      </w:tr>
      <w:tr w:rsidR="00231C30" w:rsidRPr="0023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231C30" w:rsidRPr="00231C30" w:rsidRDefault="00231C30" w:rsidP="00231C30">
            <w:pPr>
              <w:spacing w:after="0"/>
              <w:jc w:val="left"/>
              <w:rPr>
                <w:rFonts w:asciiTheme="minorHAnsi" w:hAnsiTheme="minorHAnsi"/>
                <w:szCs w:val="20"/>
                <w:lang w:val="it-IT"/>
              </w:rPr>
            </w:pPr>
            <w:r w:rsidRPr="00231C30">
              <w:rPr>
                <w:rFonts w:asciiTheme="minorHAnsi" w:hAnsiTheme="minorHAnsi"/>
                <w:szCs w:val="20"/>
                <w:lang w:val="it-IT"/>
              </w:rPr>
              <w:t>Th. Istihastuti Pr.</w:t>
            </w:r>
          </w:p>
        </w:tc>
        <w:tc>
          <w:tcPr>
            <w:tcW w:w="3969" w:type="dxa"/>
          </w:tcPr>
          <w:p w:rsidR="00231C30" w:rsidRPr="00231C30" w:rsidRDefault="00231C30" w:rsidP="00231C30">
            <w:pPr>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0"/>
                <w:lang w:val="en-US"/>
              </w:rPr>
            </w:pPr>
            <w:r w:rsidRPr="00231C30">
              <w:rPr>
                <w:rFonts w:asciiTheme="minorHAnsi" w:hAnsiTheme="minorHAnsi"/>
                <w:szCs w:val="20"/>
                <w:lang w:val="en-US"/>
              </w:rPr>
              <w:t>Ministry of Marine Affairs and Fisheries</w:t>
            </w:r>
          </w:p>
        </w:tc>
        <w:tc>
          <w:tcPr>
            <w:tcW w:w="2368" w:type="dxa"/>
          </w:tcPr>
          <w:p w:rsidR="00231C30" w:rsidRPr="00231C30" w:rsidRDefault="00231C30" w:rsidP="00231C30">
            <w:pPr>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231C30">
              <w:rPr>
                <w:rFonts w:asciiTheme="minorHAnsi" w:hAnsiTheme="minorHAnsi"/>
                <w:szCs w:val="20"/>
              </w:rPr>
              <w:t>Indonesia</w:t>
            </w:r>
          </w:p>
        </w:tc>
      </w:tr>
      <w:tr w:rsidR="00231C30" w:rsidRPr="00231C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231C30" w:rsidRPr="00231C30" w:rsidRDefault="00231C30" w:rsidP="00231C30">
            <w:pPr>
              <w:spacing w:after="0"/>
              <w:jc w:val="left"/>
              <w:rPr>
                <w:rFonts w:asciiTheme="minorHAnsi" w:hAnsiTheme="minorHAnsi"/>
                <w:szCs w:val="20"/>
                <w:lang w:val="en-US"/>
              </w:rPr>
            </w:pPr>
            <w:r w:rsidRPr="00231C30">
              <w:rPr>
                <w:rFonts w:asciiTheme="minorHAnsi" w:hAnsiTheme="minorHAnsi"/>
                <w:szCs w:val="20"/>
                <w:lang w:val="en-US"/>
              </w:rPr>
              <w:t xml:space="preserve">Mr. Yasee M. Khayyat </w:t>
            </w:r>
          </w:p>
          <w:p w:rsidR="00231C30" w:rsidRPr="00231C30" w:rsidRDefault="00231C30" w:rsidP="00231C30">
            <w:pPr>
              <w:spacing w:after="0"/>
              <w:jc w:val="left"/>
              <w:rPr>
                <w:rFonts w:asciiTheme="minorHAnsi" w:hAnsiTheme="minorHAnsi"/>
                <w:szCs w:val="20"/>
                <w:lang w:val="en-US"/>
              </w:rPr>
            </w:pPr>
            <w:r w:rsidRPr="00231C30">
              <w:rPr>
                <w:rFonts w:asciiTheme="minorHAnsi" w:hAnsiTheme="minorHAnsi"/>
                <w:szCs w:val="20"/>
                <w:lang w:val="en-US"/>
              </w:rPr>
              <w:t>Mr. Mahmoud Al-Zu’bi</w:t>
            </w:r>
          </w:p>
          <w:p w:rsidR="00231C30" w:rsidRPr="00231C30" w:rsidRDefault="00231C30" w:rsidP="00231C30">
            <w:pPr>
              <w:spacing w:after="0"/>
              <w:jc w:val="left"/>
              <w:rPr>
                <w:rFonts w:asciiTheme="minorHAnsi" w:hAnsiTheme="minorHAnsi"/>
                <w:szCs w:val="20"/>
                <w:lang w:val="en-US"/>
              </w:rPr>
            </w:pPr>
            <w:r w:rsidRPr="00231C30">
              <w:rPr>
                <w:rFonts w:asciiTheme="minorHAnsi" w:hAnsiTheme="minorHAnsi"/>
                <w:szCs w:val="20"/>
                <w:lang w:val="en-US"/>
              </w:rPr>
              <w:t>Ms. Shifa Halah</w:t>
            </w:r>
          </w:p>
          <w:p w:rsidR="00231C30" w:rsidRPr="00231C30" w:rsidRDefault="00231C30" w:rsidP="00231C30">
            <w:pPr>
              <w:spacing w:after="0"/>
              <w:jc w:val="left"/>
              <w:rPr>
                <w:rFonts w:asciiTheme="minorHAnsi" w:hAnsiTheme="minorHAnsi"/>
                <w:szCs w:val="20"/>
                <w:lang w:val="en-US"/>
              </w:rPr>
            </w:pPr>
            <w:r w:rsidRPr="00231C30">
              <w:rPr>
                <w:rFonts w:asciiTheme="minorHAnsi" w:hAnsiTheme="minorHAnsi"/>
                <w:szCs w:val="20"/>
                <w:lang w:val="en-US"/>
              </w:rPr>
              <w:t>Ms. Nessma Shannak</w:t>
            </w:r>
          </w:p>
        </w:tc>
        <w:tc>
          <w:tcPr>
            <w:tcW w:w="3969" w:type="dxa"/>
          </w:tcPr>
          <w:p w:rsidR="00231C30" w:rsidRPr="00BC35A3" w:rsidRDefault="00231C30" w:rsidP="00231C30">
            <w:pPr>
              <w:spacing w:after="0"/>
              <w:jc w:val="left"/>
              <w:cnfStyle w:val="000000010000" w:firstRow="0" w:lastRow="0" w:firstColumn="0" w:lastColumn="0" w:oddVBand="0" w:evenVBand="0" w:oddHBand="0" w:evenHBand="1" w:firstRowFirstColumn="0" w:firstRowLastColumn="0" w:lastRowFirstColumn="0" w:lastRowLastColumn="0"/>
              <w:rPr>
                <w:rFonts w:asciiTheme="minorHAnsi" w:hAnsiTheme="minorHAnsi"/>
                <w:szCs w:val="20"/>
                <w:lang w:val="en-GB"/>
              </w:rPr>
            </w:pPr>
            <w:r w:rsidRPr="00231C30">
              <w:rPr>
                <w:rFonts w:asciiTheme="minorHAnsi" w:hAnsiTheme="minorHAnsi"/>
                <w:szCs w:val="20"/>
                <w:lang w:val="en-GB"/>
              </w:rPr>
              <w:t>Jordan Institut</w:t>
            </w:r>
            <w:r w:rsidR="00BC35A3">
              <w:rPr>
                <w:rFonts w:asciiTheme="minorHAnsi" w:hAnsiTheme="minorHAnsi"/>
                <w:szCs w:val="20"/>
                <w:lang w:val="en-GB"/>
              </w:rPr>
              <w:t>e</w:t>
            </w:r>
            <w:r w:rsidRPr="00231C30">
              <w:rPr>
                <w:rFonts w:asciiTheme="minorHAnsi" w:hAnsiTheme="minorHAnsi"/>
                <w:szCs w:val="20"/>
                <w:lang w:val="en-GB"/>
              </w:rPr>
              <w:t xml:space="preserve"> for Standards and Metrology</w:t>
            </w:r>
          </w:p>
        </w:tc>
        <w:tc>
          <w:tcPr>
            <w:tcW w:w="2368" w:type="dxa"/>
          </w:tcPr>
          <w:p w:rsidR="00231C30" w:rsidRPr="00231C30" w:rsidRDefault="00231C30" w:rsidP="00231C30">
            <w:pPr>
              <w:spacing w:after="0"/>
              <w:jc w:val="left"/>
              <w:cnfStyle w:val="000000010000" w:firstRow="0" w:lastRow="0" w:firstColumn="0" w:lastColumn="0" w:oddVBand="0" w:evenVBand="0" w:oddHBand="0" w:evenHBand="1" w:firstRowFirstColumn="0" w:firstRowLastColumn="0" w:lastRowFirstColumn="0" w:lastRowLastColumn="0"/>
              <w:rPr>
                <w:rFonts w:asciiTheme="minorHAnsi" w:hAnsiTheme="minorHAnsi"/>
                <w:szCs w:val="20"/>
                <w:lang w:val="en-US"/>
              </w:rPr>
            </w:pPr>
            <w:r w:rsidRPr="00231C30">
              <w:rPr>
                <w:rFonts w:asciiTheme="minorHAnsi" w:hAnsiTheme="minorHAnsi"/>
                <w:szCs w:val="20"/>
                <w:lang w:val="en-US"/>
              </w:rPr>
              <w:t>Jordan</w:t>
            </w:r>
          </w:p>
        </w:tc>
      </w:tr>
      <w:tr w:rsidR="00231C30" w:rsidRPr="0023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231C30" w:rsidRPr="00231C30" w:rsidRDefault="00231C30" w:rsidP="00231C30">
            <w:pPr>
              <w:spacing w:after="0"/>
              <w:jc w:val="left"/>
              <w:rPr>
                <w:rFonts w:asciiTheme="minorHAnsi" w:hAnsiTheme="minorHAnsi"/>
                <w:szCs w:val="20"/>
                <w:lang w:val="en-US"/>
              </w:rPr>
            </w:pPr>
            <w:r w:rsidRPr="00231C30">
              <w:rPr>
                <w:rFonts w:asciiTheme="minorHAnsi" w:hAnsiTheme="minorHAnsi"/>
                <w:szCs w:val="20"/>
                <w:lang w:val="en-US"/>
              </w:rPr>
              <w:t>Mr. Mohammad Al-Khraisha</w:t>
            </w:r>
          </w:p>
        </w:tc>
        <w:tc>
          <w:tcPr>
            <w:tcW w:w="3969" w:type="dxa"/>
          </w:tcPr>
          <w:p w:rsidR="00231C30" w:rsidRPr="00231C30" w:rsidRDefault="00231C30" w:rsidP="00231C30">
            <w:pPr>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0"/>
                <w:lang w:val="en-US"/>
              </w:rPr>
            </w:pPr>
            <w:r w:rsidRPr="00231C30">
              <w:rPr>
                <w:rFonts w:asciiTheme="minorHAnsi" w:hAnsiTheme="minorHAnsi"/>
                <w:szCs w:val="20"/>
                <w:lang w:val="en-US"/>
              </w:rPr>
              <w:t>Jordan Food and Drug Administration</w:t>
            </w:r>
          </w:p>
        </w:tc>
        <w:tc>
          <w:tcPr>
            <w:tcW w:w="2368" w:type="dxa"/>
          </w:tcPr>
          <w:p w:rsidR="00231C30" w:rsidRPr="00231C30" w:rsidRDefault="00231C30" w:rsidP="00231C30">
            <w:pPr>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0"/>
                <w:lang w:val="en-US"/>
              </w:rPr>
            </w:pPr>
            <w:r w:rsidRPr="00231C30">
              <w:rPr>
                <w:rFonts w:asciiTheme="minorHAnsi" w:hAnsiTheme="minorHAnsi"/>
                <w:szCs w:val="20"/>
                <w:lang w:val="en-US"/>
              </w:rPr>
              <w:t>Jordan</w:t>
            </w:r>
          </w:p>
        </w:tc>
      </w:tr>
      <w:tr w:rsidR="00231C30" w:rsidRPr="00231C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231C30" w:rsidRPr="00231C30" w:rsidRDefault="00231C30" w:rsidP="00231C30">
            <w:pPr>
              <w:spacing w:after="0"/>
              <w:jc w:val="left"/>
              <w:rPr>
                <w:rFonts w:asciiTheme="minorHAnsi" w:hAnsiTheme="minorHAnsi"/>
                <w:szCs w:val="20"/>
                <w:lang w:val="en-US"/>
              </w:rPr>
            </w:pPr>
            <w:r w:rsidRPr="00231C30">
              <w:rPr>
                <w:rFonts w:asciiTheme="minorHAnsi" w:hAnsiTheme="minorHAnsi"/>
                <w:szCs w:val="20"/>
                <w:lang w:val="en-US"/>
              </w:rPr>
              <w:lastRenderedPageBreak/>
              <w:t>Mr. Ghazi Klaibi</w:t>
            </w:r>
          </w:p>
        </w:tc>
        <w:tc>
          <w:tcPr>
            <w:tcW w:w="3969" w:type="dxa"/>
          </w:tcPr>
          <w:p w:rsidR="00231C30" w:rsidRPr="00231C30" w:rsidRDefault="00231C30" w:rsidP="00231C30">
            <w:pPr>
              <w:spacing w:after="0"/>
              <w:jc w:val="left"/>
              <w:cnfStyle w:val="000000010000" w:firstRow="0" w:lastRow="0" w:firstColumn="0" w:lastColumn="0" w:oddVBand="0" w:evenVBand="0" w:oddHBand="0" w:evenHBand="1" w:firstRowFirstColumn="0" w:firstRowLastColumn="0" w:lastRowFirstColumn="0" w:lastRowLastColumn="0"/>
              <w:rPr>
                <w:rFonts w:asciiTheme="minorHAnsi" w:hAnsiTheme="minorHAnsi"/>
                <w:szCs w:val="20"/>
                <w:lang w:val="en-US"/>
              </w:rPr>
            </w:pPr>
            <w:r w:rsidRPr="00231C30">
              <w:rPr>
                <w:rFonts w:asciiTheme="minorHAnsi" w:hAnsiTheme="minorHAnsi"/>
                <w:szCs w:val="20"/>
                <w:lang w:val="en-US"/>
              </w:rPr>
              <w:t>Jordan Food and Drug Administration</w:t>
            </w:r>
          </w:p>
        </w:tc>
        <w:tc>
          <w:tcPr>
            <w:tcW w:w="2368" w:type="dxa"/>
          </w:tcPr>
          <w:p w:rsidR="00231C30" w:rsidRPr="00231C30" w:rsidRDefault="00231C30" w:rsidP="00231C30">
            <w:pPr>
              <w:spacing w:after="0"/>
              <w:jc w:val="left"/>
              <w:cnfStyle w:val="000000010000" w:firstRow="0" w:lastRow="0" w:firstColumn="0" w:lastColumn="0" w:oddVBand="0" w:evenVBand="0" w:oddHBand="0" w:evenHBand="1" w:firstRowFirstColumn="0" w:firstRowLastColumn="0" w:lastRowFirstColumn="0" w:lastRowLastColumn="0"/>
              <w:rPr>
                <w:rFonts w:asciiTheme="minorHAnsi" w:hAnsiTheme="minorHAnsi"/>
                <w:szCs w:val="20"/>
                <w:lang w:val="en-US"/>
              </w:rPr>
            </w:pPr>
            <w:r w:rsidRPr="00231C30">
              <w:rPr>
                <w:rFonts w:asciiTheme="minorHAnsi" w:hAnsiTheme="minorHAnsi"/>
                <w:szCs w:val="20"/>
                <w:lang w:val="en-US"/>
              </w:rPr>
              <w:t>Jordan</w:t>
            </w:r>
          </w:p>
        </w:tc>
      </w:tr>
      <w:tr w:rsidR="00231C30" w:rsidRPr="0023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231C30" w:rsidRPr="00231C30" w:rsidRDefault="00231C30" w:rsidP="00231C30">
            <w:pPr>
              <w:spacing w:after="0"/>
              <w:jc w:val="left"/>
              <w:rPr>
                <w:rFonts w:asciiTheme="minorHAnsi" w:hAnsiTheme="minorHAnsi"/>
                <w:szCs w:val="20"/>
                <w:lang w:val="en-US"/>
              </w:rPr>
            </w:pPr>
            <w:r w:rsidRPr="00231C30">
              <w:rPr>
                <w:rFonts w:asciiTheme="minorHAnsi" w:hAnsiTheme="minorHAnsi"/>
                <w:szCs w:val="20"/>
                <w:lang w:val="en-US"/>
              </w:rPr>
              <w:t>Mr. Abdel Fattah Kilani</w:t>
            </w:r>
          </w:p>
        </w:tc>
        <w:tc>
          <w:tcPr>
            <w:tcW w:w="3969" w:type="dxa"/>
          </w:tcPr>
          <w:p w:rsidR="00231C30" w:rsidRPr="00231C30" w:rsidRDefault="00231C30" w:rsidP="00231C30">
            <w:pPr>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0"/>
                <w:lang w:val="en-US"/>
              </w:rPr>
            </w:pPr>
            <w:r w:rsidRPr="00231C30">
              <w:rPr>
                <w:rFonts w:asciiTheme="minorHAnsi" w:hAnsiTheme="minorHAnsi"/>
                <w:szCs w:val="20"/>
                <w:lang w:val="en-US"/>
              </w:rPr>
              <w:t>National Society for Consumer Protection</w:t>
            </w:r>
          </w:p>
        </w:tc>
        <w:tc>
          <w:tcPr>
            <w:tcW w:w="2368" w:type="dxa"/>
          </w:tcPr>
          <w:p w:rsidR="00231C30" w:rsidRPr="00231C30" w:rsidRDefault="00231C30" w:rsidP="00231C30">
            <w:pPr>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0"/>
                <w:lang w:val="en-US"/>
              </w:rPr>
            </w:pPr>
            <w:r w:rsidRPr="00231C30">
              <w:rPr>
                <w:rFonts w:asciiTheme="minorHAnsi" w:hAnsiTheme="minorHAnsi"/>
                <w:szCs w:val="20"/>
                <w:lang w:val="en-US"/>
              </w:rPr>
              <w:t>Jordan</w:t>
            </w:r>
          </w:p>
        </w:tc>
      </w:tr>
      <w:tr w:rsidR="00231C30" w:rsidRPr="00231C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231C30" w:rsidRPr="00231C30" w:rsidRDefault="00231C30" w:rsidP="00231C30">
            <w:pPr>
              <w:spacing w:after="0"/>
              <w:jc w:val="left"/>
              <w:rPr>
                <w:rFonts w:asciiTheme="minorHAnsi" w:hAnsiTheme="minorHAnsi"/>
                <w:color w:val="000000"/>
                <w:szCs w:val="20"/>
              </w:rPr>
            </w:pPr>
            <w:r w:rsidRPr="00231C30">
              <w:rPr>
                <w:rFonts w:asciiTheme="minorHAnsi" w:hAnsiTheme="minorHAnsi"/>
                <w:color w:val="000000"/>
                <w:szCs w:val="20"/>
              </w:rPr>
              <w:t>Fred E. Sikwese</w:t>
            </w:r>
          </w:p>
        </w:tc>
        <w:tc>
          <w:tcPr>
            <w:tcW w:w="3969" w:type="dxa"/>
          </w:tcPr>
          <w:p w:rsidR="00231C30" w:rsidRPr="00231C30" w:rsidRDefault="00231C30" w:rsidP="00231C30">
            <w:pPr>
              <w:spacing w:after="0"/>
              <w:jc w:val="left"/>
              <w:cnfStyle w:val="000000010000" w:firstRow="0" w:lastRow="0" w:firstColumn="0" w:lastColumn="0" w:oddVBand="0" w:evenVBand="0" w:oddHBand="0" w:evenHBand="1" w:firstRowFirstColumn="0" w:firstRowLastColumn="0" w:lastRowFirstColumn="0" w:lastRowLastColumn="0"/>
              <w:rPr>
                <w:rFonts w:asciiTheme="minorHAnsi" w:hAnsiTheme="minorHAnsi"/>
                <w:color w:val="000000"/>
                <w:szCs w:val="20"/>
              </w:rPr>
            </w:pPr>
            <w:r w:rsidRPr="00231C30">
              <w:rPr>
                <w:rFonts w:asciiTheme="minorHAnsi" w:hAnsiTheme="minorHAnsi"/>
                <w:color w:val="000000"/>
                <w:szCs w:val="20"/>
                <w:lang w:val="en-US"/>
              </w:rPr>
              <w:t xml:space="preserve">Malawi Bureau of Standards </w:t>
            </w:r>
          </w:p>
        </w:tc>
        <w:tc>
          <w:tcPr>
            <w:tcW w:w="2368" w:type="dxa"/>
          </w:tcPr>
          <w:p w:rsidR="00231C30" w:rsidRPr="00231C30" w:rsidRDefault="00231C30" w:rsidP="00231C30">
            <w:pPr>
              <w:spacing w:after="0"/>
              <w:jc w:val="left"/>
              <w:cnfStyle w:val="000000010000" w:firstRow="0" w:lastRow="0" w:firstColumn="0" w:lastColumn="0" w:oddVBand="0" w:evenVBand="0" w:oddHBand="0" w:evenHBand="1" w:firstRowFirstColumn="0" w:firstRowLastColumn="0" w:lastRowFirstColumn="0" w:lastRowLastColumn="0"/>
              <w:rPr>
                <w:rFonts w:asciiTheme="minorHAnsi" w:hAnsiTheme="minorHAnsi"/>
                <w:color w:val="000000"/>
                <w:szCs w:val="20"/>
              </w:rPr>
            </w:pPr>
            <w:r w:rsidRPr="00231C30">
              <w:rPr>
                <w:rFonts w:asciiTheme="minorHAnsi" w:hAnsiTheme="minorHAnsi"/>
                <w:color w:val="000000"/>
                <w:szCs w:val="20"/>
              </w:rPr>
              <w:t>Malawi</w:t>
            </w:r>
          </w:p>
        </w:tc>
      </w:tr>
      <w:tr w:rsidR="00231C30" w:rsidRPr="0023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231C30" w:rsidRPr="00231C30" w:rsidRDefault="00231C30" w:rsidP="00231C30">
            <w:pPr>
              <w:spacing w:after="0"/>
              <w:jc w:val="left"/>
              <w:rPr>
                <w:rFonts w:asciiTheme="minorHAnsi" w:hAnsiTheme="minorHAnsi"/>
                <w:color w:val="000000"/>
                <w:szCs w:val="20"/>
              </w:rPr>
            </w:pPr>
            <w:r w:rsidRPr="00231C30">
              <w:rPr>
                <w:rFonts w:asciiTheme="minorHAnsi" w:hAnsiTheme="minorHAnsi"/>
                <w:color w:val="000000"/>
                <w:szCs w:val="20"/>
              </w:rPr>
              <w:t>Limbikani Matumba</w:t>
            </w:r>
          </w:p>
        </w:tc>
        <w:tc>
          <w:tcPr>
            <w:tcW w:w="3969" w:type="dxa"/>
          </w:tcPr>
          <w:p w:rsidR="00231C30" w:rsidRPr="00231C30" w:rsidRDefault="00231C30" w:rsidP="00231C30">
            <w:pPr>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Cs w:val="20"/>
                <w:lang w:val="en-US"/>
              </w:rPr>
            </w:pPr>
            <w:r w:rsidRPr="00231C30">
              <w:rPr>
                <w:rFonts w:asciiTheme="minorHAnsi" w:hAnsiTheme="minorHAnsi"/>
                <w:color w:val="000000"/>
                <w:szCs w:val="20"/>
                <w:lang w:val="en-US"/>
              </w:rPr>
              <w:t>Depart of Agricultural Research Services</w:t>
            </w:r>
          </w:p>
        </w:tc>
        <w:tc>
          <w:tcPr>
            <w:tcW w:w="2368" w:type="dxa"/>
          </w:tcPr>
          <w:p w:rsidR="00231C30" w:rsidRPr="00231C30" w:rsidRDefault="00231C30" w:rsidP="00231C30">
            <w:pPr>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Cs w:val="20"/>
                <w:lang w:val="en-US"/>
              </w:rPr>
            </w:pPr>
            <w:r w:rsidRPr="00231C30">
              <w:rPr>
                <w:rFonts w:asciiTheme="minorHAnsi" w:hAnsiTheme="minorHAnsi"/>
                <w:color w:val="000000"/>
                <w:szCs w:val="20"/>
              </w:rPr>
              <w:t>Malawi</w:t>
            </w:r>
          </w:p>
        </w:tc>
      </w:tr>
      <w:tr w:rsidR="00231C30" w:rsidRPr="00231C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231C30" w:rsidRPr="00231C30" w:rsidRDefault="00231C30" w:rsidP="00231C30">
            <w:pPr>
              <w:spacing w:after="0"/>
              <w:jc w:val="left"/>
              <w:rPr>
                <w:rFonts w:asciiTheme="minorHAnsi" w:hAnsiTheme="minorHAnsi"/>
                <w:color w:val="000000"/>
                <w:szCs w:val="20"/>
              </w:rPr>
            </w:pPr>
            <w:r w:rsidRPr="00231C30">
              <w:rPr>
                <w:rFonts w:asciiTheme="minorHAnsi" w:hAnsiTheme="minorHAnsi"/>
                <w:color w:val="000000"/>
                <w:szCs w:val="20"/>
              </w:rPr>
              <w:t>Derby Makwelero</w:t>
            </w:r>
          </w:p>
        </w:tc>
        <w:tc>
          <w:tcPr>
            <w:tcW w:w="3969" w:type="dxa"/>
          </w:tcPr>
          <w:p w:rsidR="00231C30" w:rsidRPr="00231C30" w:rsidRDefault="00231C30" w:rsidP="00231C30">
            <w:pPr>
              <w:spacing w:after="0"/>
              <w:jc w:val="left"/>
              <w:cnfStyle w:val="000000010000" w:firstRow="0" w:lastRow="0" w:firstColumn="0" w:lastColumn="0" w:oddVBand="0" w:evenVBand="0" w:oddHBand="0" w:evenHBand="1" w:firstRowFirstColumn="0" w:firstRowLastColumn="0" w:lastRowFirstColumn="0" w:lastRowLastColumn="0"/>
              <w:rPr>
                <w:rFonts w:asciiTheme="minorHAnsi" w:hAnsiTheme="minorHAnsi"/>
                <w:color w:val="000000"/>
                <w:szCs w:val="20"/>
                <w:lang w:val="en-US"/>
              </w:rPr>
            </w:pPr>
            <w:r w:rsidRPr="00231C30">
              <w:rPr>
                <w:rFonts w:asciiTheme="minorHAnsi" w:hAnsiTheme="minorHAnsi"/>
                <w:color w:val="000000"/>
                <w:szCs w:val="20"/>
                <w:lang w:val="en-US"/>
              </w:rPr>
              <w:t>Ministry of Industry and Trade</w:t>
            </w:r>
          </w:p>
        </w:tc>
        <w:tc>
          <w:tcPr>
            <w:tcW w:w="2368" w:type="dxa"/>
          </w:tcPr>
          <w:p w:rsidR="00231C30" w:rsidRPr="00231C30" w:rsidRDefault="00231C30" w:rsidP="00231C30">
            <w:pPr>
              <w:spacing w:after="0"/>
              <w:jc w:val="left"/>
              <w:cnfStyle w:val="000000010000" w:firstRow="0" w:lastRow="0" w:firstColumn="0" w:lastColumn="0" w:oddVBand="0" w:evenVBand="0" w:oddHBand="0" w:evenHBand="1" w:firstRowFirstColumn="0" w:firstRowLastColumn="0" w:lastRowFirstColumn="0" w:lastRowLastColumn="0"/>
              <w:rPr>
                <w:rFonts w:asciiTheme="minorHAnsi" w:hAnsiTheme="minorHAnsi"/>
                <w:color w:val="000000"/>
                <w:szCs w:val="20"/>
              </w:rPr>
            </w:pPr>
            <w:r w:rsidRPr="00231C30">
              <w:rPr>
                <w:rFonts w:asciiTheme="minorHAnsi" w:hAnsiTheme="minorHAnsi"/>
                <w:color w:val="000000"/>
                <w:szCs w:val="20"/>
              </w:rPr>
              <w:t>Malawi</w:t>
            </w:r>
          </w:p>
        </w:tc>
      </w:tr>
      <w:tr w:rsidR="00231C30" w:rsidRPr="0023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231C30" w:rsidRPr="00231C30" w:rsidRDefault="00231C30" w:rsidP="00231C30">
            <w:pPr>
              <w:spacing w:after="0"/>
              <w:jc w:val="left"/>
              <w:rPr>
                <w:rFonts w:asciiTheme="minorHAnsi" w:hAnsiTheme="minorHAnsi"/>
                <w:color w:val="000000"/>
                <w:szCs w:val="20"/>
              </w:rPr>
            </w:pPr>
            <w:r w:rsidRPr="00231C30">
              <w:rPr>
                <w:rFonts w:asciiTheme="minorHAnsi" w:hAnsiTheme="minorHAnsi"/>
                <w:color w:val="000000"/>
                <w:szCs w:val="20"/>
              </w:rPr>
              <w:t>Magret Sauzande</w:t>
            </w:r>
          </w:p>
        </w:tc>
        <w:tc>
          <w:tcPr>
            <w:tcW w:w="3969" w:type="dxa"/>
          </w:tcPr>
          <w:p w:rsidR="00231C30" w:rsidRPr="00231C30" w:rsidRDefault="00231C30" w:rsidP="00231C30">
            <w:pPr>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Cs w:val="20"/>
                <w:lang w:val="en-US"/>
              </w:rPr>
            </w:pPr>
            <w:r w:rsidRPr="00231C30">
              <w:rPr>
                <w:rFonts w:asciiTheme="minorHAnsi" w:hAnsiTheme="minorHAnsi"/>
                <w:color w:val="000000"/>
                <w:szCs w:val="20"/>
                <w:lang w:val="en-US"/>
              </w:rPr>
              <w:t>Ministry of Industry and Trade</w:t>
            </w:r>
          </w:p>
        </w:tc>
        <w:tc>
          <w:tcPr>
            <w:tcW w:w="2368" w:type="dxa"/>
          </w:tcPr>
          <w:p w:rsidR="00231C30" w:rsidRPr="00231C30" w:rsidRDefault="00231C30" w:rsidP="00231C30">
            <w:pPr>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Cs w:val="20"/>
              </w:rPr>
            </w:pPr>
            <w:r w:rsidRPr="00231C30">
              <w:rPr>
                <w:rFonts w:asciiTheme="minorHAnsi" w:hAnsiTheme="minorHAnsi"/>
                <w:color w:val="000000"/>
                <w:szCs w:val="20"/>
              </w:rPr>
              <w:t>Malawi</w:t>
            </w:r>
          </w:p>
        </w:tc>
      </w:tr>
      <w:tr w:rsidR="00231C30" w:rsidRPr="00231C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231C30" w:rsidRPr="00231C30" w:rsidRDefault="00231C30" w:rsidP="00231C30">
            <w:pPr>
              <w:spacing w:after="0"/>
              <w:jc w:val="left"/>
              <w:rPr>
                <w:rFonts w:asciiTheme="minorHAnsi" w:hAnsiTheme="minorHAnsi"/>
                <w:color w:val="000000"/>
                <w:szCs w:val="20"/>
              </w:rPr>
            </w:pPr>
            <w:r w:rsidRPr="00231C30">
              <w:rPr>
                <w:rFonts w:asciiTheme="minorHAnsi" w:hAnsiTheme="minorHAnsi"/>
                <w:color w:val="000000"/>
                <w:szCs w:val="20"/>
              </w:rPr>
              <w:t xml:space="preserve">Dr. Bernard Chimera </w:t>
            </w:r>
          </w:p>
        </w:tc>
        <w:tc>
          <w:tcPr>
            <w:tcW w:w="3969" w:type="dxa"/>
          </w:tcPr>
          <w:p w:rsidR="00231C30" w:rsidRPr="00231C30" w:rsidRDefault="00231C30" w:rsidP="00231C30">
            <w:pPr>
              <w:spacing w:after="0"/>
              <w:jc w:val="left"/>
              <w:cnfStyle w:val="000000010000" w:firstRow="0" w:lastRow="0" w:firstColumn="0" w:lastColumn="0" w:oddVBand="0" w:evenVBand="0" w:oddHBand="0" w:evenHBand="1" w:firstRowFirstColumn="0" w:firstRowLastColumn="0" w:lastRowFirstColumn="0" w:lastRowLastColumn="0"/>
              <w:rPr>
                <w:rFonts w:asciiTheme="minorHAnsi" w:hAnsiTheme="minorHAnsi"/>
                <w:color w:val="000000"/>
                <w:szCs w:val="20"/>
                <w:lang w:val="en-US"/>
              </w:rPr>
            </w:pPr>
            <w:r w:rsidRPr="00231C30">
              <w:rPr>
                <w:rFonts w:asciiTheme="minorHAnsi" w:hAnsiTheme="minorHAnsi"/>
                <w:color w:val="000000"/>
                <w:szCs w:val="20"/>
                <w:lang w:val="en-US"/>
              </w:rPr>
              <w:t>Min. of Agriculture and Food Security</w:t>
            </w:r>
          </w:p>
        </w:tc>
        <w:tc>
          <w:tcPr>
            <w:tcW w:w="2368" w:type="dxa"/>
          </w:tcPr>
          <w:p w:rsidR="00231C30" w:rsidRPr="00231C30" w:rsidRDefault="00231C30" w:rsidP="00231C30">
            <w:pPr>
              <w:spacing w:after="0"/>
              <w:jc w:val="left"/>
              <w:cnfStyle w:val="000000010000" w:firstRow="0" w:lastRow="0" w:firstColumn="0" w:lastColumn="0" w:oddVBand="0" w:evenVBand="0" w:oddHBand="0" w:evenHBand="1" w:firstRowFirstColumn="0" w:firstRowLastColumn="0" w:lastRowFirstColumn="0" w:lastRowLastColumn="0"/>
              <w:rPr>
                <w:rFonts w:asciiTheme="minorHAnsi" w:hAnsiTheme="minorHAnsi"/>
                <w:color w:val="000000"/>
                <w:szCs w:val="20"/>
              </w:rPr>
            </w:pPr>
            <w:r w:rsidRPr="00231C30">
              <w:rPr>
                <w:rFonts w:asciiTheme="minorHAnsi" w:hAnsiTheme="minorHAnsi"/>
                <w:color w:val="000000"/>
                <w:szCs w:val="20"/>
              </w:rPr>
              <w:t>Malawi</w:t>
            </w:r>
          </w:p>
        </w:tc>
      </w:tr>
      <w:tr w:rsidR="00231C30" w:rsidRPr="0023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231C30" w:rsidRPr="00231C30" w:rsidRDefault="00231C30" w:rsidP="00231C30">
            <w:pPr>
              <w:spacing w:after="0"/>
              <w:jc w:val="left"/>
              <w:rPr>
                <w:rFonts w:asciiTheme="minorHAnsi" w:hAnsiTheme="minorHAnsi"/>
                <w:color w:val="000000"/>
                <w:szCs w:val="20"/>
              </w:rPr>
            </w:pPr>
            <w:r w:rsidRPr="00231C30">
              <w:rPr>
                <w:rFonts w:asciiTheme="minorHAnsi" w:hAnsiTheme="minorHAnsi"/>
                <w:color w:val="000000"/>
                <w:szCs w:val="20"/>
              </w:rPr>
              <w:t>Humphrey Masuku</w:t>
            </w:r>
          </w:p>
        </w:tc>
        <w:tc>
          <w:tcPr>
            <w:tcW w:w="3969" w:type="dxa"/>
          </w:tcPr>
          <w:p w:rsidR="00231C30" w:rsidRPr="00231C30" w:rsidRDefault="00231C30" w:rsidP="00231C30">
            <w:pPr>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Cs w:val="20"/>
                <w:lang w:val="en-US"/>
              </w:rPr>
            </w:pPr>
            <w:r w:rsidRPr="00231C30">
              <w:rPr>
                <w:rFonts w:asciiTheme="minorHAnsi" w:hAnsiTheme="minorHAnsi"/>
                <w:color w:val="000000"/>
                <w:szCs w:val="20"/>
                <w:lang w:val="en-US"/>
              </w:rPr>
              <w:t xml:space="preserve">Ministry of Health </w:t>
            </w:r>
          </w:p>
        </w:tc>
        <w:tc>
          <w:tcPr>
            <w:tcW w:w="2368" w:type="dxa"/>
          </w:tcPr>
          <w:p w:rsidR="00231C30" w:rsidRPr="00231C30" w:rsidRDefault="00231C30" w:rsidP="00231C30">
            <w:pPr>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Cs w:val="20"/>
                <w:lang w:val="en-US"/>
              </w:rPr>
            </w:pPr>
            <w:r w:rsidRPr="00231C30">
              <w:rPr>
                <w:rFonts w:asciiTheme="minorHAnsi" w:hAnsiTheme="minorHAnsi"/>
                <w:color w:val="000000"/>
                <w:szCs w:val="20"/>
              </w:rPr>
              <w:t>Malawi</w:t>
            </w:r>
          </w:p>
        </w:tc>
      </w:tr>
      <w:tr w:rsidR="00231C30" w:rsidRPr="00231C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231C30" w:rsidRPr="00231C30" w:rsidRDefault="00231C30" w:rsidP="00231C30">
            <w:pPr>
              <w:spacing w:after="0"/>
              <w:jc w:val="left"/>
              <w:rPr>
                <w:rFonts w:asciiTheme="minorHAnsi" w:hAnsiTheme="minorHAnsi"/>
                <w:szCs w:val="20"/>
                <w:lang w:val="es-ES"/>
              </w:rPr>
            </w:pPr>
            <w:r w:rsidRPr="00231C30">
              <w:rPr>
                <w:rFonts w:asciiTheme="minorHAnsi" w:hAnsiTheme="minorHAnsi"/>
                <w:szCs w:val="20"/>
                <w:lang w:val="es-ES"/>
              </w:rPr>
              <w:t>Dr. Konate Youssouf</w:t>
            </w:r>
          </w:p>
          <w:p w:rsidR="00231C30" w:rsidRPr="00231C30" w:rsidRDefault="00231C30" w:rsidP="00231C30">
            <w:pPr>
              <w:spacing w:after="0"/>
              <w:jc w:val="left"/>
              <w:rPr>
                <w:rFonts w:asciiTheme="minorHAnsi" w:hAnsiTheme="minorHAnsi"/>
                <w:szCs w:val="20"/>
                <w:lang w:val="es-ES"/>
              </w:rPr>
            </w:pPr>
            <w:r w:rsidRPr="00231C30">
              <w:rPr>
                <w:rFonts w:asciiTheme="minorHAnsi" w:hAnsiTheme="minorHAnsi"/>
                <w:szCs w:val="20"/>
                <w:lang w:val="es-ES"/>
              </w:rPr>
              <w:t>Camara A. Mahamoud A</w:t>
            </w:r>
          </w:p>
          <w:p w:rsidR="00231C30" w:rsidRPr="00231C30" w:rsidRDefault="00231C30" w:rsidP="00231C30">
            <w:pPr>
              <w:spacing w:after="0"/>
              <w:jc w:val="left"/>
              <w:rPr>
                <w:rFonts w:asciiTheme="minorHAnsi" w:hAnsiTheme="minorHAnsi"/>
                <w:szCs w:val="20"/>
                <w:lang w:val="es-ES"/>
              </w:rPr>
            </w:pPr>
            <w:r w:rsidRPr="00231C30">
              <w:rPr>
                <w:rFonts w:asciiTheme="minorHAnsi" w:hAnsiTheme="minorHAnsi"/>
                <w:szCs w:val="20"/>
                <w:lang w:val="es-ES"/>
              </w:rPr>
              <w:t xml:space="preserve">Sako Mahamadou </w:t>
            </w:r>
          </w:p>
          <w:p w:rsidR="00231C30" w:rsidRPr="00231C30" w:rsidRDefault="00231C30" w:rsidP="00231C30">
            <w:pPr>
              <w:spacing w:after="0"/>
              <w:jc w:val="left"/>
              <w:rPr>
                <w:rFonts w:asciiTheme="minorHAnsi" w:hAnsiTheme="minorHAnsi"/>
                <w:szCs w:val="20"/>
                <w:lang w:val="es-ES"/>
              </w:rPr>
            </w:pPr>
            <w:r w:rsidRPr="00231C30">
              <w:rPr>
                <w:rFonts w:asciiTheme="minorHAnsi" w:hAnsiTheme="minorHAnsi"/>
                <w:szCs w:val="20"/>
                <w:lang w:val="es-ES"/>
              </w:rPr>
              <w:t>Adama Sangale</w:t>
            </w:r>
          </w:p>
        </w:tc>
        <w:tc>
          <w:tcPr>
            <w:tcW w:w="3969" w:type="dxa"/>
          </w:tcPr>
          <w:p w:rsidR="00231C30" w:rsidRPr="00231C30" w:rsidRDefault="00231C30" w:rsidP="00231C30">
            <w:pPr>
              <w:spacing w:after="0"/>
              <w:jc w:val="left"/>
              <w:cnfStyle w:val="000000010000" w:firstRow="0" w:lastRow="0" w:firstColumn="0" w:lastColumn="0" w:oddVBand="0" w:evenVBand="0" w:oddHBand="0" w:evenHBand="1" w:firstRowFirstColumn="0" w:firstRowLastColumn="0" w:lastRowFirstColumn="0" w:lastRowLastColumn="0"/>
              <w:rPr>
                <w:rFonts w:asciiTheme="minorHAnsi" w:hAnsiTheme="minorHAnsi"/>
                <w:szCs w:val="20"/>
              </w:rPr>
            </w:pPr>
            <w:r w:rsidRPr="00231C30">
              <w:rPr>
                <w:rFonts w:asciiTheme="minorHAnsi" w:hAnsiTheme="minorHAnsi"/>
                <w:szCs w:val="20"/>
              </w:rPr>
              <w:t>National Food Safety Agency</w:t>
            </w:r>
          </w:p>
        </w:tc>
        <w:tc>
          <w:tcPr>
            <w:tcW w:w="2368" w:type="dxa"/>
          </w:tcPr>
          <w:p w:rsidR="00231C30" w:rsidRPr="00231C30" w:rsidRDefault="00231C30" w:rsidP="00231C30">
            <w:pPr>
              <w:spacing w:after="0"/>
              <w:jc w:val="left"/>
              <w:cnfStyle w:val="000000010000" w:firstRow="0" w:lastRow="0" w:firstColumn="0" w:lastColumn="0" w:oddVBand="0" w:evenVBand="0" w:oddHBand="0" w:evenHBand="1" w:firstRowFirstColumn="0" w:firstRowLastColumn="0" w:lastRowFirstColumn="0" w:lastRowLastColumn="0"/>
              <w:rPr>
                <w:rFonts w:asciiTheme="minorHAnsi" w:hAnsiTheme="minorHAnsi"/>
                <w:szCs w:val="20"/>
              </w:rPr>
            </w:pPr>
            <w:r w:rsidRPr="00231C30">
              <w:rPr>
                <w:rFonts w:asciiTheme="minorHAnsi" w:hAnsiTheme="minorHAnsi"/>
                <w:szCs w:val="20"/>
              </w:rPr>
              <w:t>Mali</w:t>
            </w:r>
          </w:p>
        </w:tc>
      </w:tr>
      <w:tr w:rsidR="00231C30" w:rsidRPr="0023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231C30" w:rsidRPr="00231C30" w:rsidRDefault="00231C30" w:rsidP="00231C30">
            <w:pPr>
              <w:spacing w:after="0"/>
              <w:jc w:val="left"/>
              <w:rPr>
                <w:rFonts w:asciiTheme="minorHAnsi" w:hAnsiTheme="minorHAnsi"/>
                <w:szCs w:val="20"/>
              </w:rPr>
            </w:pPr>
            <w:r w:rsidRPr="00231C30">
              <w:rPr>
                <w:rFonts w:asciiTheme="minorHAnsi" w:hAnsiTheme="minorHAnsi"/>
                <w:szCs w:val="20"/>
              </w:rPr>
              <w:t>Pr. Boubacdr Cisse</w:t>
            </w:r>
          </w:p>
        </w:tc>
        <w:tc>
          <w:tcPr>
            <w:tcW w:w="3969" w:type="dxa"/>
          </w:tcPr>
          <w:p w:rsidR="00231C30" w:rsidRPr="00231C30" w:rsidRDefault="00231C30" w:rsidP="00231C30">
            <w:pPr>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p>
        </w:tc>
        <w:tc>
          <w:tcPr>
            <w:tcW w:w="2368" w:type="dxa"/>
          </w:tcPr>
          <w:p w:rsidR="00231C30" w:rsidRPr="00231C30" w:rsidRDefault="00231C30" w:rsidP="00231C30">
            <w:pPr>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231C30">
              <w:rPr>
                <w:rFonts w:asciiTheme="minorHAnsi" w:hAnsiTheme="minorHAnsi"/>
                <w:szCs w:val="20"/>
              </w:rPr>
              <w:t>Mali</w:t>
            </w:r>
          </w:p>
        </w:tc>
      </w:tr>
      <w:tr w:rsidR="00231C30" w:rsidRPr="00231C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231C30" w:rsidRPr="00231C30" w:rsidRDefault="00231C30" w:rsidP="00231C30">
            <w:pPr>
              <w:spacing w:after="0"/>
              <w:jc w:val="left"/>
              <w:rPr>
                <w:rFonts w:asciiTheme="minorHAnsi" w:hAnsiTheme="minorHAnsi"/>
                <w:szCs w:val="20"/>
              </w:rPr>
            </w:pPr>
            <w:r w:rsidRPr="00231C30">
              <w:rPr>
                <w:rFonts w:asciiTheme="minorHAnsi" w:hAnsiTheme="minorHAnsi"/>
                <w:szCs w:val="20"/>
              </w:rPr>
              <w:t>Maiga Abdoulaye Farka</w:t>
            </w:r>
          </w:p>
        </w:tc>
        <w:tc>
          <w:tcPr>
            <w:tcW w:w="3969" w:type="dxa"/>
          </w:tcPr>
          <w:p w:rsidR="00231C30" w:rsidRPr="00231C30" w:rsidRDefault="00231C30" w:rsidP="00231C30">
            <w:pPr>
              <w:spacing w:after="0"/>
              <w:jc w:val="left"/>
              <w:cnfStyle w:val="000000010000" w:firstRow="0" w:lastRow="0" w:firstColumn="0" w:lastColumn="0" w:oddVBand="0" w:evenVBand="0" w:oddHBand="0" w:evenHBand="1" w:firstRowFirstColumn="0" w:firstRowLastColumn="0" w:lastRowFirstColumn="0" w:lastRowLastColumn="0"/>
              <w:rPr>
                <w:rFonts w:asciiTheme="minorHAnsi" w:hAnsiTheme="minorHAnsi"/>
                <w:szCs w:val="20"/>
                <w:lang w:val="fr-FR"/>
              </w:rPr>
            </w:pPr>
            <w:r w:rsidRPr="00231C30">
              <w:rPr>
                <w:rFonts w:asciiTheme="minorHAnsi" w:hAnsiTheme="minorHAnsi"/>
                <w:szCs w:val="20"/>
                <w:lang w:val="fr-FR"/>
              </w:rPr>
              <w:t xml:space="preserve">Division Normalization Director Nationale des Industries </w:t>
            </w:r>
          </w:p>
        </w:tc>
        <w:tc>
          <w:tcPr>
            <w:tcW w:w="2368" w:type="dxa"/>
          </w:tcPr>
          <w:p w:rsidR="00231C30" w:rsidRPr="00231C30" w:rsidRDefault="00231C30" w:rsidP="00231C30">
            <w:pPr>
              <w:spacing w:after="0"/>
              <w:jc w:val="left"/>
              <w:cnfStyle w:val="000000010000" w:firstRow="0" w:lastRow="0" w:firstColumn="0" w:lastColumn="0" w:oddVBand="0" w:evenVBand="0" w:oddHBand="0" w:evenHBand="1" w:firstRowFirstColumn="0" w:firstRowLastColumn="0" w:lastRowFirstColumn="0" w:lastRowLastColumn="0"/>
              <w:rPr>
                <w:rFonts w:asciiTheme="minorHAnsi" w:hAnsiTheme="minorHAnsi"/>
                <w:szCs w:val="20"/>
                <w:lang w:val="fr-FR"/>
              </w:rPr>
            </w:pPr>
            <w:r w:rsidRPr="00231C30">
              <w:rPr>
                <w:rFonts w:asciiTheme="minorHAnsi" w:hAnsiTheme="minorHAnsi"/>
                <w:szCs w:val="20"/>
              </w:rPr>
              <w:t>Mali</w:t>
            </w:r>
          </w:p>
        </w:tc>
      </w:tr>
      <w:tr w:rsidR="00231C30" w:rsidRPr="0023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231C30" w:rsidRPr="00231C30" w:rsidRDefault="00231C30" w:rsidP="00231C30">
            <w:pPr>
              <w:spacing w:after="0"/>
              <w:jc w:val="left"/>
              <w:rPr>
                <w:rFonts w:asciiTheme="minorHAnsi" w:hAnsiTheme="minorHAnsi"/>
                <w:szCs w:val="20"/>
              </w:rPr>
            </w:pPr>
            <w:r w:rsidRPr="00231C30">
              <w:rPr>
                <w:rFonts w:asciiTheme="minorHAnsi" w:hAnsiTheme="minorHAnsi"/>
                <w:szCs w:val="20"/>
              </w:rPr>
              <w:t>Siaka Diallo</w:t>
            </w:r>
          </w:p>
        </w:tc>
        <w:tc>
          <w:tcPr>
            <w:tcW w:w="3969" w:type="dxa"/>
          </w:tcPr>
          <w:p w:rsidR="00231C30" w:rsidRPr="00231C30" w:rsidRDefault="00231C30" w:rsidP="00231C30">
            <w:pPr>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231C30">
              <w:rPr>
                <w:rFonts w:asciiTheme="minorHAnsi" w:hAnsiTheme="minorHAnsi"/>
                <w:szCs w:val="20"/>
              </w:rPr>
              <w:t>Division Promotion deta quality</w:t>
            </w:r>
          </w:p>
        </w:tc>
        <w:tc>
          <w:tcPr>
            <w:tcW w:w="2368" w:type="dxa"/>
          </w:tcPr>
          <w:p w:rsidR="00231C30" w:rsidRPr="00231C30" w:rsidRDefault="00231C30" w:rsidP="00231C30">
            <w:pPr>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231C30">
              <w:rPr>
                <w:rFonts w:asciiTheme="minorHAnsi" w:hAnsiTheme="minorHAnsi"/>
                <w:szCs w:val="20"/>
              </w:rPr>
              <w:t>Mali</w:t>
            </w:r>
          </w:p>
        </w:tc>
      </w:tr>
      <w:tr w:rsidR="00231C30" w:rsidRPr="00231C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231C30" w:rsidRPr="00231C30" w:rsidRDefault="00231C30" w:rsidP="00231C30">
            <w:pPr>
              <w:spacing w:after="0"/>
              <w:jc w:val="left"/>
              <w:rPr>
                <w:rFonts w:asciiTheme="minorHAnsi" w:hAnsiTheme="minorHAnsi"/>
                <w:szCs w:val="20"/>
              </w:rPr>
            </w:pPr>
            <w:r w:rsidRPr="00231C30">
              <w:rPr>
                <w:rFonts w:asciiTheme="minorHAnsi" w:hAnsiTheme="minorHAnsi"/>
                <w:szCs w:val="20"/>
              </w:rPr>
              <w:t>Fraore Malimatou Koni</w:t>
            </w:r>
          </w:p>
        </w:tc>
        <w:tc>
          <w:tcPr>
            <w:tcW w:w="3969" w:type="dxa"/>
          </w:tcPr>
          <w:p w:rsidR="00231C30" w:rsidRPr="00231C30" w:rsidRDefault="00231C30" w:rsidP="00231C30">
            <w:pPr>
              <w:spacing w:after="0"/>
              <w:jc w:val="left"/>
              <w:cnfStyle w:val="000000010000" w:firstRow="0" w:lastRow="0" w:firstColumn="0" w:lastColumn="0" w:oddVBand="0" w:evenVBand="0" w:oddHBand="0" w:evenHBand="1" w:firstRowFirstColumn="0" w:firstRowLastColumn="0" w:lastRowFirstColumn="0" w:lastRowLastColumn="0"/>
              <w:rPr>
                <w:rFonts w:asciiTheme="minorHAnsi" w:hAnsiTheme="minorHAnsi"/>
                <w:szCs w:val="20"/>
              </w:rPr>
            </w:pPr>
            <w:r w:rsidRPr="00231C30">
              <w:rPr>
                <w:rFonts w:asciiTheme="minorHAnsi" w:hAnsiTheme="minorHAnsi"/>
                <w:szCs w:val="20"/>
              </w:rPr>
              <w:t>Chief Service Controle qualite Laboraties Central.</w:t>
            </w:r>
          </w:p>
        </w:tc>
        <w:tc>
          <w:tcPr>
            <w:tcW w:w="2368" w:type="dxa"/>
          </w:tcPr>
          <w:p w:rsidR="00231C30" w:rsidRPr="00231C30" w:rsidRDefault="00231C30" w:rsidP="00231C30">
            <w:pPr>
              <w:spacing w:after="0"/>
              <w:jc w:val="left"/>
              <w:cnfStyle w:val="000000010000" w:firstRow="0" w:lastRow="0" w:firstColumn="0" w:lastColumn="0" w:oddVBand="0" w:evenVBand="0" w:oddHBand="0" w:evenHBand="1" w:firstRowFirstColumn="0" w:firstRowLastColumn="0" w:lastRowFirstColumn="0" w:lastRowLastColumn="0"/>
              <w:rPr>
                <w:rFonts w:asciiTheme="minorHAnsi" w:hAnsiTheme="minorHAnsi"/>
                <w:szCs w:val="20"/>
              </w:rPr>
            </w:pPr>
            <w:r w:rsidRPr="00231C30">
              <w:rPr>
                <w:rFonts w:asciiTheme="minorHAnsi" w:hAnsiTheme="minorHAnsi"/>
                <w:szCs w:val="20"/>
              </w:rPr>
              <w:t>Mali</w:t>
            </w:r>
          </w:p>
        </w:tc>
      </w:tr>
      <w:tr w:rsidR="00231C30" w:rsidRPr="0023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231C30" w:rsidRPr="00231C30" w:rsidRDefault="00231C30" w:rsidP="00231C30">
            <w:pPr>
              <w:spacing w:after="0"/>
              <w:jc w:val="left"/>
              <w:rPr>
                <w:rFonts w:asciiTheme="minorHAnsi" w:hAnsiTheme="minorHAnsi"/>
                <w:szCs w:val="20"/>
              </w:rPr>
            </w:pPr>
            <w:r w:rsidRPr="00231C30">
              <w:rPr>
                <w:rFonts w:asciiTheme="minorHAnsi" w:hAnsiTheme="minorHAnsi"/>
                <w:szCs w:val="20"/>
              </w:rPr>
              <w:t xml:space="preserve">Fana Cantibaly </w:t>
            </w:r>
          </w:p>
        </w:tc>
        <w:tc>
          <w:tcPr>
            <w:tcW w:w="3969" w:type="dxa"/>
          </w:tcPr>
          <w:p w:rsidR="00231C30" w:rsidRPr="00231C30" w:rsidRDefault="00231C30" w:rsidP="00231C30">
            <w:pPr>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0"/>
                <w:lang w:val="it-IT"/>
              </w:rPr>
            </w:pPr>
            <w:r w:rsidRPr="00231C30">
              <w:rPr>
                <w:rFonts w:asciiTheme="minorHAnsi" w:hAnsiTheme="minorHAnsi"/>
                <w:szCs w:val="20"/>
                <w:lang w:val="it-IT"/>
              </w:rPr>
              <w:t>Secretarial permanent de la CNAMM.</w:t>
            </w:r>
          </w:p>
        </w:tc>
        <w:tc>
          <w:tcPr>
            <w:tcW w:w="2368" w:type="dxa"/>
          </w:tcPr>
          <w:p w:rsidR="00231C30" w:rsidRPr="00231C30" w:rsidRDefault="00231C30" w:rsidP="00231C30">
            <w:pPr>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0"/>
                <w:lang w:val="en-US"/>
              </w:rPr>
            </w:pPr>
            <w:r w:rsidRPr="00231C30">
              <w:rPr>
                <w:rFonts w:asciiTheme="minorHAnsi" w:hAnsiTheme="minorHAnsi"/>
                <w:szCs w:val="20"/>
              </w:rPr>
              <w:t>Mali</w:t>
            </w:r>
          </w:p>
        </w:tc>
      </w:tr>
      <w:tr w:rsidR="00231C30" w:rsidRPr="00231C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231C30" w:rsidRPr="00231C30" w:rsidRDefault="00231C30" w:rsidP="00231C30">
            <w:pPr>
              <w:spacing w:after="0"/>
              <w:jc w:val="left"/>
              <w:rPr>
                <w:rFonts w:asciiTheme="minorHAnsi" w:hAnsiTheme="minorHAnsi"/>
                <w:szCs w:val="20"/>
                <w:lang w:val="en-US"/>
              </w:rPr>
            </w:pPr>
            <w:r w:rsidRPr="00231C30">
              <w:rPr>
                <w:rFonts w:asciiTheme="minorHAnsi" w:hAnsiTheme="minorHAnsi"/>
                <w:szCs w:val="20"/>
                <w:lang w:val="en-US"/>
              </w:rPr>
              <w:t>Ms Dorit Nitzan Kaluski</w:t>
            </w:r>
          </w:p>
        </w:tc>
        <w:tc>
          <w:tcPr>
            <w:tcW w:w="3969" w:type="dxa"/>
          </w:tcPr>
          <w:p w:rsidR="00231C30" w:rsidRPr="00231C30" w:rsidRDefault="00231C30" w:rsidP="00231C30">
            <w:pPr>
              <w:spacing w:after="0"/>
              <w:jc w:val="left"/>
              <w:cnfStyle w:val="000000010000" w:firstRow="0" w:lastRow="0" w:firstColumn="0" w:lastColumn="0" w:oddVBand="0" w:evenVBand="0" w:oddHBand="0" w:evenHBand="1" w:firstRowFirstColumn="0" w:firstRowLastColumn="0" w:lastRowFirstColumn="0" w:lastRowLastColumn="0"/>
              <w:rPr>
                <w:rFonts w:asciiTheme="minorHAnsi" w:hAnsiTheme="minorHAnsi"/>
                <w:szCs w:val="20"/>
                <w:lang w:val="en-US"/>
              </w:rPr>
            </w:pPr>
            <w:r w:rsidRPr="00231C30">
              <w:rPr>
                <w:rFonts w:asciiTheme="minorHAnsi" w:hAnsiTheme="minorHAnsi"/>
                <w:szCs w:val="20"/>
                <w:lang w:val="en-US"/>
              </w:rPr>
              <w:t>WHO Country Office Serbia</w:t>
            </w:r>
          </w:p>
        </w:tc>
        <w:tc>
          <w:tcPr>
            <w:tcW w:w="2368" w:type="dxa"/>
          </w:tcPr>
          <w:p w:rsidR="00231C30" w:rsidRPr="00231C30" w:rsidRDefault="00231C30" w:rsidP="00231C30">
            <w:pPr>
              <w:spacing w:after="0"/>
              <w:jc w:val="left"/>
              <w:cnfStyle w:val="000000010000" w:firstRow="0" w:lastRow="0" w:firstColumn="0" w:lastColumn="0" w:oddVBand="0" w:evenVBand="0" w:oddHBand="0" w:evenHBand="1" w:firstRowFirstColumn="0" w:firstRowLastColumn="0" w:lastRowFirstColumn="0" w:lastRowLastColumn="0"/>
              <w:rPr>
                <w:rFonts w:asciiTheme="minorHAnsi" w:hAnsiTheme="minorHAnsi"/>
                <w:szCs w:val="20"/>
                <w:lang w:val="en-US"/>
              </w:rPr>
            </w:pPr>
            <w:r w:rsidRPr="00231C30">
              <w:rPr>
                <w:rFonts w:asciiTheme="minorHAnsi" w:hAnsiTheme="minorHAnsi"/>
                <w:szCs w:val="20"/>
                <w:lang w:val="en-US"/>
              </w:rPr>
              <w:t>Serbia</w:t>
            </w:r>
          </w:p>
        </w:tc>
      </w:tr>
      <w:tr w:rsidR="00231C30" w:rsidRPr="0023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231C30" w:rsidRPr="00231C30" w:rsidRDefault="00231C30" w:rsidP="00231C30">
            <w:pPr>
              <w:spacing w:after="0"/>
              <w:jc w:val="left"/>
              <w:rPr>
                <w:rFonts w:asciiTheme="minorHAnsi" w:hAnsiTheme="minorHAnsi"/>
                <w:szCs w:val="20"/>
                <w:lang w:val="en-US"/>
              </w:rPr>
            </w:pPr>
            <w:r w:rsidRPr="00231C30">
              <w:rPr>
                <w:rFonts w:asciiTheme="minorHAnsi" w:hAnsiTheme="minorHAnsi"/>
                <w:szCs w:val="20"/>
                <w:lang w:val="en-US"/>
              </w:rPr>
              <w:t>Ms Svetlana Mijatovic</w:t>
            </w:r>
          </w:p>
        </w:tc>
        <w:tc>
          <w:tcPr>
            <w:tcW w:w="3969" w:type="dxa"/>
          </w:tcPr>
          <w:p w:rsidR="00231C30" w:rsidRPr="00231C30" w:rsidRDefault="00231C30" w:rsidP="00231C30">
            <w:pPr>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0"/>
                <w:lang w:val="en-US"/>
              </w:rPr>
            </w:pPr>
            <w:r w:rsidRPr="00231C30">
              <w:rPr>
                <w:rFonts w:asciiTheme="minorHAnsi" w:hAnsiTheme="minorHAnsi"/>
                <w:szCs w:val="20"/>
                <w:lang w:val="en-US"/>
              </w:rPr>
              <w:t>Assistant Minister, Ministry of Health</w:t>
            </w:r>
          </w:p>
        </w:tc>
        <w:tc>
          <w:tcPr>
            <w:tcW w:w="2368" w:type="dxa"/>
          </w:tcPr>
          <w:p w:rsidR="00231C30" w:rsidRPr="00231C30" w:rsidRDefault="00231C30" w:rsidP="00231C30">
            <w:pPr>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0"/>
                <w:lang w:val="en-US"/>
              </w:rPr>
            </w:pPr>
            <w:r w:rsidRPr="00231C30">
              <w:rPr>
                <w:rFonts w:asciiTheme="minorHAnsi" w:hAnsiTheme="minorHAnsi"/>
                <w:szCs w:val="20"/>
                <w:lang w:val="en-US"/>
              </w:rPr>
              <w:t>Serbia</w:t>
            </w:r>
          </w:p>
        </w:tc>
      </w:tr>
      <w:tr w:rsidR="00231C30" w:rsidRPr="00231C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231C30" w:rsidRPr="00231C30" w:rsidRDefault="00231C30" w:rsidP="00231C30">
            <w:pPr>
              <w:spacing w:after="0"/>
              <w:jc w:val="left"/>
              <w:rPr>
                <w:rFonts w:asciiTheme="minorHAnsi" w:hAnsiTheme="minorHAnsi"/>
                <w:szCs w:val="20"/>
                <w:lang w:val="en-US"/>
              </w:rPr>
            </w:pPr>
            <w:r w:rsidRPr="00231C30">
              <w:rPr>
                <w:rFonts w:asciiTheme="minorHAnsi" w:hAnsiTheme="minorHAnsi"/>
                <w:szCs w:val="20"/>
                <w:lang w:val="en-US"/>
              </w:rPr>
              <w:t>Mr Branislav Raketic</w:t>
            </w:r>
          </w:p>
          <w:p w:rsidR="00231C30" w:rsidRPr="00231C30" w:rsidRDefault="00231C30" w:rsidP="00231C30">
            <w:pPr>
              <w:spacing w:after="0"/>
              <w:jc w:val="left"/>
              <w:rPr>
                <w:rFonts w:asciiTheme="minorHAnsi" w:hAnsiTheme="minorHAnsi"/>
                <w:szCs w:val="20"/>
                <w:lang w:val="en-US"/>
              </w:rPr>
            </w:pPr>
          </w:p>
        </w:tc>
        <w:tc>
          <w:tcPr>
            <w:tcW w:w="3969" w:type="dxa"/>
          </w:tcPr>
          <w:p w:rsidR="00231C30" w:rsidRPr="00231C30" w:rsidRDefault="00231C30" w:rsidP="00231C30">
            <w:pPr>
              <w:spacing w:after="0"/>
              <w:jc w:val="left"/>
              <w:cnfStyle w:val="000000010000" w:firstRow="0" w:lastRow="0" w:firstColumn="0" w:lastColumn="0" w:oddVBand="0" w:evenVBand="0" w:oddHBand="0" w:evenHBand="1" w:firstRowFirstColumn="0" w:firstRowLastColumn="0" w:lastRowFirstColumn="0" w:lastRowLastColumn="0"/>
              <w:rPr>
                <w:rFonts w:asciiTheme="minorHAnsi" w:hAnsiTheme="minorHAnsi"/>
                <w:szCs w:val="20"/>
                <w:lang w:val="en-US"/>
              </w:rPr>
            </w:pPr>
            <w:r w:rsidRPr="00231C30">
              <w:rPr>
                <w:rFonts w:asciiTheme="minorHAnsi" w:hAnsiTheme="minorHAnsi"/>
                <w:szCs w:val="20"/>
                <w:lang w:val="en-US"/>
              </w:rPr>
              <w:t xml:space="preserve">Ministry of Agriculture, Forestry and Water Management </w:t>
            </w:r>
          </w:p>
        </w:tc>
        <w:tc>
          <w:tcPr>
            <w:tcW w:w="2368" w:type="dxa"/>
          </w:tcPr>
          <w:p w:rsidR="00231C30" w:rsidRPr="00231C30" w:rsidRDefault="00231C30" w:rsidP="00231C30">
            <w:pPr>
              <w:spacing w:after="0"/>
              <w:jc w:val="left"/>
              <w:cnfStyle w:val="000000010000" w:firstRow="0" w:lastRow="0" w:firstColumn="0" w:lastColumn="0" w:oddVBand="0" w:evenVBand="0" w:oddHBand="0" w:evenHBand="1" w:firstRowFirstColumn="0" w:firstRowLastColumn="0" w:lastRowFirstColumn="0" w:lastRowLastColumn="0"/>
              <w:rPr>
                <w:rFonts w:asciiTheme="minorHAnsi" w:hAnsiTheme="minorHAnsi"/>
                <w:szCs w:val="20"/>
                <w:lang w:val="en-US"/>
              </w:rPr>
            </w:pPr>
            <w:r w:rsidRPr="00231C30">
              <w:rPr>
                <w:rFonts w:asciiTheme="minorHAnsi" w:hAnsiTheme="minorHAnsi"/>
                <w:szCs w:val="20"/>
                <w:lang w:val="en-US"/>
              </w:rPr>
              <w:t>Serbia</w:t>
            </w:r>
          </w:p>
        </w:tc>
      </w:tr>
      <w:tr w:rsidR="00231C30" w:rsidRPr="0023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231C30" w:rsidRPr="00231C30" w:rsidRDefault="00231C30" w:rsidP="00231C30">
            <w:pPr>
              <w:spacing w:after="0"/>
              <w:jc w:val="left"/>
              <w:rPr>
                <w:rFonts w:asciiTheme="minorHAnsi" w:hAnsiTheme="minorHAnsi"/>
                <w:szCs w:val="20"/>
                <w:lang w:val="en-US"/>
              </w:rPr>
            </w:pPr>
            <w:r w:rsidRPr="00231C30">
              <w:rPr>
                <w:rFonts w:asciiTheme="minorHAnsi" w:hAnsiTheme="minorHAnsi"/>
                <w:szCs w:val="20"/>
                <w:lang w:val="en-US"/>
              </w:rPr>
              <w:t>Ms Snezana Savcic-Petric</w:t>
            </w:r>
          </w:p>
          <w:p w:rsidR="00231C30" w:rsidRPr="00231C30" w:rsidRDefault="00231C30" w:rsidP="00231C30">
            <w:pPr>
              <w:spacing w:after="0"/>
              <w:jc w:val="left"/>
              <w:rPr>
                <w:rFonts w:asciiTheme="minorHAnsi" w:hAnsiTheme="minorHAnsi"/>
                <w:szCs w:val="20"/>
                <w:lang w:val="en-US"/>
              </w:rPr>
            </w:pPr>
          </w:p>
        </w:tc>
        <w:tc>
          <w:tcPr>
            <w:tcW w:w="3969" w:type="dxa"/>
          </w:tcPr>
          <w:p w:rsidR="00231C30" w:rsidRPr="00231C30" w:rsidRDefault="00231C30" w:rsidP="00231C30">
            <w:pPr>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0"/>
                <w:lang w:val="en-US"/>
              </w:rPr>
            </w:pPr>
            <w:r w:rsidRPr="00231C30">
              <w:rPr>
                <w:rFonts w:asciiTheme="minorHAnsi" w:hAnsiTheme="minorHAnsi"/>
                <w:szCs w:val="20"/>
                <w:lang w:val="en-US"/>
              </w:rPr>
              <w:t>Ministry of Agriculture Forestry and Water Management</w:t>
            </w:r>
          </w:p>
        </w:tc>
        <w:tc>
          <w:tcPr>
            <w:tcW w:w="2368" w:type="dxa"/>
          </w:tcPr>
          <w:p w:rsidR="00231C30" w:rsidRPr="00231C30" w:rsidRDefault="00231C30" w:rsidP="00231C30">
            <w:pPr>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0"/>
                <w:lang w:val="en-US"/>
              </w:rPr>
            </w:pPr>
            <w:r w:rsidRPr="00231C30">
              <w:rPr>
                <w:rFonts w:asciiTheme="minorHAnsi" w:hAnsiTheme="minorHAnsi"/>
                <w:szCs w:val="20"/>
                <w:lang w:val="en-US"/>
              </w:rPr>
              <w:t>Serbia</w:t>
            </w:r>
          </w:p>
        </w:tc>
      </w:tr>
      <w:tr w:rsidR="00231C30" w:rsidRPr="00231C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231C30" w:rsidRPr="00231C30" w:rsidRDefault="00231C30" w:rsidP="00231C30">
            <w:pPr>
              <w:spacing w:after="0"/>
              <w:jc w:val="left"/>
              <w:rPr>
                <w:rFonts w:asciiTheme="minorHAnsi" w:hAnsiTheme="minorHAnsi"/>
                <w:szCs w:val="20"/>
                <w:lang w:val="en-US"/>
              </w:rPr>
            </w:pPr>
            <w:r w:rsidRPr="00231C30">
              <w:rPr>
                <w:rFonts w:asciiTheme="minorHAnsi" w:hAnsiTheme="minorHAnsi"/>
                <w:szCs w:val="20"/>
                <w:lang w:val="en-US"/>
              </w:rPr>
              <w:t>Professor Sava Buncic</w:t>
            </w:r>
          </w:p>
          <w:p w:rsidR="00231C30" w:rsidRPr="00231C30" w:rsidRDefault="00231C30" w:rsidP="00231C30">
            <w:pPr>
              <w:spacing w:after="0"/>
              <w:jc w:val="left"/>
              <w:rPr>
                <w:rFonts w:asciiTheme="minorHAnsi" w:hAnsiTheme="minorHAnsi"/>
                <w:szCs w:val="20"/>
                <w:lang w:val="en-US"/>
              </w:rPr>
            </w:pPr>
          </w:p>
        </w:tc>
        <w:tc>
          <w:tcPr>
            <w:tcW w:w="3969" w:type="dxa"/>
          </w:tcPr>
          <w:p w:rsidR="00231C30" w:rsidRPr="00231C30" w:rsidRDefault="00231C30" w:rsidP="00231C30">
            <w:pPr>
              <w:spacing w:after="0"/>
              <w:jc w:val="left"/>
              <w:cnfStyle w:val="000000010000" w:firstRow="0" w:lastRow="0" w:firstColumn="0" w:lastColumn="0" w:oddVBand="0" w:evenVBand="0" w:oddHBand="0" w:evenHBand="1" w:firstRowFirstColumn="0" w:firstRowLastColumn="0" w:lastRowFirstColumn="0" w:lastRowLastColumn="0"/>
              <w:rPr>
                <w:rFonts w:asciiTheme="minorHAnsi" w:hAnsiTheme="minorHAnsi"/>
                <w:szCs w:val="20"/>
                <w:lang w:val="en-US"/>
              </w:rPr>
            </w:pPr>
            <w:r w:rsidRPr="00231C30">
              <w:rPr>
                <w:rFonts w:asciiTheme="minorHAnsi" w:hAnsiTheme="minorHAnsi"/>
                <w:szCs w:val="20"/>
                <w:lang w:val="en-US"/>
              </w:rPr>
              <w:t>Faculty of Agriculture, University of Novi Sad</w:t>
            </w:r>
          </w:p>
        </w:tc>
        <w:tc>
          <w:tcPr>
            <w:tcW w:w="2368" w:type="dxa"/>
          </w:tcPr>
          <w:p w:rsidR="00231C30" w:rsidRPr="00231C30" w:rsidRDefault="00231C30" w:rsidP="00231C30">
            <w:pPr>
              <w:spacing w:after="0"/>
              <w:jc w:val="left"/>
              <w:cnfStyle w:val="000000010000" w:firstRow="0" w:lastRow="0" w:firstColumn="0" w:lastColumn="0" w:oddVBand="0" w:evenVBand="0" w:oddHBand="0" w:evenHBand="1" w:firstRowFirstColumn="0" w:firstRowLastColumn="0" w:lastRowFirstColumn="0" w:lastRowLastColumn="0"/>
              <w:rPr>
                <w:rFonts w:asciiTheme="minorHAnsi" w:hAnsiTheme="minorHAnsi"/>
                <w:szCs w:val="20"/>
                <w:lang w:val="en-US"/>
              </w:rPr>
            </w:pPr>
            <w:r w:rsidRPr="00231C30">
              <w:rPr>
                <w:rFonts w:asciiTheme="minorHAnsi" w:hAnsiTheme="minorHAnsi"/>
                <w:szCs w:val="20"/>
                <w:lang w:val="en-US"/>
              </w:rPr>
              <w:t>Serbia</w:t>
            </w:r>
          </w:p>
        </w:tc>
      </w:tr>
      <w:tr w:rsidR="00231C30" w:rsidRPr="0023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231C30" w:rsidRPr="00231C30" w:rsidRDefault="00231C30" w:rsidP="00231C30">
            <w:pPr>
              <w:spacing w:after="0"/>
              <w:jc w:val="left"/>
              <w:rPr>
                <w:rFonts w:asciiTheme="minorHAnsi" w:hAnsiTheme="minorHAnsi"/>
                <w:szCs w:val="20"/>
                <w:lang w:val="en-US"/>
              </w:rPr>
            </w:pPr>
            <w:r w:rsidRPr="00231C30">
              <w:rPr>
                <w:rFonts w:asciiTheme="minorHAnsi" w:hAnsiTheme="minorHAnsi"/>
                <w:szCs w:val="20"/>
                <w:lang w:val="en-US"/>
              </w:rPr>
              <w:t>Professor Ivan Stankovic</w:t>
            </w:r>
          </w:p>
          <w:p w:rsidR="00231C30" w:rsidRPr="00231C30" w:rsidRDefault="00231C30" w:rsidP="00231C30">
            <w:pPr>
              <w:spacing w:after="0"/>
              <w:jc w:val="left"/>
              <w:rPr>
                <w:rFonts w:asciiTheme="minorHAnsi" w:hAnsiTheme="minorHAnsi"/>
                <w:szCs w:val="20"/>
                <w:lang w:val="en-US"/>
              </w:rPr>
            </w:pPr>
          </w:p>
        </w:tc>
        <w:tc>
          <w:tcPr>
            <w:tcW w:w="3969" w:type="dxa"/>
          </w:tcPr>
          <w:p w:rsidR="00231C30" w:rsidRPr="00231C30" w:rsidRDefault="00231C30" w:rsidP="00231C30">
            <w:pPr>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0"/>
                <w:lang w:val="en-US"/>
              </w:rPr>
            </w:pPr>
            <w:r w:rsidRPr="00231C30">
              <w:rPr>
                <w:rFonts w:asciiTheme="minorHAnsi" w:hAnsiTheme="minorHAnsi"/>
                <w:szCs w:val="20"/>
                <w:lang w:val="en-US"/>
              </w:rPr>
              <w:t>Faculty of Pharmacy, University of Belgrade</w:t>
            </w:r>
          </w:p>
        </w:tc>
        <w:tc>
          <w:tcPr>
            <w:tcW w:w="2368" w:type="dxa"/>
          </w:tcPr>
          <w:p w:rsidR="00231C30" w:rsidRPr="00231C30" w:rsidRDefault="00231C30" w:rsidP="00231C30">
            <w:pPr>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0"/>
                <w:lang w:val="en-US"/>
              </w:rPr>
            </w:pPr>
            <w:r w:rsidRPr="00231C30">
              <w:rPr>
                <w:rFonts w:asciiTheme="minorHAnsi" w:hAnsiTheme="minorHAnsi"/>
                <w:szCs w:val="20"/>
                <w:lang w:val="en-US"/>
              </w:rPr>
              <w:t>Serbia</w:t>
            </w:r>
          </w:p>
        </w:tc>
      </w:tr>
      <w:tr w:rsidR="00231C30" w:rsidRPr="00231C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231C30" w:rsidRPr="00231C30" w:rsidRDefault="00231C30" w:rsidP="00231C30">
            <w:pPr>
              <w:spacing w:after="0"/>
              <w:jc w:val="left"/>
              <w:rPr>
                <w:rFonts w:asciiTheme="minorHAnsi" w:hAnsiTheme="minorHAnsi"/>
                <w:szCs w:val="20"/>
                <w:lang w:val="en-US"/>
              </w:rPr>
            </w:pPr>
            <w:r w:rsidRPr="00231C30">
              <w:rPr>
                <w:rFonts w:asciiTheme="minorHAnsi" w:hAnsiTheme="minorHAnsi"/>
                <w:szCs w:val="20"/>
                <w:lang w:val="en-US"/>
              </w:rPr>
              <w:t>Mr. Srdjan Stefanovic</w:t>
            </w:r>
          </w:p>
          <w:p w:rsidR="00231C30" w:rsidRPr="00231C30" w:rsidRDefault="00231C30" w:rsidP="00231C30">
            <w:pPr>
              <w:spacing w:after="0"/>
              <w:jc w:val="left"/>
              <w:rPr>
                <w:rFonts w:asciiTheme="minorHAnsi" w:hAnsiTheme="minorHAnsi"/>
                <w:szCs w:val="20"/>
                <w:lang w:val="en-US"/>
              </w:rPr>
            </w:pPr>
          </w:p>
        </w:tc>
        <w:tc>
          <w:tcPr>
            <w:tcW w:w="3969" w:type="dxa"/>
          </w:tcPr>
          <w:p w:rsidR="00231C30" w:rsidRPr="00231C30" w:rsidRDefault="00231C30" w:rsidP="00231C30">
            <w:pPr>
              <w:spacing w:after="0"/>
              <w:jc w:val="left"/>
              <w:cnfStyle w:val="000000010000" w:firstRow="0" w:lastRow="0" w:firstColumn="0" w:lastColumn="0" w:oddVBand="0" w:evenVBand="0" w:oddHBand="0" w:evenHBand="1" w:firstRowFirstColumn="0" w:firstRowLastColumn="0" w:lastRowFirstColumn="0" w:lastRowLastColumn="0"/>
              <w:rPr>
                <w:rFonts w:asciiTheme="minorHAnsi" w:hAnsiTheme="minorHAnsi"/>
                <w:szCs w:val="20"/>
                <w:lang w:val="en-US"/>
              </w:rPr>
            </w:pPr>
            <w:r w:rsidRPr="00231C30">
              <w:rPr>
                <w:rFonts w:asciiTheme="minorHAnsi" w:hAnsiTheme="minorHAnsi"/>
                <w:szCs w:val="20"/>
                <w:lang w:val="en-US"/>
              </w:rPr>
              <w:t>Institute of Meat Hygiene and Technology</w:t>
            </w:r>
          </w:p>
        </w:tc>
        <w:tc>
          <w:tcPr>
            <w:tcW w:w="2368" w:type="dxa"/>
          </w:tcPr>
          <w:p w:rsidR="00231C30" w:rsidRPr="00231C30" w:rsidRDefault="00231C30" w:rsidP="00231C30">
            <w:pPr>
              <w:spacing w:after="0"/>
              <w:jc w:val="left"/>
              <w:cnfStyle w:val="000000010000" w:firstRow="0" w:lastRow="0" w:firstColumn="0" w:lastColumn="0" w:oddVBand="0" w:evenVBand="0" w:oddHBand="0" w:evenHBand="1" w:firstRowFirstColumn="0" w:firstRowLastColumn="0" w:lastRowFirstColumn="0" w:lastRowLastColumn="0"/>
              <w:rPr>
                <w:rFonts w:asciiTheme="minorHAnsi" w:hAnsiTheme="minorHAnsi"/>
                <w:szCs w:val="20"/>
                <w:lang w:val="en-US"/>
              </w:rPr>
            </w:pPr>
            <w:r w:rsidRPr="00231C30">
              <w:rPr>
                <w:rFonts w:asciiTheme="minorHAnsi" w:hAnsiTheme="minorHAnsi"/>
                <w:szCs w:val="20"/>
                <w:lang w:val="en-US"/>
              </w:rPr>
              <w:t>Serbia</w:t>
            </w:r>
          </w:p>
        </w:tc>
      </w:tr>
      <w:tr w:rsidR="00231C30" w:rsidRPr="0023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231C30" w:rsidRPr="00927CF7" w:rsidRDefault="00231C30" w:rsidP="00231C30">
            <w:pPr>
              <w:spacing w:after="0"/>
              <w:jc w:val="left"/>
              <w:rPr>
                <w:rFonts w:asciiTheme="minorHAnsi" w:hAnsiTheme="minorHAnsi"/>
                <w:szCs w:val="20"/>
                <w:lang w:val="en-US"/>
              </w:rPr>
            </w:pPr>
            <w:r w:rsidRPr="00927CF7">
              <w:rPr>
                <w:rFonts w:asciiTheme="minorHAnsi" w:hAnsiTheme="minorHAnsi"/>
                <w:szCs w:val="20"/>
                <w:lang w:val="en-US"/>
              </w:rPr>
              <w:t xml:space="preserve">Dr Somthavy my DG </w:t>
            </w:r>
          </w:p>
          <w:p w:rsidR="00231C30" w:rsidRPr="00927CF7" w:rsidRDefault="00231C30" w:rsidP="00231C30">
            <w:pPr>
              <w:spacing w:after="0"/>
              <w:jc w:val="left"/>
              <w:rPr>
                <w:rFonts w:asciiTheme="minorHAnsi" w:hAnsiTheme="minorHAnsi"/>
                <w:szCs w:val="20"/>
                <w:lang w:val="en-US"/>
              </w:rPr>
            </w:pPr>
            <w:r w:rsidRPr="00927CF7">
              <w:rPr>
                <w:rFonts w:asciiTheme="minorHAnsi" w:hAnsiTheme="minorHAnsi"/>
                <w:szCs w:val="20"/>
                <w:lang w:val="en-US"/>
              </w:rPr>
              <w:t xml:space="preserve">Dr Sivong Sengaloundeth </w:t>
            </w:r>
          </w:p>
          <w:p w:rsidR="00231C30" w:rsidRPr="00927CF7" w:rsidRDefault="00231C30" w:rsidP="00231C30">
            <w:pPr>
              <w:spacing w:after="0"/>
              <w:jc w:val="left"/>
              <w:rPr>
                <w:rFonts w:asciiTheme="minorHAnsi" w:hAnsiTheme="minorHAnsi"/>
                <w:szCs w:val="20"/>
                <w:lang w:val="en-US"/>
              </w:rPr>
            </w:pPr>
            <w:r w:rsidRPr="00927CF7">
              <w:rPr>
                <w:rFonts w:asciiTheme="minorHAnsi" w:hAnsiTheme="minorHAnsi"/>
                <w:szCs w:val="20"/>
                <w:lang w:val="en-US"/>
              </w:rPr>
              <w:t xml:space="preserve">Mrs Vienghxay Vansilalom </w:t>
            </w:r>
          </w:p>
          <w:p w:rsidR="00231C30" w:rsidRPr="00927CF7" w:rsidRDefault="00231C30" w:rsidP="00231C30">
            <w:pPr>
              <w:spacing w:after="0"/>
              <w:jc w:val="left"/>
              <w:rPr>
                <w:rFonts w:asciiTheme="minorHAnsi" w:hAnsiTheme="minorHAnsi"/>
                <w:szCs w:val="20"/>
                <w:lang w:val="en-US"/>
              </w:rPr>
            </w:pPr>
            <w:r w:rsidRPr="00927CF7">
              <w:rPr>
                <w:rFonts w:asciiTheme="minorHAnsi" w:hAnsiTheme="minorHAnsi"/>
                <w:szCs w:val="20"/>
                <w:lang w:val="en-US"/>
              </w:rPr>
              <w:t xml:space="preserve">Dr Mrs Sivilay Naphayvong </w:t>
            </w:r>
          </w:p>
          <w:p w:rsidR="00231C30" w:rsidRPr="00927CF7" w:rsidRDefault="00231C30" w:rsidP="00231C30">
            <w:pPr>
              <w:spacing w:after="0"/>
              <w:jc w:val="left"/>
              <w:rPr>
                <w:rFonts w:asciiTheme="minorHAnsi" w:hAnsiTheme="minorHAnsi"/>
                <w:szCs w:val="20"/>
                <w:lang w:val="en-US"/>
              </w:rPr>
            </w:pPr>
            <w:r w:rsidRPr="00927CF7">
              <w:rPr>
                <w:rFonts w:asciiTheme="minorHAnsi" w:hAnsiTheme="minorHAnsi"/>
                <w:szCs w:val="20"/>
                <w:lang w:val="en-US"/>
              </w:rPr>
              <w:t xml:space="preserve">Dr Thattheva Saphangthong </w:t>
            </w:r>
          </w:p>
          <w:p w:rsidR="00231C30" w:rsidRPr="00927CF7" w:rsidRDefault="00231C30" w:rsidP="00231C30">
            <w:pPr>
              <w:spacing w:after="0"/>
              <w:jc w:val="left"/>
              <w:rPr>
                <w:rFonts w:asciiTheme="minorHAnsi" w:hAnsiTheme="minorHAnsi"/>
                <w:szCs w:val="20"/>
                <w:lang w:val="en-US" w:eastAsia="id-ID"/>
              </w:rPr>
            </w:pPr>
            <w:r w:rsidRPr="00927CF7">
              <w:rPr>
                <w:rFonts w:asciiTheme="minorHAnsi" w:hAnsiTheme="minorHAnsi"/>
                <w:szCs w:val="20"/>
                <w:lang w:val="en-US"/>
              </w:rPr>
              <w:t>Mr Chansay</w:t>
            </w:r>
            <w:r w:rsidRPr="00927CF7">
              <w:rPr>
                <w:rFonts w:asciiTheme="minorHAnsi" w:hAnsiTheme="minorHAnsi"/>
                <w:szCs w:val="20"/>
                <w:lang w:val="en-US" w:eastAsia="id-ID"/>
              </w:rPr>
              <w:t xml:space="preserve"> </w:t>
            </w:r>
          </w:p>
          <w:p w:rsidR="00231C30" w:rsidRPr="00927CF7" w:rsidRDefault="00231C30" w:rsidP="00231C30">
            <w:pPr>
              <w:spacing w:after="0"/>
              <w:jc w:val="left"/>
              <w:rPr>
                <w:rFonts w:asciiTheme="minorHAnsi" w:hAnsiTheme="minorHAnsi"/>
                <w:szCs w:val="20"/>
                <w:lang w:val="en-US"/>
              </w:rPr>
            </w:pPr>
            <w:r w:rsidRPr="00927CF7">
              <w:rPr>
                <w:rFonts w:asciiTheme="minorHAnsi" w:hAnsiTheme="minorHAnsi"/>
                <w:szCs w:val="20"/>
                <w:lang w:val="en-US" w:eastAsia="id-ID"/>
              </w:rPr>
              <w:t xml:space="preserve">Mr Nengsong </w:t>
            </w:r>
            <w:r w:rsidRPr="00927CF7">
              <w:rPr>
                <w:rFonts w:asciiTheme="minorHAnsi" w:hAnsiTheme="minorHAnsi"/>
                <w:szCs w:val="20"/>
                <w:lang w:val="en-US"/>
              </w:rPr>
              <w:t xml:space="preserve"> </w:t>
            </w:r>
          </w:p>
        </w:tc>
        <w:tc>
          <w:tcPr>
            <w:tcW w:w="3969" w:type="dxa"/>
          </w:tcPr>
          <w:p w:rsidR="00231C30" w:rsidRPr="00231C30" w:rsidRDefault="00231C30" w:rsidP="00231C30">
            <w:pPr>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231C30">
              <w:rPr>
                <w:rFonts w:asciiTheme="minorHAnsi" w:hAnsiTheme="minorHAnsi"/>
                <w:szCs w:val="20"/>
              </w:rPr>
              <w:t>Ministry of Health</w:t>
            </w:r>
          </w:p>
        </w:tc>
        <w:tc>
          <w:tcPr>
            <w:tcW w:w="2368" w:type="dxa"/>
          </w:tcPr>
          <w:p w:rsidR="00231C30" w:rsidRPr="00231C30" w:rsidRDefault="00231C30" w:rsidP="00231C30">
            <w:pPr>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0"/>
                <w:lang w:val="en-US"/>
              </w:rPr>
            </w:pPr>
            <w:r w:rsidRPr="00231C30">
              <w:rPr>
                <w:rFonts w:asciiTheme="minorHAnsi" w:hAnsiTheme="minorHAnsi"/>
                <w:szCs w:val="20"/>
                <w:lang w:val="en-US"/>
              </w:rPr>
              <w:t>Laos</w:t>
            </w:r>
          </w:p>
        </w:tc>
      </w:tr>
      <w:tr w:rsidR="00231C30" w:rsidRPr="00231C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231C30" w:rsidRPr="00231C30" w:rsidRDefault="00231C30" w:rsidP="00231C30">
            <w:pPr>
              <w:spacing w:after="0"/>
              <w:jc w:val="left"/>
              <w:rPr>
                <w:rFonts w:asciiTheme="minorHAnsi" w:hAnsiTheme="minorHAnsi"/>
                <w:szCs w:val="20"/>
              </w:rPr>
            </w:pPr>
            <w:r w:rsidRPr="00231C30">
              <w:rPr>
                <w:rFonts w:asciiTheme="minorHAnsi" w:hAnsiTheme="minorHAnsi"/>
                <w:szCs w:val="20"/>
              </w:rPr>
              <w:t>Ms Khamphui Louanglath</w:t>
            </w:r>
          </w:p>
        </w:tc>
        <w:tc>
          <w:tcPr>
            <w:tcW w:w="3969" w:type="dxa"/>
          </w:tcPr>
          <w:p w:rsidR="00231C30" w:rsidRPr="00231C30" w:rsidRDefault="00231C30" w:rsidP="00231C30">
            <w:pPr>
              <w:spacing w:after="0"/>
              <w:jc w:val="left"/>
              <w:cnfStyle w:val="000000010000" w:firstRow="0" w:lastRow="0" w:firstColumn="0" w:lastColumn="0" w:oddVBand="0" w:evenVBand="0" w:oddHBand="0" w:evenHBand="1" w:firstRowFirstColumn="0" w:firstRowLastColumn="0" w:lastRowFirstColumn="0" w:lastRowLastColumn="0"/>
              <w:rPr>
                <w:rFonts w:asciiTheme="minorHAnsi" w:hAnsiTheme="minorHAnsi"/>
                <w:szCs w:val="20"/>
              </w:rPr>
            </w:pPr>
            <w:r w:rsidRPr="00231C30">
              <w:rPr>
                <w:rFonts w:asciiTheme="minorHAnsi" w:hAnsiTheme="minorHAnsi"/>
                <w:szCs w:val="20"/>
              </w:rPr>
              <w:t>Ministry of Agriculture</w:t>
            </w:r>
          </w:p>
        </w:tc>
        <w:tc>
          <w:tcPr>
            <w:tcW w:w="2368" w:type="dxa"/>
          </w:tcPr>
          <w:p w:rsidR="00231C30" w:rsidRPr="00231C30" w:rsidRDefault="00231C30" w:rsidP="00231C30">
            <w:pPr>
              <w:spacing w:after="0"/>
              <w:jc w:val="left"/>
              <w:cnfStyle w:val="000000010000" w:firstRow="0" w:lastRow="0" w:firstColumn="0" w:lastColumn="0" w:oddVBand="0" w:evenVBand="0" w:oddHBand="0" w:evenHBand="1" w:firstRowFirstColumn="0" w:firstRowLastColumn="0" w:lastRowFirstColumn="0" w:lastRowLastColumn="0"/>
              <w:rPr>
                <w:rFonts w:asciiTheme="minorHAnsi" w:hAnsiTheme="minorHAnsi"/>
                <w:szCs w:val="20"/>
                <w:lang w:val="en-US"/>
              </w:rPr>
            </w:pPr>
            <w:r w:rsidRPr="00231C30">
              <w:rPr>
                <w:rFonts w:asciiTheme="minorHAnsi" w:hAnsiTheme="minorHAnsi"/>
                <w:szCs w:val="20"/>
                <w:lang w:val="en-US"/>
              </w:rPr>
              <w:t>Laos</w:t>
            </w:r>
          </w:p>
        </w:tc>
      </w:tr>
      <w:tr w:rsidR="00231C30" w:rsidRPr="0023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231C30" w:rsidRPr="00231C30" w:rsidRDefault="00231C30" w:rsidP="00231C30">
            <w:pPr>
              <w:spacing w:after="0"/>
              <w:jc w:val="left"/>
              <w:rPr>
                <w:rFonts w:asciiTheme="minorHAnsi" w:hAnsiTheme="minorHAnsi"/>
                <w:szCs w:val="20"/>
              </w:rPr>
            </w:pPr>
            <w:r w:rsidRPr="00231C30">
              <w:rPr>
                <w:rFonts w:asciiTheme="minorHAnsi" w:hAnsiTheme="minorHAnsi"/>
                <w:szCs w:val="20"/>
                <w:lang w:eastAsia="id-ID"/>
              </w:rPr>
              <w:t xml:space="preserve"> Mrs Francette Dusan </w:t>
            </w:r>
          </w:p>
        </w:tc>
        <w:tc>
          <w:tcPr>
            <w:tcW w:w="3969" w:type="dxa"/>
          </w:tcPr>
          <w:p w:rsidR="00231C30" w:rsidRPr="00231C30" w:rsidRDefault="00231C30" w:rsidP="00231C30">
            <w:pPr>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0"/>
                <w:lang w:eastAsia="id-ID"/>
              </w:rPr>
            </w:pPr>
            <w:r w:rsidRPr="00231C30">
              <w:rPr>
                <w:rFonts w:asciiTheme="minorHAnsi" w:hAnsiTheme="minorHAnsi"/>
                <w:szCs w:val="20"/>
                <w:lang w:eastAsia="id-ID"/>
              </w:rPr>
              <w:t xml:space="preserve">WHO </w:t>
            </w:r>
          </w:p>
          <w:p w:rsidR="00231C30" w:rsidRPr="00231C30" w:rsidRDefault="00231C30" w:rsidP="00231C30">
            <w:pPr>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p>
        </w:tc>
        <w:tc>
          <w:tcPr>
            <w:tcW w:w="2368" w:type="dxa"/>
          </w:tcPr>
          <w:p w:rsidR="00231C30" w:rsidRPr="00231C30" w:rsidRDefault="00231C30" w:rsidP="00231C30">
            <w:pPr>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0"/>
                <w:lang w:val="en-US"/>
              </w:rPr>
            </w:pPr>
            <w:r w:rsidRPr="00231C30">
              <w:rPr>
                <w:rFonts w:asciiTheme="minorHAnsi" w:hAnsiTheme="minorHAnsi"/>
                <w:szCs w:val="20"/>
                <w:lang w:val="en-US"/>
              </w:rPr>
              <w:t>Laos</w:t>
            </w:r>
          </w:p>
        </w:tc>
      </w:tr>
      <w:tr w:rsidR="00231C30" w:rsidRPr="00231C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231C30" w:rsidRPr="00231C30" w:rsidRDefault="00231C30" w:rsidP="00231C30">
            <w:pPr>
              <w:spacing w:after="0"/>
              <w:jc w:val="left"/>
              <w:rPr>
                <w:rFonts w:asciiTheme="minorHAnsi" w:hAnsiTheme="minorHAnsi"/>
                <w:szCs w:val="20"/>
              </w:rPr>
            </w:pPr>
            <w:r w:rsidRPr="00231C30">
              <w:rPr>
                <w:rFonts w:asciiTheme="minorHAnsi" w:hAnsiTheme="minorHAnsi"/>
                <w:szCs w:val="20"/>
                <w:lang w:eastAsia="id-ID"/>
              </w:rPr>
              <w:t xml:space="preserve">Dr Bounlonh </w:t>
            </w:r>
            <w:r w:rsidRPr="00231C30">
              <w:rPr>
                <w:rFonts w:asciiTheme="minorHAnsi" w:hAnsiTheme="minorHAnsi"/>
                <w:szCs w:val="20"/>
              </w:rPr>
              <w:t xml:space="preserve">Ketsouvannasane </w:t>
            </w:r>
          </w:p>
        </w:tc>
        <w:tc>
          <w:tcPr>
            <w:tcW w:w="3969" w:type="dxa"/>
          </w:tcPr>
          <w:p w:rsidR="00231C30" w:rsidRPr="00231C30" w:rsidRDefault="00231C30" w:rsidP="00231C30">
            <w:pPr>
              <w:spacing w:after="0"/>
              <w:jc w:val="left"/>
              <w:cnfStyle w:val="000000010000" w:firstRow="0" w:lastRow="0" w:firstColumn="0" w:lastColumn="0" w:oddVBand="0" w:evenVBand="0" w:oddHBand="0" w:evenHBand="1" w:firstRowFirstColumn="0" w:firstRowLastColumn="0" w:lastRowFirstColumn="0" w:lastRowLastColumn="0"/>
              <w:rPr>
                <w:rFonts w:asciiTheme="minorHAnsi" w:hAnsiTheme="minorHAnsi"/>
                <w:szCs w:val="20"/>
                <w:lang w:eastAsia="id-ID"/>
              </w:rPr>
            </w:pPr>
            <w:r w:rsidRPr="00231C30">
              <w:rPr>
                <w:rFonts w:asciiTheme="minorHAnsi" w:hAnsiTheme="minorHAnsi"/>
                <w:szCs w:val="20"/>
                <w:lang w:eastAsia="id-ID"/>
              </w:rPr>
              <w:t>WHO</w:t>
            </w:r>
          </w:p>
          <w:p w:rsidR="00231C30" w:rsidRPr="00231C30" w:rsidRDefault="00231C30" w:rsidP="00231C30">
            <w:pPr>
              <w:spacing w:after="0"/>
              <w:jc w:val="left"/>
              <w:cnfStyle w:val="000000010000" w:firstRow="0" w:lastRow="0" w:firstColumn="0" w:lastColumn="0" w:oddVBand="0" w:evenVBand="0" w:oddHBand="0" w:evenHBand="1" w:firstRowFirstColumn="0" w:firstRowLastColumn="0" w:lastRowFirstColumn="0" w:lastRowLastColumn="0"/>
              <w:rPr>
                <w:rFonts w:asciiTheme="minorHAnsi" w:hAnsiTheme="minorHAnsi"/>
                <w:szCs w:val="20"/>
              </w:rPr>
            </w:pPr>
          </w:p>
        </w:tc>
        <w:tc>
          <w:tcPr>
            <w:tcW w:w="2368" w:type="dxa"/>
          </w:tcPr>
          <w:p w:rsidR="00231C30" w:rsidRPr="00231C30" w:rsidRDefault="00231C30" w:rsidP="00231C30">
            <w:pPr>
              <w:spacing w:after="0"/>
              <w:jc w:val="left"/>
              <w:cnfStyle w:val="000000010000" w:firstRow="0" w:lastRow="0" w:firstColumn="0" w:lastColumn="0" w:oddVBand="0" w:evenVBand="0" w:oddHBand="0" w:evenHBand="1" w:firstRowFirstColumn="0" w:firstRowLastColumn="0" w:lastRowFirstColumn="0" w:lastRowLastColumn="0"/>
              <w:rPr>
                <w:rFonts w:asciiTheme="minorHAnsi" w:hAnsiTheme="minorHAnsi"/>
                <w:szCs w:val="20"/>
                <w:lang w:val="en-US"/>
              </w:rPr>
            </w:pPr>
            <w:r w:rsidRPr="00231C30">
              <w:rPr>
                <w:rFonts w:asciiTheme="minorHAnsi" w:hAnsiTheme="minorHAnsi"/>
                <w:szCs w:val="20"/>
                <w:lang w:val="en-US"/>
              </w:rPr>
              <w:t>Laos</w:t>
            </w:r>
          </w:p>
        </w:tc>
      </w:tr>
      <w:tr w:rsidR="00231C30" w:rsidRPr="0023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231C30" w:rsidRPr="00231C30" w:rsidRDefault="00231C30" w:rsidP="00231C30">
            <w:pPr>
              <w:spacing w:after="0"/>
              <w:jc w:val="left"/>
              <w:rPr>
                <w:rFonts w:asciiTheme="minorHAnsi" w:hAnsiTheme="minorHAnsi"/>
                <w:szCs w:val="20"/>
              </w:rPr>
            </w:pPr>
            <w:r w:rsidRPr="00231C30">
              <w:rPr>
                <w:rFonts w:asciiTheme="minorHAnsi" w:hAnsiTheme="minorHAnsi"/>
                <w:szCs w:val="20"/>
              </w:rPr>
              <w:t xml:space="preserve">Dr DONG IL ANN </w:t>
            </w:r>
          </w:p>
        </w:tc>
        <w:tc>
          <w:tcPr>
            <w:tcW w:w="3969" w:type="dxa"/>
          </w:tcPr>
          <w:p w:rsidR="00231C30" w:rsidRPr="00231C30" w:rsidRDefault="00231C30" w:rsidP="00231C30">
            <w:pPr>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231C30">
              <w:rPr>
                <w:rFonts w:asciiTheme="minorHAnsi" w:hAnsiTheme="minorHAnsi"/>
                <w:szCs w:val="20"/>
              </w:rPr>
              <w:t>WHO</w:t>
            </w:r>
          </w:p>
        </w:tc>
        <w:tc>
          <w:tcPr>
            <w:tcW w:w="2368" w:type="dxa"/>
          </w:tcPr>
          <w:p w:rsidR="00231C30" w:rsidRPr="00231C30" w:rsidRDefault="00231C30" w:rsidP="00231C30">
            <w:pPr>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0"/>
                <w:lang w:val="en-US"/>
              </w:rPr>
            </w:pPr>
            <w:r w:rsidRPr="00231C30">
              <w:rPr>
                <w:rFonts w:asciiTheme="minorHAnsi" w:hAnsiTheme="minorHAnsi"/>
                <w:szCs w:val="20"/>
                <w:lang w:val="en-US"/>
              </w:rPr>
              <w:t>Laos</w:t>
            </w:r>
          </w:p>
        </w:tc>
      </w:tr>
      <w:tr w:rsidR="00231C30" w:rsidRPr="00231C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231C30" w:rsidRPr="00231C30" w:rsidRDefault="00231C30" w:rsidP="00231C30">
            <w:pPr>
              <w:spacing w:after="0"/>
              <w:jc w:val="left"/>
              <w:rPr>
                <w:rFonts w:asciiTheme="minorHAnsi" w:hAnsiTheme="minorHAnsi"/>
                <w:szCs w:val="20"/>
                <w:lang w:eastAsia="id-ID"/>
              </w:rPr>
            </w:pPr>
            <w:r w:rsidRPr="00231C30">
              <w:rPr>
                <w:rFonts w:asciiTheme="minorHAnsi" w:hAnsiTheme="minorHAnsi"/>
                <w:szCs w:val="20"/>
              </w:rPr>
              <w:t xml:space="preserve">Mr Jaakko Korpella </w:t>
            </w:r>
          </w:p>
        </w:tc>
        <w:tc>
          <w:tcPr>
            <w:tcW w:w="3969" w:type="dxa"/>
          </w:tcPr>
          <w:p w:rsidR="00231C30" w:rsidRPr="00231C30" w:rsidRDefault="00231C30" w:rsidP="00231C30">
            <w:pPr>
              <w:spacing w:after="0"/>
              <w:jc w:val="left"/>
              <w:cnfStyle w:val="000000010000" w:firstRow="0" w:lastRow="0" w:firstColumn="0" w:lastColumn="0" w:oddVBand="0" w:evenVBand="0" w:oddHBand="0" w:evenHBand="1" w:firstRowFirstColumn="0" w:firstRowLastColumn="0" w:lastRowFirstColumn="0" w:lastRowLastColumn="0"/>
              <w:rPr>
                <w:rFonts w:asciiTheme="minorHAnsi" w:hAnsiTheme="minorHAnsi"/>
                <w:szCs w:val="20"/>
                <w:lang w:eastAsia="id-ID"/>
              </w:rPr>
            </w:pPr>
            <w:r w:rsidRPr="00231C30">
              <w:rPr>
                <w:rFonts w:asciiTheme="minorHAnsi" w:hAnsiTheme="minorHAnsi"/>
                <w:szCs w:val="20"/>
              </w:rPr>
              <w:t xml:space="preserve">FAO </w:t>
            </w:r>
          </w:p>
        </w:tc>
        <w:tc>
          <w:tcPr>
            <w:tcW w:w="2368" w:type="dxa"/>
          </w:tcPr>
          <w:p w:rsidR="00231C30" w:rsidRPr="00231C30" w:rsidRDefault="00231C30" w:rsidP="00231C30">
            <w:pPr>
              <w:spacing w:after="0"/>
              <w:jc w:val="left"/>
              <w:cnfStyle w:val="000000010000" w:firstRow="0" w:lastRow="0" w:firstColumn="0" w:lastColumn="0" w:oddVBand="0" w:evenVBand="0" w:oddHBand="0" w:evenHBand="1" w:firstRowFirstColumn="0" w:firstRowLastColumn="0" w:lastRowFirstColumn="0" w:lastRowLastColumn="0"/>
              <w:rPr>
                <w:rFonts w:asciiTheme="minorHAnsi" w:hAnsiTheme="minorHAnsi"/>
                <w:szCs w:val="20"/>
                <w:lang w:val="en-US"/>
              </w:rPr>
            </w:pPr>
            <w:r w:rsidRPr="00231C30">
              <w:rPr>
                <w:rFonts w:asciiTheme="minorHAnsi" w:hAnsiTheme="minorHAnsi"/>
                <w:szCs w:val="20"/>
                <w:lang w:val="en-US"/>
              </w:rPr>
              <w:t>Laos</w:t>
            </w:r>
          </w:p>
        </w:tc>
      </w:tr>
      <w:tr w:rsidR="00231C30" w:rsidRPr="0023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231C30" w:rsidRPr="00927CF7" w:rsidRDefault="00231C30" w:rsidP="00231C30">
            <w:pPr>
              <w:spacing w:after="0"/>
              <w:jc w:val="left"/>
              <w:rPr>
                <w:rFonts w:asciiTheme="minorHAnsi" w:hAnsiTheme="minorHAnsi"/>
                <w:szCs w:val="20"/>
                <w:lang w:val="es-ES"/>
              </w:rPr>
            </w:pPr>
            <w:r w:rsidRPr="00927CF7">
              <w:rPr>
                <w:rFonts w:asciiTheme="minorHAnsi" w:hAnsiTheme="minorHAnsi"/>
                <w:szCs w:val="20"/>
                <w:lang w:val="es-ES"/>
              </w:rPr>
              <w:t>Ms Rada Tankosic</w:t>
            </w:r>
          </w:p>
          <w:p w:rsidR="00231C30" w:rsidRPr="00927CF7" w:rsidRDefault="00231C30" w:rsidP="00231C30">
            <w:pPr>
              <w:spacing w:after="0"/>
              <w:jc w:val="left"/>
              <w:rPr>
                <w:rFonts w:asciiTheme="minorHAnsi" w:hAnsiTheme="minorHAnsi"/>
                <w:szCs w:val="20"/>
                <w:lang w:val="es-ES"/>
              </w:rPr>
            </w:pPr>
            <w:r w:rsidRPr="00927CF7">
              <w:rPr>
                <w:rFonts w:asciiTheme="minorHAnsi" w:hAnsiTheme="minorHAnsi"/>
                <w:szCs w:val="20"/>
                <w:lang w:val="es-ES"/>
              </w:rPr>
              <w:t>Ms Nada Bursac</w:t>
            </w:r>
          </w:p>
          <w:p w:rsidR="00231C30" w:rsidRPr="00927CF7" w:rsidRDefault="00231C30" w:rsidP="00231C30">
            <w:pPr>
              <w:spacing w:after="0"/>
              <w:jc w:val="left"/>
              <w:rPr>
                <w:rFonts w:asciiTheme="minorHAnsi" w:hAnsiTheme="minorHAnsi"/>
                <w:szCs w:val="20"/>
              </w:rPr>
            </w:pPr>
            <w:r w:rsidRPr="00927CF7">
              <w:rPr>
                <w:rFonts w:asciiTheme="minorHAnsi" w:hAnsiTheme="minorHAnsi"/>
                <w:szCs w:val="20"/>
              </w:rPr>
              <w:t>Ms. Nada Andrić</w:t>
            </w:r>
          </w:p>
          <w:p w:rsidR="00231C30" w:rsidRPr="00927CF7" w:rsidRDefault="00231C30" w:rsidP="00231C30">
            <w:pPr>
              <w:spacing w:after="0"/>
              <w:jc w:val="left"/>
              <w:rPr>
                <w:rFonts w:asciiTheme="minorHAnsi" w:hAnsiTheme="minorHAnsi"/>
                <w:b/>
                <w:bCs w:val="0"/>
                <w:szCs w:val="20"/>
              </w:rPr>
            </w:pPr>
            <w:r w:rsidRPr="00927CF7">
              <w:rPr>
                <w:rFonts w:asciiTheme="minorHAnsi" w:hAnsiTheme="minorHAnsi"/>
                <w:szCs w:val="20"/>
              </w:rPr>
              <w:t>Ms. Slobodanka Tolic</w:t>
            </w:r>
          </w:p>
          <w:p w:rsidR="00231C30" w:rsidRPr="00231C30" w:rsidRDefault="00231C30" w:rsidP="00231C30">
            <w:pPr>
              <w:spacing w:after="0"/>
              <w:jc w:val="left"/>
              <w:rPr>
                <w:rFonts w:asciiTheme="minorHAnsi" w:hAnsiTheme="minorHAnsi"/>
                <w:szCs w:val="20"/>
                <w:lang w:val="en-US"/>
              </w:rPr>
            </w:pPr>
            <w:r w:rsidRPr="00231C30">
              <w:rPr>
                <w:rFonts w:asciiTheme="minorHAnsi" w:hAnsiTheme="minorHAnsi"/>
                <w:szCs w:val="20"/>
                <w:lang w:val="en-US"/>
              </w:rPr>
              <w:t>Ms. Ljubica Petrovic</w:t>
            </w:r>
          </w:p>
          <w:p w:rsidR="00231C30" w:rsidRPr="00231C30" w:rsidRDefault="00231C30" w:rsidP="00231C30">
            <w:pPr>
              <w:spacing w:after="0"/>
              <w:jc w:val="left"/>
              <w:rPr>
                <w:rFonts w:asciiTheme="minorHAnsi" w:hAnsiTheme="minorHAnsi"/>
                <w:szCs w:val="20"/>
                <w:lang w:val="en-US"/>
              </w:rPr>
            </w:pPr>
            <w:r w:rsidRPr="00231C30">
              <w:rPr>
                <w:rFonts w:asciiTheme="minorHAnsi" w:hAnsiTheme="minorHAnsi"/>
                <w:szCs w:val="20"/>
                <w:lang w:val="en-US"/>
              </w:rPr>
              <w:t>Mr. Ivan Krstic</w:t>
            </w:r>
          </w:p>
        </w:tc>
        <w:tc>
          <w:tcPr>
            <w:tcW w:w="3969" w:type="dxa"/>
          </w:tcPr>
          <w:p w:rsidR="00231C30" w:rsidRPr="00231C30" w:rsidRDefault="00231C30" w:rsidP="00231C30">
            <w:pPr>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0"/>
                <w:lang w:val="en-US"/>
              </w:rPr>
            </w:pPr>
            <w:r w:rsidRPr="00231C30">
              <w:rPr>
                <w:rFonts w:asciiTheme="minorHAnsi" w:hAnsiTheme="minorHAnsi"/>
                <w:szCs w:val="20"/>
                <w:lang w:val="en-US"/>
              </w:rPr>
              <w:t>Institute for Standardization of Serbia</w:t>
            </w:r>
          </w:p>
          <w:p w:rsidR="00231C30" w:rsidRPr="00231C30" w:rsidRDefault="00231C30" w:rsidP="00231C30">
            <w:pPr>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0"/>
                <w:lang w:val="en-US"/>
              </w:rPr>
            </w:pPr>
          </w:p>
        </w:tc>
        <w:tc>
          <w:tcPr>
            <w:tcW w:w="2368" w:type="dxa"/>
          </w:tcPr>
          <w:p w:rsidR="00231C30" w:rsidRPr="00231C30" w:rsidRDefault="00231C30" w:rsidP="00231C30">
            <w:pPr>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0"/>
                <w:lang w:val="en-US"/>
              </w:rPr>
            </w:pPr>
            <w:r w:rsidRPr="00231C30">
              <w:rPr>
                <w:rFonts w:asciiTheme="minorHAnsi" w:hAnsiTheme="minorHAnsi"/>
                <w:szCs w:val="20"/>
                <w:lang w:val="en-US"/>
              </w:rPr>
              <w:t>Serbia</w:t>
            </w:r>
          </w:p>
        </w:tc>
      </w:tr>
      <w:tr w:rsidR="008543B2" w:rsidRPr="00231C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8543B2" w:rsidRPr="00231C30" w:rsidRDefault="008543B2" w:rsidP="00BC6B07">
            <w:pPr>
              <w:spacing w:after="0"/>
              <w:jc w:val="left"/>
              <w:rPr>
                <w:rFonts w:asciiTheme="minorHAnsi" w:hAnsiTheme="minorHAnsi"/>
                <w:szCs w:val="20"/>
                <w:lang w:val="en-US"/>
              </w:rPr>
            </w:pPr>
            <w:r>
              <w:rPr>
                <w:rFonts w:asciiTheme="minorHAnsi" w:hAnsiTheme="minorHAnsi"/>
                <w:szCs w:val="20"/>
                <w:lang w:val="en-US"/>
              </w:rPr>
              <w:t>Mr Nadhif Mabrouk</w:t>
            </w:r>
          </w:p>
        </w:tc>
        <w:tc>
          <w:tcPr>
            <w:tcW w:w="3969" w:type="dxa"/>
          </w:tcPr>
          <w:p w:rsidR="008543B2" w:rsidRPr="00231C30" w:rsidRDefault="008543B2" w:rsidP="00BC6B07">
            <w:pPr>
              <w:spacing w:after="0"/>
              <w:jc w:val="left"/>
              <w:cnfStyle w:val="000000010000" w:firstRow="0" w:lastRow="0" w:firstColumn="0" w:lastColumn="0" w:oddVBand="0" w:evenVBand="0" w:oddHBand="0" w:evenHBand="1" w:firstRowFirstColumn="0" w:firstRowLastColumn="0" w:lastRowFirstColumn="0" w:lastRowLastColumn="0"/>
              <w:rPr>
                <w:rFonts w:asciiTheme="minorHAnsi" w:hAnsiTheme="minorHAnsi"/>
                <w:szCs w:val="20"/>
                <w:lang w:val="en-US"/>
              </w:rPr>
            </w:pPr>
            <w:r>
              <w:rPr>
                <w:rFonts w:asciiTheme="minorHAnsi" w:hAnsiTheme="minorHAnsi"/>
                <w:szCs w:val="20"/>
                <w:lang w:val="en-US"/>
              </w:rPr>
              <w:t>Ministry of Health</w:t>
            </w:r>
          </w:p>
        </w:tc>
        <w:tc>
          <w:tcPr>
            <w:tcW w:w="2368" w:type="dxa"/>
          </w:tcPr>
          <w:p w:rsidR="008543B2" w:rsidRPr="00231C30" w:rsidRDefault="000207AC" w:rsidP="00BC6B07">
            <w:pPr>
              <w:spacing w:after="0"/>
              <w:jc w:val="left"/>
              <w:cnfStyle w:val="000000010000" w:firstRow="0" w:lastRow="0" w:firstColumn="0" w:lastColumn="0" w:oddVBand="0" w:evenVBand="0" w:oddHBand="0" w:evenHBand="1" w:firstRowFirstColumn="0" w:firstRowLastColumn="0" w:lastRowFirstColumn="0" w:lastRowLastColumn="0"/>
              <w:rPr>
                <w:rFonts w:asciiTheme="minorHAnsi" w:hAnsiTheme="minorHAnsi"/>
                <w:szCs w:val="20"/>
                <w:lang w:val="en-US"/>
              </w:rPr>
            </w:pPr>
            <w:r w:rsidRPr="000207AC">
              <w:rPr>
                <w:rFonts w:asciiTheme="minorHAnsi" w:hAnsiTheme="minorHAnsi"/>
                <w:szCs w:val="20"/>
                <w:lang w:val="en-US"/>
              </w:rPr>
              <w:t>Tunisia</w:t>
            </w:r>
          </w:p>
        </w:tc>
      </w:tr>
      <w:tr w:rsidR="0044711F" w:rsidRPr="0023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44711F" w:rsidRDefault="0044711F" w:rsidP="00BC6B07">
            <w:pPr>
              <w:spacing w:after="0"/>
              <w:jc w:val="left"/>
              <w:rPr>
                <w:rFonts w:asciiTheme="minorHAnsi" w:hAnsiTheme="minorHAnsi"/>
                <w:szCs w:val="20"/>
                <w:lang w:val="en-US"/>
              </w:rPr>
            </w:pPr>
            <w:r>
              <w:rPr>
                <w:rFonts w:asciiTheme="minorHAnsi" w:hAnsiTheme="minorHAnsi"/>
                <w:szCs w:val="20"/>
                <w:lang w:val="en-US"/>
              </w:rPr>
              <w:t>Mr. H’mad Zakaria</w:t>
            </w:r>
          </w:p>
        </w:tc>
        <w:tc>
          <w:tcPr>
            <w:tcW w:w="3969" w:type="dxa"/>
          </w:tcPr>
          <w:p w:rsidR="0044711F" w:rsidRDefault="0044711F" w:rsidP="00BC6B07">
            <w:pPr>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0"/>
                <w:lang w:val="en-US"/>
              </w:rPr>
            </w:pPr>
            <w:r>
              <w:rPr>
                <w:rFonts w:asciiTheme="minorHAnsi" w:hAnsiTheme="minorHAnsi"/>
                <w:szCs w:val="20"/>
                <w:lang w:val="en-US"/>
              </w:rPr>
              <w:t>Ministry of Industries</w:t>
            </w:r>
          </w:p>
        </w:tc>
        <w:tc>
          <w:tcPr>
            <w:tcW w:w="2368" w:type="dxa"/>
          </w:tcPr>
          <w:p w:rsidR="0044711F" w:rsidRPr="00231C30" w:rsidRDefault="0044711F" w:rsidP="00BC6B07">
            <w:pPr>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0"/>
                <w:highlight w:val="yellow"/>
                <w:lang w:val="en-US"/>
              </w:rPr>
            </w:pPr>
            <w:r w:rsidRPr="007C1F6B">
              <w:rPr>
                <w:rFonts w:asciiTheme="minorHAnsi" w:hAnsiTheme="minorHAnsi"/>
                <w:szCs w:val="20"/>
                <w:lang w:val="en-US"/>
              </w:rPr>
              <w:t>Tunisia</w:t>
            </w:r>
          </w:p>
        </w:tc>
      </w:tr>
      <w:tr w:rsidR="0044711F" w:rsidRPr="00B536F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44711F" w:rsidRDefault="0044711F" w:rsidP="00BC6B07">
            <w:pPr>
              <w:spacing w:after="0"/>
              <w:jc w:val="left"/>
              <w:rPr>
                <w:rFonts w:asciiTheme="minorHAnsi" w:hAnsiTheme="minorHAnsi"/>
                <w:szCs w:val="20"/>
                <w:lang w:val="en-US"/>
              </w:rPr>
            </w:pPr>
            <w:r>
              <w:rPr>
                <w:rFonts w:asciiTheme="minorHAnsi" w:hAnsiTheme="minorHAnsi"/>
                <w:szCs w:val="20"/>
                <w:lang w:val="en-US"/>
              </w:rPr>
              <w:t>Mr. Mohamed Aouin</w:t>
            </w:r>
          </w:p>
        </w:tc>
        <w:tc>
          <w:tcPr>
            <w:tcW w:w="3969" w:type="dxa"/>
          </w:tcPr>
          <w:p w:rsidR="0044711F" w:rsidRDefault="0044711F" w:rsidP="00BC6B07">
            <w:pPr>
              <w:spacing w:after="0"/>
              <w:jc w:val="left"/>
              <w:cnfStyle w:val="000000010000" w:firstRow="0" w:lastRow="0" w:firstColumn="0" w:lastColumn="0" w:oddVBand="0" w:evenVBand="0" w:oddHBand="0" w:evenHBand="1" w:firstRowFirstColumn="0" w:firstRowLastColumn="0" w:lastRowFirstColumn="0" w:lastRowLastColumn="0"/>
              <w:rPr>
                <w:rFonts w:asciiTheme="minorHAnsi" w:hAnsiTheme="minorHAnsi"/>
                <w:szCs w:val="20"/>
                <w:lang w:val="en-US"/>
              </w:rPr>
            </w:pPr>
            <w:r>
              <w:rPr>
                <w:rFonts w:asciiTheme="minorHAnsi" w:hAnsiTheme="minorHAnsi"/>
                <w:szCs w:val="20"/>
                <w:lang w:val="en-US"/>
              </w:rPr>
              <w:t>Director of Quality, Ministry of  Commerce</w:t>
            </w:r>
          </w:p>
        </w:tc>
        <w:tc>
          <w:tcPr>
            <w:tcW w:w="2368" w:type="dxa"/>
          </w:tcPr>
          <w:p w:rsidR="0044711F" w:rsidRPr="00231C30" w:rsidRDefault="0044711F" w:rsidP="00BC6B07">
            <w:pPr>
              <w:spacing w:after="0"/>
              <w:jc w:val="left"/>
              <w:cnfStyle w:val="000000010000" w:firstRow="0" w:lastRow="0" w:firstColumn="0" w:lastColumn="0" w:oddVBand="0" w:evenVBand="0" w:oddHBand="0" w:evenHBand="1" w:firstRowFirstColumn="0" w:firstRowLastColumn="0" w:lastRowFirstColumn="0" w:lastRowLastColumn="0"/>
              <w:rPr>
                <w:rFonts w:asciiTheme="minorHAnsi" w:hAnsiTheme="minorHAnsi"/>
                <w:szCs w:val="20"/>
                <w:highlight w:val="yellow"/>
                <w:lang w:val="en-US"/>
              </w:rPr>
            </w:pPr>
            <w:r w:rsidRPr="007C1F6B">
              <w:rPr>
                <w:rFonts w:asciiTheme="minorHAnsi" w:hAnsiTheme="minorHAnsi"/>
                <w:szCs w:val="20"/>
                <w:lang w:val="en-US"/>
              </w:rPr>
              <w:t>Tunisia</w:t>
            </w:r>
          </w:p>
        </w:tc>
      </w:tr>
      <w:tr w:rsidR="0044711F" w:rsidRPr="00B536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44711F" w:rsidRDefault="0044711F" w:rsidP="00BC6B07">
            <w:pPr>
              <w:spacing w:after="0"/>
              <w:jc w:val="left"/>
              <w:rPr>
                <w:rFonts w:asciiTheme="minorHAnsi" w:hAnsiTheme="minorHAnsi"/>
                <w:szCs w:val="20"/>
                <w:lang w:val="en-US"/>
              </w:rPr>
            </w:pPr>
            <w:r>
              <w:rPr>
                <w:rFonts w:asciiTheme="minorHAnsi" w:hAnsiTheme="minorHAnsi"/>
                <w:szCs w:val="20"/>
                <w:lang w:val="en-US"/>
              </w:rPr>
              <w:t>Mr. Said Abdelfattah</w:t>
            </w:r>
          </w:p>
        </w:tc>
        <w:tc>
          <w:tcPr>
            <w:tcW w:w="3969" w:type="dxa"/>
          </w:tcPr>
          <w:p w:rsidR="0044711F" w:rsidRDefault="0044711F" w:rsidP="00BC6B07">
            <w:pPr>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0"/>
                <w:lang w:val="en-US"/>
              </w:rPr>
            </w:pPr>
            <w:r>
              <w:rPr>
                <w:rFonts w:asciiTheme="minorHAnsi" w:hAnsiTheme="minorHAnsi"/>
                <w:szCs w:val="20"/>
                <w:lang w:val="en-US"/>
              </w:rPr>
              <w:t>Under-director agriculture and water resources</w:t>
            </w:r>
          </w:p>
        </w:tc>
        <w:tc>
          <w:tcPr>
            <w:tcW w:w="2368" w:type="dxa"/>
          </w:tcPr>
          <w:p w:rsidR="0044711F" w:rsidRPr="00231C30" w:rsidRDefault="0044711F" w:rsidP="00BC6B07">
            <w:pPr>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0"/>
                <w:highlight w:val="yellow"/>
                <w:lang w:val="en-US"/>
              </w:rPr>
            </w:pPr>
            <w:r w:rsidRPr="007C1F6B">
              <w:rPr>
                <w:rFonts w:asciiTheme="minorHAnsi" w:hAnsiTheme="minorHAnsi"/>
                <w:szCs w:val="20"/>
                <w:lang w:val="en-US"/>
              </w:rPr>
              <w:t>Tunisia</w:t>
            </w:r>
          </w:p>
        </w:tc>
      </w:tr>
      <w:tr w:rsidR="0044711F" w:rsidRPr="00231C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44711F" w:rsidRDefault="0044711F" w:rsidP="00BC6B07">
            <w:pPr>
              <w:spacing w:after="0"/>
              <w:jc w:val="left"/>
              <w:rPr>
                <w:rFonts w:asciiTheme="minorHAnsi" w:hAnsiTheme="minorHAnsi"/>
                <w:szCs w:val="20"/>
                <w:lang w:val="en-US"/>
              </w:rPr>
            </w:pPr>
            <w:r>
              <w:rPr>
                <w:rFonts w:asciiTheme="minorHAnsi" w:hAnsiTheme="minorHAnsi"/>
                <w:szCs w:val="20"/>
                <w:lang w:val="en-US"/>
              </w:rPr>
              <w:lastRenderedPageBreak/>
              <w:t>Dr. Ibrahim M. Abdelrahim</w:t>
            </w:r>
          </w:p>
        </w:tc>
        <w:tc>
          <w:tcPr>
            <w:tcW w:w="3969" w:type="dxa"/>
          </w:tcPr>
          <w:p w:rsidR="0044711F" w:rsidRDefault="0044711F" w:rsidP="00BC6B07">
            <w:pPr>
              <w:spacing w:after="0"/>
              <w:jc w:val="left"/>
              <w:cnfStyle w:val="000000010000" w:firstRow="0" w:lastRow="0" w:firstColumn="0" w:lastColumn="0" w:oddVBand="0" w:evenVBand="0" w:oddHBand="0" w:evenHBand="1" w:firstRowFirstColumn="0" w:firstRowLastColumn="0" w:lastRowFirstColumn="0" w:lastRowLastColumn="0"/>
              <w:rPr>
                <w:rFonts w:asciiTheme="minorHAnsi" w:hAnsiTheme="minorHAnsi"/>
                <w:szCs w:val="20"/>
                <w:lang w:val="en-US"/>
              </w:rPr>
            </w:pPr>
            <w:r>
              <w:rPr>
                <w:rFonts w:asciiTheme="minorHAnsi" w:hAnsiTheme="minorHAnsi"/>
                <w:szCs w:val="20"/>
                <w:lang w:val="en-US"/>
              </w:rPr>
              <w:t>WHO</w:t>
            </w:r>
          </w:p>
        </w:tc>
        <w:tc>
          <w:tcPr>
            <w:tcW w:w="2368" w:type="dxa"/>
          </w:tcPr>
          <w:p w:rsidR="0044711F" w:rsidRPr="00231C30" w:rsidRDefault="0044711F" w:rsidP="00BC6B07">
            <w:pPr>
              <w:spacing w:after="0"/>
              <w:jc w:val="left"/>
              <w:cnfStyle w:val="000000010000" w:firstRow="0" w:lastRow="0" w:firstColumn="0" w:lastColumn="0" w:oddVBand="0" w:evenVBand="0" w:oddHBand="0" w:evenHBand="1" w:firstRowFirstColumn="0" w:firstRowLastColumn="0" w:lastRowFirstColumn="0" w:lastRowLastColumn="0"/>
              <w:rPr>
                <w:rFonts w:asciiTheme="minorHAnsi" w:hAnsiTheme="minorHAnsi"/>
                <w:szCs w:val="20"/>
                <w:highlight w:val="yellow"/>
                <w:lang w:val="en-US"/>
              </w:rPr>
            </w:pPr>
            <w:r w:rsidRPr="007C1F6B">
              <w:rPr>
                <w:rFonts w:asciiTheme="minorHAnsi" w:hAnsiTheme="minorHAnsi"/>
                <w:szCs w:val="20"/>
                <w:lang w:val="en-US"/>
              </w:rPr>
              <w:t>Tunisia</w:t>
            </w:r>
          </w:p>
        </w:tc>
      </w:tr>
      <w:tr w:rsidR="0044711F" w:rsidRPr="0023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44711F" w:rsidRDefault="0044711F" w:rsidP="00BC6B07">
            <w:pPr>
              <w:spacing w:after="0"/>
              <w:jc w:val="left"/>
              <w:rPr>
                <w:rFonts w:asciiTheme="minorHAnsi" w:hAnsiTheme="minorHAnsi"/>
                <w:szCs w:val="20"/>
                <w:lang w:val="en-US"/>
              </w:rPr>
            </w:pPr>
            <w:r>
              <w:rPr>
                <w:rFonts w:asciiTheme="minorHAnsi" w:hAnsiTheme="minorHAnsi"/>
                <w:szCs w:val="20"/>
                <w:lang w:val="en-US"/>
              </w:rPr>
              <w:t xml:space="preserve">Mr. Mohamed Chokri Rejeb </w:t>
            </w:r>
          </w:p>
        </w:tc>
        <w:tc>
          <w:tcPr>
            <w:tcW w:w="3969" w:type="dxa"/>
          </w:tcPr>
          <w:p w:rsidR="0044711F" w:rsidRDefault="0044711F" w:rsidP="00BC6B07">
            <w:pPr>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0"/>
                <w:lang w:val="en-US"/>
              </w:rPr>
            </w:pPr>
            <w:r>
              <w:rPr>
                <w:rFonts w:asciiTheme="minorHAnsi" w:hAnsiTheme="minorHAnsi"/>
                <w:szCs w:val="20"/>
                <w:lang w:val="en-US"/>
              </w:rPr>
              <w:t>Dirctor General CTAA</w:t>
            </w:r>
          </w:p>
        </w:tc>
        <w:tc>
          <w:tcPr>
            <w:tcW w:w="2368" w:type="dxa"/>
          </w:tcPr>
          <w:p w:rsidR="0044711F" w:rsidRPr="00231C30" w:rsidRDefault="0044711F" w:rsidP="00BC6B07">
            <w:pPr>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0"/>
                <w:highlight w:val="yellow"/>
                <w:lang w:val="en-US"/>
              </w:rPr>
            </w:pPr>
            <w:r w:rsidRPr="007C1F6B">
              <w:rPr>
                <w:rFonts w:asciiTheme="minorHAnsi" w:hAnsiTheme="minorHAnsi"/>
                <w:szCs w:val="20"/>
                <w:lang w:val="en-US"/>
              </w:rPr>
              <w:t>Tunisia</w:t>
            </w:r>
          </w:p>
        </w:tc>
      </w:tr>
      <w:tr w:rsidR="0044711F" w:rsidRPr="00231C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44711F" w:rsidRDefault="0044711F" w:rsidP="00BC6B07">
            <w:pPr>
              <w:spacing w:after="0"/>
              <w:jc w:val="left"/>
              <w:rPr>
                <w:rFonts w:asciiTheme="minorHAnsi" w:hAnsiTheme="minorHAnsi"/>
                <w:szCs w:val="20"/>
                <w:lang w:val="en-US"/>
              </w:rPr>
            </w:pPr>
            <w:r>
              <w:rPr>
                <w:rFonts w:asciiTheme="minorHAnsi" w:hAnsiTheme="minorHAnsi"/>
                <w:szCs w:val="20"/>
                <w:lang w:val="en-US"/>
              </w:rPr>
              <w:t>Mr. Mohamed Ajroud</w:t>
            </w:r>
          </w:p>
        </w:tc>
        <w:tc>
          <w:tcPr>
            <w:tcW w:w="3969" w:type="dxa"/>
          </w:tcPr>
          <w:p w:rsidR="0044711F" w:rsidRDefault="0044711F" w:rsidP="00BC6B07">
            <w:pPr>
              <w:spacing w:after="0"/>
              <w:jc w:val="left"/>
              <w:cnfStyle w:val="000000010000" w:firstRow="0" w:lastRow="0" w:firstColumn="0" w:lastColumn="0" w:oddVBand="0" w:evenVBand="0" w:oddHBand="0" w:evenHBand="1" w:firstRowFirstColumn="0" w:firstRowLastColumn="0" w:lastRowFirstColumn="0" w:lastRowLastColumn="0"/>
              <w:rPr>
                <w:rFonts w:asciiTheme="minorHAnsi" w:hAnsiTheme="minorHAnsi"/>
                <w:szCs w:val="20"/>
                <w:lang w:val="en-US"/>
              </w:rPr>
            </w:pPr>
            <w:r>
              <w:rPr>
                <w:rFonts w:asciiTheme="minorHAnsi" w:hAnsiTheme="minorHAnsi"/>
                <w:szCs w:val="20"/>
                <w:lang w:val="en-US"/>
              </w:rPr>
              <w:t>FAO</w:t>
            </w:r>
          </w:p>
        </w:tc>
        <w:tc>
          <w:tcPr>
            <w:tcW w:w="2368" w:type="dxa"/>
          </w:tcPr>
          <w:p w:rsidR="0044711F" w:rsidRPr="00231C30" w:rsidRDefault="0044711F" w:rsidP="00BC6B07">
            <w:pPr>
              <w:spacing w:after="0"/>
              <w:jc w:val="left"/>
              <w:cnfStyle w:val="000000010000" w:firstRow="0" w:lastRow="0" w:firstColumn="0" w:lastColumn="0" w:oddVBand="0" w:evenVBand="0" w:oddHBand="0" w:evenHBand="1" w:firstRowFirstColumn="0" w:firstRowLastColumn="0" w:lastRowFirstColumn="0" w:lastRowLastColumn="0"/>
              <w:rPr>
                <w:rFonts w:asciiTheme="minorHAnsi" w:hAnsiTheme="minorHAnsi"/>
                <w:szCs w:val="20"/>
                <w:highlight w:val="yellow"/>
                <w:lang w:val="en-US"/>
              </w:rPr>
            </w:pPr>
            <w:r w:rsidRPr="007C1F6B">
              <w:rPr>
                <w:rFonts w:asciiTheme="minorHAnsi" w:hAnsiTheme="minorHAnsi"/>
                <w:szCs w:val="20"/>
                <w:lang w:val="en-US"/>
              </w:rPr>
              <w:t>Tunisia</w:t>
            </w:r>
          </w:p>
        </w:tc>
      </w:tr>
      <w:tr w:rsidR="0044711F" w:rsidRPr="0023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44711F" w:rsidRDefault="0044711F" w:rsidP="00BC6B07">
            <w:pPr>
              <w:spacing w:after="0"/>
              <w:jc w:val="left"/>
              <w:rPr>
                <w:rFonts w:asciiTheme="minorHAnsi" w:hAnsiTheme="minorHAnsi"/>
                <w:szCs w:val="20"/>
                <w:lang w:val="en-US"/>
              </w:rPr>
            </w:pPr>
            <w:r>
              <w:rPr>
                <w:rFonts w:asciiTheme="minorHAnsi" w:hAnsiTheme="minorHAnsi"/>
                <w:szCs w:val="20"/>
                <w:lang w:val="en-US"/>
              </w:rPr>
              <w:t>Mrs. Melika Hermassi</w:t>
            </w:r>
          </w:p>
        </w:tc>
        <w:tc>
          <w:tcPr>
            <w:tcW w:w="3969" w:type="dxa"/>
          </w:tcPr>
          <w:p w:rsidR="0044711F" w:rsidRDefault="0044711F" w:rsidP="00BC6B07">
            <w:pPr>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0"/>
                <w:lang w:val="en-US"/>
              </w:rPr>
            </w:pPr>
            <w:r>
              <w:rPr>
                <w:rFonts w:asciiTheme="minorHAnsi" w:hAnsiTheme="minorHAnsi"/>
                <w:szCs w:val="20"/>
                <w:lang w:val="en-US"/>
              </w:rPr>
              <w:t xml:space="preserve">Codex Contact Point </w:t>
            </w:r>
          </w:p>
        </w:tc>
        <w:tc>
          <w:tcPr>
            <w:tcW w:w="2368" w:type="dxa"/>
          </w:tcPr>
          <w:p w:rsidR="0044711F" w:rsidRPr="00231C30" w:rsidRDefault="0044711F" w:rsidP="00BC6B07">
            <w:pPr>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0"/>
                <w:highlight w:val="yellow"/>
                <w:lang w:val="en-US"/>
              </w:rPr>
            </w:pPr>
            <w:r w:rsidRPr="007C1F6B">
              <w:rPr>
                <w:rFonts w:asciiTheme="minorHAnsi" w:hAnsiTheme="minorHAnsi"/>
                <w:szCs w:val="20"/>
                <w:lang w:val="en-US"/>
              </w:rPr>
              <w:t>Tunisia</w:t>
            </w:r>
          </w:p>
        </w:tc>
      </w:tr>
      <w:tr w:rsidR="00231C30" w:rsidRPr="00231C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231C30" w:rsidRPr="00231C30" w:rsidRDefault="00231C30" w:rsidP="00231C30">
            <w:pPr>
              <w:spacing w:after="0"/>
              <w:jc w:val="left"/>
              <w:rPr>
                <w:rFonts w:asciiTheme="minorHAnsi" w:hAnsiTheme="minorHAnsi"/>
                <w:szCs w:val="20"/>
                <w:lang w:val="en-US"/>
              </w:rPr>
            </w:pPr>
            <w:r w:rsidRPr="00231C30">
              <w:rPr>
                <w:rFonts w:asciiTheme="minorHAnsi" w:hAnsiTheme="minorHAnsi"/>
                <w:szCs w:val="20"/>
                <w:lang w:val="en-US"/>
              </w:rPr>
              <w:t>Dr. Claude John Shara Mosha</w:t>
            </w:r>
          </w:p>
        </w:tc>
        <w:tc>
          <w:tcPr>
            <w:tcW w:w="3969" w:type="dxa"/>
          </w:tcPr>
          <w:p w:rsidR="00231C30" w:rsidRPr="00231C30" w:rsidRDefault="00231C30" w:rsidP="00231C30">
            <w:pPr>
              <w:spacing w:after="0"/>
              <w:ind w:right="252"/>
              <w:jc w:val="left"/>
              <w:cnfStyle w:val="000000010000" w:firstRow="0" w:lastRow="0" w:firstColumn="0" w:lastColumn="0" w:oddVBand="0" w:evenVBand="0" w:oddHBand="0" w:evenHBand="1" w:firstRowFirstColumn="0" w:firstRowLastColumn="0" w:lastRowFirstColumn="0" w:lastRowLastColumn="0"/>
              <w:rPr>
                <w:rFonts w:asciiTheme="minorHAnsi" w:hAnsiTheme="minorHAnsi"/>
                <w:szCs w:val="20"/>
                <w:lang w:val="en-US"/>
              </w:rPr>
            </w:pPr>
            <w:r w:rsidRPr="00231C30">
              <w:rPr>
                <w:rFonts w:asciiTheme="minorHAnsi" w:hAnsiTheme="minorHAnsi"/>
                <w:szCs w:val="20"/>
                <w:lang w:val="en-US"/>
              </w:rPr>
              <w:t>Tanzania Bureau of Standards</w:t>
            </w:r>
          </w:p>
        </w:tc>
        <w:tc>
          <w:tcPr>
            <w:tcW w:w="2368" w:type="dxa"/>
          </w:tcPr>
          <w:p w:rsidR="00231C30" w:rsidRPr="00231C30" w:rsidRDefault="00231C30" w:rsidP="00231C30">
            <w:pPr>
              <w:spacing w:after="0"/>
              <w:jc w:val="left"/>
              <w:cnfStyle w:val="000000010000" w:firstRow="0" w:lastRow="0" w:firstColumn="0" w:lastColumn="0" w:oddVBand="0" w:evenVBand="0" w:oddHBand="0" w:evenHBand="1" w:firstRowFirstColumn="0" w:firstRowLastColumn="0" w:lastRowFirstColumn="0" w:lastRowLastColumn="0"/>
              <w:rPr>
                <w:rFonts w:asciiTheme="minorHAnsi" w:hAnsiTheme="minorHAnsi"/>
                <w:szCs w:val="20"/>
                <w:lang w:val="es-ES"/>
              </w:rPr>
            </w:pPr>
            <w:r w:rsidRPr="00231C30">
              <w:rPr>
                <w:rFonts w:asciiTheme="minorHAnsi" w:hAnsiTheme="minorHAnsi"/>
                <w:szCs w:val="20"/>
                <w:lang w:val="es-ES"/>
              </w:rPr>
              <w:t>Tanzania</w:t>
            </w:r>
          </w:p>
        </w:tc>
      </w:tr>
      <w:tr w:rsidR="00231C30" w:rsidRPr="0023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231C30" w:rsidRPr="00231C30" w:rsidRDefault="00231C30" w:rsidP="00231C30">
            <w:pPr>
              <w:spacing w:after="0"/>
              <w:jc w:val="left"/>
              <w:rPr>
                <w:rFonts w:asciiTheme="minorHAnsi" w:hAnsiTheme="minorHAnsi"/>
                <w:szCs w:val="20"/>
              </w:rPr>
            </w:pPr>
            <w:r w:rsidRPr="00231C30">
              <w:rPr>
                <w:rFonts w:asciiTheme="minorHAnsi" w:hAnsiTheme="minorHAnsi"/>
                <w:szCs w:val="20"/>
              </w:rPr>
              <w:t>Mwanaidi R. Mlolwa (Mrs)</w:t>
            </w:r>
          </w:p>
        </w:tc>
        <w:tc>
          <w:tcPr>
            <w:tcW w:w="3969" w:type="dxa"/>
          </w:tcPr>
          <w:p w:rsidR="00231C30" w:rsidRPr="00231C30" w:rsidRDefault="00231C30" w:rsidP="00231C30">
            <w:pPr>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0"/>
                <w:lang w:val="en-US"/>
              </w:rPr>
            </w:pPr>
            <w:r w:rsidRPr="00231C30">
              <w:rPr>
                <w:rFonts w:asciiTheme="minorHAnsi" w:hAnsiTheme="minorHAnsi"/>
                <w:szCs w:val="20"/>
                <w:lang w:val="en-US"/>
              </w:rPr>
              <w:t>Ministry of Livestock Development and Fisheries</w:t>
            </w:r>
          </w:p>
        </w:tc>
        <w:tc>
          <w:tcPr>
            <w:tcW w:w="2368" w:type="dxa"/>
          </w:tcPr>
          <w:p w:rsidR="00231C30" w:rsidRPr="00231C30" w:rsidRDefault="00231C30" w:rsidP="00231C30">
            <w:pPr>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0"/>
                <w:lang w:val="en-US"/>
              </w:rPr>
            </w:pPr>
            <w:r w:rsidRPr="00231C30">
              <w:rPr>
                <w:rFonts w:asciiTheme="minorHAnsi" w:hAnsiTheme="minorHAnsi"/>
                <w:szCs w:val="20"/>
                <w:lang w:val="es-ES"/>
              </w:rPr>
              <w:t>Tanzania</w:t>
            </w:r>
          </w:p>
        </w:tc>
      </w:tr>
      <w:tr w:rsidR="00231C30" w:rsidRPr="00231C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231C30" w:rsidRPr="00231C30" w:rsidRDefault="00231C30" w:rsidP="00231C30">
            <w:pPr>
              <w:spacing w:after="0"/>
              <w:jc w:val="left"/>
              <w:rPr>
                <w:rFonts w:asciiTheme="minorHAnsi" w:hAnsiTheme="minorHAnsi"/>
                <w:szCs w:val="20"/>
              </w:rPr>
            </w:pPr>
            <w:r w:rsidRPr="00231C30">
              <w:rPr>
                <w:rFonts w:asciiTheme="minorHAnsi" w:hAnsiTheme="minorHAnsi"/>
                <w:szCs w:val="20"/>
              </w:rPr>
              <w:t>Dr. Martin E. Kimanya</w:t>
            </w:r>
          </w:p>
        </w:tc>
        <w:tc>
          <w:tcPr>
            <w:tcW w:w="3969" w:type="dxa"/>
          </w:tcPr>
          <w:p w:rsidR="00231C30" w:rsidRPr="00231C30" w:rsidRDefault="00231C30" w:rsidP="00231C30">
            <w:pPr>
              <w:spacing w:after="0"/>
              <w:jc w:val="left"/>
              <w:cnfStyle w:val="000000010000" w:firstRow="0" w:lastRow="0" w:firstColumn="0" w:lastColumn="0" w:oddVBand="0" w:evenVBand="0" w:oddHBand="0" w:evenHBand="1" w:firstRowFirstColumn="0" w:firstRowLastColumn="0" w:lastRowFirstColumn="0" w:lastRowLastColumn="0"/>
              <w:rPr>
                <w:rFonts w:asciiTheme="minorHAnsi" w:hAnsiTheme="minorHAnsi"/>
                <w:szCs w:val="20"/>
                <w:lang w:val="en-US"/>
              </w:rPr>
            </w:pPr>
            <w:r w:rsidRPr="00231C30">
              <w:rPr>
                <w:rFonts w:asciiTheme="minorHAnsi" w:hAnsiTheme="minorHAnsi"/>
                <w:szCs w:val="20"/>
                <w:lang w:val="en-US"/>
              </w:rPr>
              <w:t xml:space="preserve">Tanzania Food and Drugs Authority </w:t>
            </w:r>
          </w:p>
        </w:tc>
        <w:tc>
          <w:tcPr>
            <w:tcW w:w="2368" w:type="dxa"/>
          </w:tcPr>
          <w:p w:rsidR="00231C30" w:rsidRPr="00231C30" w:rsidRDefault="00231C30" w:rsidP="00231C30">
            <w:pPr>
              <w:spacing w:after="0"/>
              <w:jc w:val="left"/>
              <w:cnfStyle w:val="000000010000" w:firstRow="0" w:lastRow="0" w:firstColumn="0" w:lastColumn="0" w:oddVBand="0" w:evenVBand="0" w:oddHBand="0" w:evenHBand="1" w:firstRowFirstColumn="0" w:firstRowLastColumn="0" w:lastRowFirstColumn="0" w:lastRowLastColumn="0"/>
              <w:rPr>
                <w:rFonts w:asciiTheme="minorHAnsi" w:hAnsiTheme="minorHAnsi"/>
                <w:szCs w:val="20"/>
              </w:rPr>
            </w:pPr>
            <w:r w:rsidRPr="00231C30">
              <w:rPr>
                <w:rFonts w:asciiTheme="minorHAnsi" w:hAnsiTheme="minorHAnsi"/>
                <w:szCs w:val="20"/>
                <w:lang w:val="es-ES"/>
              </w:rPr>
              <w:t>Tanzania</w:t>
            </w:r>
          </w:p>
        </w:tc>
      </w:tr>
      <w:tr w:rsidR="00231C30" w:rsidRPr="0023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231C30" w:rsidRPr="00231C30" w:rsidRDefault="00231C30" w:rsidP="00231C30">
            <w:pPr>
              <w:spacing w:after="0"/>
              <w:jc w:val="left"/>
              <w:rPr>
                <w:rFonts w:asciiTheme="minorHAnsi" w:hAnsiTheme="minorHAnsi"/>
                <w:szCs w:val="20"/>
              </w:rPr>
            </w:pPr>
            <w:r w:rsidRPr="00231C30">
              <w:rPr>
                <w:rFonts w:asciiTheme="minorHAnsi" w:hAnsiTheme="minorHAnsi"/>
                <w:szCs w:val="20"/>
              </w:rPr>
              <w:t>Raymond Wigenge</w:t>
            </w:r>
          </w:p>
        </w:tc>
        <w:tc>
          <w:tcPr>
            <w:tcW w:w="3969" w:type="dxa"/>
          </w:tcPr>
          <w:p w:rsidR="00231C30" w:rsidRPr="00231C30" w:rsidRDefault="00231C30" w:rsidP="00231C30">
            <w:pPr>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0"/>
                <w:lang w:val="en-US"/>
              </w:rPr>
            </w:pPr>
            <w:r w:rsidRPr="00231C30">
              <w:rPr>
                <w:rFonts w:asciiTheme="minorHAnsi" w:hAnsiTheme="minorHAnsi"/>
                <w:szCs w:val="20"/>
                <w:lang w:val="en-US"/>
              </w:rPr>
              <w:t>Tanzania Food and Drugs Authority</w:t>
            </w:r>
          </w:p>
        </w:tc>
        <w:tc>
          <w:tcPr>
            <w:tcW w:w="2368" w:type="dxa"/>
          </w:tcPr>
          <w:p w:rsidR="00231C30" w:rsidRPr="00231C30" w:rsidRDefault="00231C30" w:rsidP="00231C30">
            <w:pPr>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0"/>
                <w:lang w:val="fr-FR"/>
              </w:rPr>
            </w:pPr>
            <w:r w:rsidRPr="00231C30">
              <w:rPr>
                <w:rFonts w:asciiTheme="minorHAnsi" w:hAnsiTheme="minorHAnsi"/>
                <w:szCs w:val="20"/>
                <w:lang w:val="es-ES"/>
              </w:rPr>
              <w:t>Tanzania</w:t>
            </w:r>
          </w:p>
        </w:tc>
      </w:tr>
      <w:tr w:rsidR="00231C30" w:rsidRPr="00231C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231C30" w:rsidRPr="00231C30" w:rsidRDefault="00231C30" w:rsidP="00231C30">
            <w:pPr>
              <w:spacing w:after="0"/>
              <w:jc w:val="left"/>
              <w:rPr>
                <w:rFonts w:asciiTheme="minorHAnsi" w:hAnsiTheme="minorHAnsi"/>
                <w:szCs w:val="20"/>
              </w:rPr>
            </w:pPr>
            <w:r w:rsidRPr="00231C30">
              <w:rPr>
                <w:rFonts w:asciiTheme="minorHAnsi" w:hAnsiTheme="minorHAnsi"/>
                <w:szCs w:val="20"/>
              </w:rPr>
              <w:t>Mary H. Lutkamu</w:t>
            </w:r>
          </w:p>
        </w:tc>
        <w:tc>
          <w:tcPr>
            <w:tcW w:w="3969" w:type="dxa"/>
          </w:tcPr>
          <w:p w:rsidR="00231C30" w:rsidRPr="00231C30" w:rsidRDefault="00231C30" w:rsidP="00231C30">
            <w:pPr>
              <w:spacing w:after="0"/>
              <w:jc w:val="left"/>
              <w:cnfStyle w:val="000000010000" w:firstRow="0" w:lastRow="0" w:firstColumn="0" w:lastColumn="0" w:oddVBand="0" w:evenVBand="0" w:oddHBand="0" w:evenHBand="1" w:firstRowFirstColumn="0" w:firstRowLastColumn="0" w:lastRowFirstColumn="0" w:lastRowLastColumn="0"/>
              <w:rPr>
                <w:rFonts w:asciiTheme="minorHAnsi" w:hAnsiTheme="minorHAnsi"/>
                <w:szCs w:val="20"/>
                <w:lang w:val="en-US"/>
              </w:rPr>
            </w:pPr>
            <w:r w:rsidRPr="00231C30">
              <w:rPr>
                <w:rFonts w:asciiTheme="minorHAnsi" w:hAnsiTheme="minorHAnsi"/>
                <w:szCs w:val="20"/>
                <w:lang w:val="en-US"/>
              </w:rPr>
              <w:t>Ministry of Agriculture</w:t>
            </w:r>
          </w:p>
        </w:tc>
        <w:tc>
          <w:tcPr>
            <w:tcW w:w="2368" w:type="dxa"/>
          </w:tcPr>
          <w:p w:rsidR="00231C30" w:rsidRPr="00231C30" w:rsidRDefault="00231C30" w:rsidP="00231C30">
            <w:pPr>
              <w:spacing w:after="0"/>
              <w:jc w:val="left"/>
              <w:cnfStyle w:val="000000010000" w:firstRow="0" w:lastRow="0" w:firstColumn="0" w:lastColumn="0" w:oddVBand="0" w:evenVBand="0" w:oddHBand="0" w:evenHBand="1" w:firstRowFirstColumn="0" w:firstRowLastColumn="0" w:lastRowFirstColumn="0" w:lastRowLastColumn="0"/>
              <w:rPr>
                <w:rFonts w:asciiTheme="minorHAnsi" w:hAnsiTheme="minorHAnsi"/>
                <w:szCs w:val="20"/>
                <w:lang w:val="en-US"/>
              </w:rPr>
            </w:pPr>
            <w:r w:rsidRPr="00231C30">
              <w:rPr>
                <w:rFonts w:asciiTheme="minorHAnsi" w:hAnsiTheme="minorHAnsi"/>
                <w:szCs w:val="20"/>
                <w:lang w:val="es-ES"/>
              </w:rPr>
              <w:t>Tanzania</w:t>
            </w:r>
          </w:p>
        </w:tc>
      </w:tr>
      <w:tr w:rsidR="00231C30" w:rsidRPr="0023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231C30" w:rsidRPr="00231C30" w:rsidRDefault="00231C30" w:rsidP="00231C30">
            <w:pPr>
              <w:spacing w:after="0"/>
              <w:jc w:val="left"/>
              <w:rPr>
                <w:rFonts w:asciiTheme="minorHAnsi" w:hAnsiTheme="minorHAnsi"/>
                <w:szCs w:val="20"/>
              </w:rPr>
            </w:pPr>
            <w:r w:rsidRPr="00231C30">
              <w:rPr>
                <w:rFonts w:asciiTheme="minorHAnsi" w:hAnsiTheme="minorHAnsi"/>
                <w:szCs w:val="20"/>
              </w:rPr>
              <w:t>Dr. Kaoneka</w:t>
            </w:r>
          </w:p>
        </w:tc>
        <w:tc>
          <w:tcPr>
            <w:tcW w:w="3969" w:type="dxa"/>
          </w:tcPr>
          <w:p w:rsidR="00231C30" w:rsidRPr="00231C30" w:rsidRDefault="00231C30" w:rsidP="00231C30">
            <w:pPr>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0"/>
                <w:lang w:val="en-US"/>
              </w:rPr>
            </w:pPr>
            <w:r w:rsidRPr="00231C30">
              <w:rPr>
                <w:rFonts w:asciiTheme="minorHAnsi" w:hAnsiTheme="minorHAnsi"/>
                <w:szCs w:val="20"/>
                <w:lang w:val="en-US"/>
              </w:rPr>
              <w:t>Tropical Pesticides Research Institute (TPRI)</w:t>
            </w:r>
          </w:p>
        </w:tc>
        <w:tc>
          <w:tcPr>
            <w:tcW w:w="2368" w:type="dxa"/>
          </w:tcPr>
          <w:p w:rsidR="00231C30" w:rsidRPr="00231C30" w:rsidRDefault="00231C30" w:rsidP="00231C30">
            <w:pPr>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0"/>
                <w:lang w:val="en-US"/>
              </w:rPr>
            </w:pPr>
            <w:r w:rsidRPr="00231C30">
              <w:rPr>
                <w:rFonts w:asciiTheme="minorHAnsi" w:hAnsiTheme="minorHAnsi"/>
                <w:szCs w:val="20"/>
                <w:lang w:val="es-ES"/>
              </w:rPr>
              <w:t>Tanzania</w:t>
            </w:r>
          </w:p>
        </w:tc>
      </w:tr>
      <w:tr w:rsidR="00231C30" w:rsidRPr="00231C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231C30" w:rsidRPr="00231C30" w:rsidRDefault="00231C30" w:rsidP="00231C30">
            <w:pPr>
              <w:spacing w:after="0"/>
              <w:jc w:val="left"/>
              <w:rPr>
                <w:rFonts w:asciiTheme="minorHAnsi" w:hAnsiTheme="minorHAnsi"/>
                <w:szCs w:val="20"/>
              </w:rPr>
            </w:pPr>
            <w:r w:rsidRPr="00231C30">
              <w:rPr>
                <w:rFonts w:asciiTheme="minorHAnsi" w:hAnsiTheme="minorHAnsi"/>
                <w:szCs w:val="20"/>
              </w:rPr>
              <w:t>Linus C. Gedi</w:t>
            </w:r>
          </w:p>
        </w:tc>
        <w:tc>
          <w:tcPr>
            <w:tcW w:w="3969" w:type="dxa"/>
          </w:tcPr>
          <w:p w:rsidR="00231C30" w:rsidRPr="00231C30" w:rsidRDefault="00231C30" w:rsidP="00231C30">
            <w:pPr>
              <w:spacing w:after="0"/>
              <w:jc w:val="left"/>
              <w:cnfStyle w:val="000000010000" w:firstRow="0" w:lastRow="0" w:firstColumn="0" w:lastColumn="0" w:oddVBand="0" w:evenVBand="0" w:oddHBand="0" w:evenHBand="1" w:firstRowFirstColumn="0" w:firstRowLastColumn="0" w:lastRowFirstColumn="0" w:lastRowLastColumn="0"/>
              <w:rPr>
                <w:rFonts w:asciiTheme="minorHAnsi" w:hAnsiTheme="minorHAnsi"/>
                <w:szCs w:val="20"/>
                <w:lang w:val="en-US"/>
              </w:rPr>
            </w:pPr>
            <w:r w:rsidRPr="00231C30">
              <w:rPr>
                <w:rFonts w:asciiTheme="minorHAnsi" w:hAnsiTheme="minorHAnsi"/>
                <w:szCs w:val="20"/>
                <w:lang w:val="en-US"/>
              </w:rPr>
              <w:t>Small Industries Development Organization</w:t>
            </w:r>
          </w:p>
        </w:tc>
        <w:tc>
          <w:tcPr>
            <w:tcW w:w="2368" w:type="dxa"/>
          </w:tcPr>
          <w:p w:rsidR="00231C30" w:rsidRPr="00231C30" w:rsidRDefault="00231C30" w:rsidP="00231C30">
            <w:pPr>
              <w:spacing w:after="0"/>
              <w:jc w:val="left"/>
              <w:cnfStyle w:val="000000010000" w:firstRow="0" w:lastRow="0" w:firstColumn="0" w:lastColumn="0" w:oddVBand="0" w:evenVBand="0" w:oddHBand="0" w:evenHBand="1" w:firstRowFirstColumn="0" w:firstRowLastColumn="0" w:lastRowFirstColumn="0" w:lastRowLastColumn="0"/>
              <w:rPr>
                <w:rFonts w:asciiTheme="minorHAnsi" w:hAnsiTheme="minorHAnsi"/>
                <w:szCs w:val="20"/>
              </w:rPr>
            </w:pPr>
            <w:r w:rsidRPr="00231C30">
              <w:rPr>
                <w:rFonts w:asciiTheme="minorHAnsi" w:hAnsiTheme="minorHAnsi"/>
                <w:szCs w:val="20"/>
                <w:lang w:val="es-ES"/>
              </w:rPr>
              <w:t>Tanzania</w:t>
            </w:r>
          </w:p>
        </w:tc>
      </w:tr>
      <w:tr w:rsidR="00231C30" w:rsidRPr="0023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231C30" w:rsidRPr="00231C30" w:rsidRDefault="00231C30" w:rsidP="00231C30">
            <w:pPr>
              <w:spacing w:after="0"/>
              <w:jc w:val="left"/>
              <w:rPr>
                <w:rFonts w:asciiTheme="minorHAnsi" w:hAnsiTheme="minorHAnsi"/>
                <w:szCs w:val="20"/>
              </w:rPr>
            </w:pPr>
            <w:r w:rsidRPr="00231C30">
              <w:rPr>
                <w:rFonts w:asciiTheme="minorHAnsi" w:hAnsiTheme="minorHAnsi"/>
                <w:szCs w:val="20"/>
              </w:rPr>
              <w:t>Dr. Rufaro Chatora</w:t>
            </w:r>
          </w:p>
        </w:tc>
        <w:tc>
          <w:tcPr>
            <w:tcW w:w="3969" w:type="dxa"/>
          </w:tcPr>
          <w:p w:rsidR="00231C30" w:rsidRPr="00231C30" w:rsidRDefault="00231C30" w:rsidP="00231C30">
            <w:pPr>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231C30">
              <w:rPr>
                <w:rFonts w:asciiTheme="minorHAnsi" w:hAnsiTheme="minorHAnsi"/>
                <w:szCs w:val="20"/>
              </w:rPr>
              <w:t xml:space="preserve">WHO Representative </w:t>
            </w:r>
          </w:p>
        </w:tc>
        <w:tc>
          <w:tcPr>
            <w:tcW w:w="2368" w:type="dxa"/>
          </w:tcPr>
          <w:p w:rsidR="00231C30" w:rsidRPr="00231C30" w:rsidRDefault="00231C30" w:rsidP="00231C30">
            <w:pPr>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0"/>
                <w:lang w:val="en-US"/>
              </w:rPr>
            </w:pPr>
            <w:r w:rsidRPr="00231C30">
              <w:rPr>
                <w:rFonts w:asciiTheme="minorHAnsi" w:hAnsiTheme="minorHAnsi"/>
                <w:szCs w:val="20"/>
                <w:lang w:val="en-US"/>
              </w:rPr>
              <w:t>Tanzania</w:t>
            </w:r>
          </w:p>
        </w:tc>
      </w:tr>
      <w:tr w:rsidR="00231C30" w:rsidRPr="00231C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231C30" w:rsidRPr="00231C30" w:rsidRDefault="00231C30" w:rsidP="00231C30">
            <w:pPr>
              <w:spacing w:after="0"/>
              <w:jc w:val="left"/>
              <w:rPr>
                <w:rFonts w:asciiTheme="minorHAnsi" w:hAnsiTheme="minorHAnsi"/>
                <w:szCs w:val="20"/>
              </w:rPr>
            </w:pPr>
            <w:r w:rsidRPr="00231C30">
              <w:rPr>
                <w:rFonts w:asciiTheme="minorHAnsi" w:hAnsiTheme="minorHAnsi"/>
                <w:szCs w:val="20"/>
              </w:rPr>
              <w:t>Louise L. Setshwaelo</w:t>
            </w:r>
          </w:p>
        </w:tc>
        <w:tc>
          <w:tcPr>
            <w:tcW w:w="3969" w:type="dxa"/>
          </w:tcPr>
          <w:p w:rsidR="00231C30" w:rsidRPr="00231C30" w:rsidRDefault="00231C30" w:rsidP="00231C30">
            <w:pPr>
              <w:spacing w:after="0"/>
              <w:jc w:val="left"/>
              <w:cnfStyle w:val="000000010000" w:firstRow="0" w:lastRow="0" w:firstColumn="0" w:lastColumn="0" w:oddVBand="0" w:evenVBand="0" w:oddHBand="0" w:evenHBand="1" w:firstRowFirstColumn="0" w:firstRowLastColumn="0" w:lastRowFirstColumn="0" w:lastRowLastColumn="0"/>
              <w:rPr>
                <w:rFonts w:asciiTheme="minorHAnsi" w:hAnsiTheme="minorHAnsi"/>
                <w:szCs w:val="20"/>
              </w:rPr>
            </w:pPr>
            <w:r w:rsidRPr="00231C30">
              <w:rPr>
                <w:rFonts w:asciiTheme="minorHAnsi" w:hAnsiTheme="minorHAnsi"/>
                <w:szCs w:val="20"/>
              </w:rPr>
              <w:t>FAO Representative</w:t>
            </w:r>
          </w:p>
        </w:tc>
        <w:tc>
          <w:tcPr>
            <w:tcW w:w="2368" w:type="dxa"/>
          </w:tcPr>
          <w:p w:rsidR="00231C30" w:rsidRPr="00231C30" w:rsidRDefault="00231C30" w:rsidP="00231C30">
            <w:pPr>
              <w:spacing w:after="0"/>
              <w:jc w:val="left"/>
              <w:cnfStyle w:val="000000010000" w:firstRow="0" w:lastRow="0" w:firstColumn="0" w:lastColumn="0" w:oddVBand="0" w:evenVBand="0" w:oddHBand="0" w:evenHBand="1" w:firstRowFirstColumn="0" w:firstRowLastColumn="0" w:lastRowFirstColumn="0" w:lastRowLastColumn="0"/>
              <w:rPr>
                <w:rFonts w:asciiTheme="minorHAnsi" w:hAnsiTheme="minorHAnsi"/>
                <w:szCs w:val="20"/>
                <w:lang w:val="it-IT"/>
              </w:rPr>
            </w:pPr>
            <w:r w:rsidRPr="00231C30">
              <w:rPr>
                <w:rFonts w:asciiTheme="minorHAnsi" w:hAnsiTheme="minorHAnsi"/>
                <w:szCs w:val="20"/>
                <w:lang w:val="en-US"/>
              </w:rPr>
              <w:t>Tanzania</w:t>
            </w:r>
          </w:p>
        </w:tc>
      </w:tr>
    </w:tbl>
    <w:p w:rsidR="00231C30" w:rsidRPr="00231C30" w:rsidRDefault="00231C30" w:rsidP="00231C30">
      <w:pPr>
        <w:spacing w:after="0"/>
        <w:rPr>
          <w:rFonts w:asciiTheme="minorHAnsi" w:hAnsiTheme="minorHAnsi"/>
          <w:sz w:val="20"/>
          <w:szCs w:val="20"/>
          <w:lang w:val="en-US"/>
        </w:rPr>
      </w:pPr>
    </w:p>
    <w:p w:rsidR="00FF23A7" w:rsidRDefault="00FF23A7" w:rsidP="00FF23A7">
      <w:pPr>
        <w:spacing w:after="0"/>
        <w:rPr>
          <w:lang w:val="en-GB"/>
        </w:rPr>
      </w:pPr>
    </w:p>
    <w:p w:rsidR="00FF23A7" w:rsidRDefault="00FF23A7" w:rsidP="00FF23A7">
      <w:pPr>
        <w:pStyle w:val="Heading1"/>
        <w:rPr>
          <w:lang w:val="en-GB"/>
        </w:rPr>
      </w:pPr>
      <w:r>
        <w:rPr>
          <w:lang w:val="en-GB"/>
        </w:rPr>
        <w:br w:type="page"/>
      </w:r>
      <w:bookmarkStart w:id="115" w:name="_Toc260389751"/>
      <w:r w:rsidR="00A84844">
        <w:rPr>
          <w:lang w:val="en-GB"/>
        </w:rPr>
        <w:lastRenderedPageBreak/>
        <w:t>Annex</w:t>
      </w:r>
      <w:r>
        <w:rPr>
          <w:lang w:val="en-GB"/>
        </w:rPr>
        <w:t xml:space="preserve"> 3. Documents Used in the Evaluation</w:t>
      </w:r>
      <w:bookmarkEnd w:id="115"/>
    </w:p>
    <w:p w:rsidR="00FF23A7" w:rsidRDefault="00FF23A7" w:rsidP="00FF23A7">
      <w:pPr>
        <w:spacing w:after="0"/>
        <w:rPr>
          <w:lang w:val="en-GB"/>
        </w:rPr>
      </w:pPr>
    </w:p>
    <w:p w:rsidR="00B536F5" w:rsidRPr="00B75C62" w:rsidRDefault="00B75C62" w:rsidP="00B536F5">
      <w:pPr>
        <w:rPr>
          <w:rFonts w:asciiTheme="majorHAnsi" w:hAnsiTheme="majorHAnsi" w:cstheme="majorHAnsi"/>
          <w:b/>
          <w:color w:val="4F81BD" w:themeColor="accent1"/>
          <w:sz w:val="28"/>
          <w:szCs w:val="28"/>
          <w:lang w:val="en-GB"/>
        </w:rPr>
      </w:pPr>
      <w:r w:rsidRPr="00B75C62">
        <w:rPr>
          <w:rFonts w:asciiTheme="majorHAnsi" w:hAnsiTheme="majorHAnsi" w:cstheme="majorHAnsi"/>
          <w:b/>
          <w:color w:val="4F81BD" w:themeColor="accent1"/>
          <w:sz w:val="28"/>
          <w:szCs w:val="28"/>
          <w:lang w:val="en-GB"/>
        </w:rPr>
        <w:t>References</w:t>
      </w:r>
    </w:p>
    <w:p w:rsidR="00B75C62" w:rsidRDefault="00B75C62" w:rsidP="00B75C62">
      <w:pPr>
        <w:rPr>
          <w:lang w:val="en-GB"/>
        </w:rPr>
      </w:pPr>
      <w:r w:rsidRPr="000207AC">
        <w:rPr>
          <w:lang w:val="en-GB"/>
        </w:rPr>
        <w:t>Connor, R J (2007</w:t>
      </w:r>
      <w:r>
        <w:rPr>
          <w:lang w:val="en-GB"/>
        </w:rPr>
        <w:t>)</w:t>
      </w:r>
      <w:r w:rsidRPr="000207AC">
        <w:rPr>
          <w:lang w:val="en-GB"/>
        </w:rPr>
        <w:t xml:space="preserve">, </w:t>
      </w:r>
      <w:r w:rsidRPr="009F0398">
        <w:rPr>
          <w:i/>
          <w:lang w:val="en-GB"/>
        </w:rPr>
        <w:t>Initiative to explore linkages between increased participation in Codex and enhanced international food trade opportunities</w:t>
      </w:r>
    </w:p>
    <w:p w:rsidR="00B75C62" w:rsidRDefault="00B75C62" w:rsidP="00B75C62">
      <w:pPr>
        <w:rPr>
          <w:lang w:val="en-GB"/>
        </w:rPr>
      </w:pPr>
      <w:r w:rsidRPr="00B536F5">
        <w:rPr>
          <w:lang w:val="en-GB"/>
        </w:rPr>
        <w:t>Dimechkie (2009)</w:t>
      </w:r>
      <w:r>
        <w:rPr>
          <w:lang w:val="en-GB"/>
        </w:rPr>
        <w:t xml:space="preserve">, </w:t>
      </w:r>
      <w:r w:rsidRPr="009F0398">
        <w:rPr>
          <w:i/>
          <w:lang w:val="en-GB"/>
        </w:rPr>
        <w:t>Country Report Assessment 2007-08</w:t>
      </w:r>
    </w:p>
    <w:p w:rsidR="00B75C62" w:rsidRDefault="00B75C62" w:rsidP="00B75C62">
      <w:pPr>
        <w:rPr>
          <w:lang w:val="en-GB"/>
        </w:rPr>
      </w:pPr>
      <w:r w:rsidRPr="00101EF8">
        <w:rPr>
          <w:lang w:val="en-US"/>
        </w:rPr>
        <w:t xml:space="preserve">FAO/WHO </w:t>
      </w:r>
      <w:r>
        <w:rPr>
          <w:lang w:val="en-US"/>
        </w:rPr>
        <w:t xml:space="preserve">(2007), </w:t>
      </w:r>
      <w:r w:rsidRPr="009F0398">
        <w:rPr>
          <w:i/>
          <w:lang w:val="en-US"/>
        </w:rPr>
        <w:t>Framework for the Provision of Scientific Advice on Food Safety and Nutrition</w:t>
      </w:r>
    </w:p>
    <w:p w:rsidR="00B75C62" w:rsidRDefault="00B75C62" w:rsidP="00B75C62">
      <w:pPr>
        <w:rPr>
          <w:lang w:val="en-GB"/>
        </w:rPr>
      </w:pPr>
      <w:r>
        <w:rPr>
          <w:lang w:val="en-GB"/>
        </w:rPr>
        <w:t>FAO/</w:t>
      </w:r>
      <w:r w:rsidRPr="004E4861">
        <w:rPr>
          <w:lang w:val="en-GB"/>
        </w:rPr>
        <w:t>WHO Project and Fund for Enhan</w:t>
      </w:r>
      <w:r>
        <w:rPr>
          <w:lang w:val="en-GB"/>
        </w:rPr>
        <w:t>ced Participation in Codex, progress reports, annual reports and other project documents</w:t>
      </w:r>
    </w:p>
    <w:p w:rsidR="00B75C62" w:rsidRPr="00647BDF" w:rsidRDefault="00B75C62" w:rsidP="00B75C62">
      <w:pPr>
        <w:rPr>
          <w:lang w:val="en-GB"/>
        </w:rPr>
      </w:pPr>
      <w:r w:rsidRPr="005D328B">
        <w:rPr>
          <w:lang w:val="en-US"/>
        </w:rPr>
        <w:t>IEG Sourcebook for Evaluating Global and Regional Partnership Programs</w:t>
      </w:r>
    </w:p>
    <w:p w:rsidR="00B75C62" w:rsidRDefault="00B75C62" w:rsidP="00B75C62">
      <w:pPr>
        <w:rPr>
          <w:lang w:val="en-GB"/>
        </w:rPr>
      </w:pPr>
      <w:r w:rsidRPr="00647BDF">
        <w:rPr>
          <w:lang w:val="en-GB"/>
        </w:rPr>
        <w:t>Joint Committee on Standards (1994) The Program Evaluation Standards. Sage Publications: London</w:t>
      </w:r>
    </w:p>
    <w:p w:rsidR="00B75C62" w:rsidRPr="00647BDF" w:rsidRDefault="00B75C62" w:rsidP="00B75C62">
      <w:pPr>
        <w:rPr>
          <w:lang w:val="en-GB"/>
        </w:rPr>
      </w:pPr>
      <w:r>
        <w:rPr>
          <w:lang w:val="en-GB"/>
        </w:rPr>
        <w:t>E. Kobelt, (2006) Participation at Codex Meetings since the Introduction of the Codex trust Fund. (unpublished student report)</w:t>
      </w:r>
    </w:p>
    <w:p w:rsidR="00B75C62" w:rsidRDefault="00B75C62" w:rsidP="00B75C62">
      <w:pPr>
        <w:rPr>
          <w:highlight w:val="yellow"/>
          <w:lang w:val="en-GB"/>
        </w:rPr>
      </w:pPr>
      <w:r w:rsidRPr="000207AC">
        <w:rPr>
          <w:lang w:val="en-GB"/>
        </w:rPr>
        <w:t xml:space="preserve">Krell, K. (2006), </w:t>
      </w:r>
      <w:r w:rsidRPr="009F0398">
        <w:rPr>
          <w:i/>
          <w:lang w:val="en-GB"/>
        </w:rPr>
        <w:t>Survey of national policy and activities related to food safety in countries eligible for the Codex Trust Fund</w:t>
      </w:r>
    </w:p>
    <w:p w:rsidR="00B75C62" w:rsidRDefault="00B75C62" w:rsidP="00B75C62">
      <w:pPr>
        <w:rPr>
          <w:lang w:val="en-GB"/>
        </w:rPr>
      </w:pPr>
      <w:r w:rsidRPr="00647BDF">
        <w:rPr>
          <w:lang w:val="en-GB"/>
        </w:rPr>
        <w:t>Molund</w:t>
      </w:r>
      <w:r>
        <w:rPr>
          <w:lang w:val="en-GB"/>
        </w:rPr>
        <w:t>, S.</w:t>
      </w:r>
      <w:r w:rsidRPr="00647BDF">
        <w:rPr>
          <w:lang w:val="en-GB"/>
        </w:rPr>
        <w:t xml:space="preserve"> and Schil</w:t>
      </w:r>
      <w:r>
        <w:rPr>
          <w:lang w:val="en-GB"/>
        </w:rPr>
        <w:t>, G.</w:t>
      </w:r>
      <w:r w:rsidRPr="00647BDF">
        <w:rPr>
          <w:lang w:val="en-GB"/>
        </w:rPr>
        <w:t xml:space="preserve"> (2004),</w:t>
      </w:r>
      <w:r>
        <w:rPr>
          <w:lang w:val="en-GB"/>
        </w:rPr>
        <w:t xml:space="preserve"> Looking Back, Moving Forward. Sida Guidelines for Evaluation. Sida: Stockholm. </w:t>
      </w:r>
    </w:p>
    <w:p w:rsidR="00B75C62" w:rsidRDefault="00B75C62" w:rsidP="00B75C62">
      <w:pPr>
        <w:rPr>
          <w:i/>
          <w:lang w:val="en-GB"/>
        </w:rPr>
      </w:pPr>
      <w:r>
        <w:rPr>
          <w:lang w:val="en-GB"/>
        </w:rPr>
        <w:t xml:space="preserve">Slorach, S. A. (2007), </w:t>
      </w:r>
      <w:r w:rsidRPr="009F0398">
        <w:rPr>
          <w:i/>
          <w:lang w:val="en-GB"/>
        </w:rPr>
        <w:t>Enquiry concerning the FAO/WHO Project and Trust Fund for Enhanced Participation in Codex (“Codex Trust Fund”)</w:t>
      </w:r>
    </w:p>
    <w:p w:rsidR="00B75C62" w:rsidRDefault="00B75C62" w:rsidP="00B75C62">
      <w:pPr>
        <w:rPr>
          <w:lang w:val="en-GB"/>
        </w:rPr>
      </w:pPr>
      <w:r>
        <w:rPr>
          <w:lang w:val="en-GB"/>
        </w:rPr>
        <w:t xml:space="preserve">Traill, W.B et al (2002) Evaluation of the Codex Alimentarius and other FAO and WHO Food Standards Work.  </w:t>
      </w:r>
    </w:p>
    <w:p w:rsidR="00B75C62" w:rsidRDefault="00B75C62" w:rsidP="00B75C62">
      <w:pPr>
        <w:rPr>
          <w:lang w:val="en-GB"/>
        </w:rPr>
      </w:pPr>
      <w:r>
        <w:rPr>
          <w:lang w:val="en-GB"/>
        </w:rPr>
        <w:t xml:space="preserve">WHO and FAO (2003), </w:t>
      </w:r>
      <w:r w:rsidRPr="009F0398">
        <w:rPr>
          <w:i/>
          <w:lang w:val="en-GB"/>
        </w:rPr>
        <w:t>Project Document Project and Fund for Enhanced Participation in Codex</w:t>
      </w:r>
    </w:p>
    <w:p w:rsidR="00B75C62" w:rsidRDefault="00B75C62" w:rsidP="00B75C62">
      <w:pPr>
        <w:rPr>
          <w:i/>
          <w:lang w:val="en-GB"/>
        </w:rPr>
      </w:pPr>
      <w:r>
        <w:rPr>
          <w:lang w:val="en-GB"/>
        </w:rPr>
        <w:t xml:space="preserve">WHO and FAO (2006), </w:t>
      </w:r>
      <w:r w:rsidRPr="009F0398">
        <w:rPr>
          <w:i/>
          <w:lang w:val="en-GB"/>
        </w:rPr>
        <w:t>Understanding the Codex Alimentarius, 3rd ed</w:t>
      </w:r>
    </w:p>
    <w:p w:rsidR="00B75C62" w:rsidRDefault="00B75C62" w:rsidP="00B75C62">
      <w:pPr>
        <w:rPr>
          <w:i/>
          <w:lang w:val="en-GB"/>
        </w:rPr>
      </w:pPr>
    </w:p>
    <w:p w:rsidR="00B75C62" w:rsidRPr="00B75C62" w:rsidRDefault="00B75C62" w:rsidP="00B75C62">
      <w:pPr>
        <w:rPr>
          <w:rFonts w:asciiTheme="majorHAnsi" w:hAnsiTheme="majorHAnsi" w:cstheme="majorHAnsi"/>
          <w:b/>
          <w:color w:val="4F81BD" w:themeColor="accent1"/>
          <w:sz w:val="28"/>
          <w:szCs w:val="28"/>
          <w:lang w:val="en-GB"/>
        </w:rPr>
      </w:pPr>
      <w:r>
        <w:rPr>
          <w:rFonts w:asciiTheme="majorHAnsi" w:hAnsiTheme="majorHAnsi" w:cstheme="majorHAnsi"/>
          <w:b/>
          <w:color w:val="4F81BD" w:themeColor="accent1"/>
          <w:sz w:val="28"/>
          <w:szCs w:val="28"/>
          <w:lang w:val="en-GB"/>
        </w:rPr>
        <w:t>Documents from the CTF Secretariat</w:t>
      </w:r>
    </w:p>
    <w:p w:rsidR="00B75C62" w:rsidRPr="00647BDF" w:rsidRDefault="00B75C62" w:rsidP="00B75C62">
      <w:pPr>
        <w:jc w:val="left"/>
        <w:rPr>
          <w:bCs/>
          <w:iCs/>
          <w:lang w:val="en-GB"/>
        </w:rPr>
      </w:pPr>
      <w:r w:rsidRPr="00647BDF">
        <w:rPr>
          <w:bCs/>
          <w:iCs/>
          <w:lang w:val="en-GB"/>
        </w:rPr>
        <w:t>Brief on how the recommendations in the Connor and Slorach reports</w:t>
      </w:r>
      <w:r>
        <w:rPr>
          <w:bCs/>
          <w:iCs/>
          <w:lang w:val="en-GB"/>
        </w:rPr>
        <w:t xml:space="preserve"> </w:t>
      </w:r>
      <w:r w:rsidRPr="00647BDF">
        <w:rPr>
          <w:bCs/>
          <w:iCs/>
          <w:lang w:val="en-GB"/>
        </w:rPr>
        <w:t>are being followed up by the Codex Trust Fund</w:t>
      </w:r>
    </w:p>
    <w:p w:rsidR="00B75C62" w:rsidRDefault="00B75C62" w:rsidP="00B75C62">
      <w:pPr>
        <w:rPr>
          <w:bCs/>
          <w:lang w:val="en-US"/>
        </w:rPr>
      </w:pPr>
      <w:r w:rsidRPr="00411351">
        <w:rPr>
          <w:bCs/>
          <w:lang w:val="en-US"/>
        </w:rPr>
        <w:t>DRAFT ACTION PLAN 2010</w:t>
      </w:r>
    </w:p>
    <w:p w:rsidR="00B75C62" w:rsidRDefault="00B75C62" w:rsidP="00B75C62">
      <w:pPr>
        <w:rPr>
          <w:bCs/>
          <w:lang w:val="en-GB"/>
        </w:rPr>
      </w:pPr>
      <w:r w:rsidRPr="00411351">
        <w:rPr>
          <w:bCs/>
          <w:lang w:val="en-GB"/>
        </w:rPr>
        <w:t>Draft Liquidity Forecast for 2010/2011</w:t>
      </w:r>
    </w:p>
    <w:p w:rsidR="00B75C62" w:rsidRPr="00647BDF" w:rsidRDefault="00B75C62" w:rsidP="00B75C62">
      <w:pPr>
        <w:rPr>
          <w:bCs/>
          <w:lang w:val="en-GB"/>
        </w:rPr>
      </w:pPr>
      <w:r w:rsidRPr="00647BDF">
        <w:rPr>
          <w:bCs/>
          <w:lang w:val="en-GB"/>
        </w:rPr>
        <w:t>FIRST BIENNIAL REVIEW - 2006</w:t>
      </w:r>
    </w:p>
    <w:p w:rsidR="00B75C62" w:rsidRPr="005D328B" w:rsidRDefault="00B75C62" w:rsidP="00B75C62">
      <w:pPr>
        <w:rPr>
          <w:bCs/>
          <w:lang w:val="en-US"/>
        </w:rPr>
      </w:pPr>
      <w:r w:rsidRPr="005D328B">
        <w:rPr>
          <w:bCs/>
          <w:lang w:val="en-US"/>
        </w:rPr>
        <w:lastRenderedPageBreak/>
        <w:t>FAO/WHO Cooperative Program. Multi Donor Project. Project Document 17 June 2003.</w:t>
      </w:r>
    </w:p>
    <w:p w:rsidR="00B75C62" w:rsidRPr="005D328B" w:rsidRDefault="00B75C62" w:rsidP="00B75C62">
      <w:pPr>
        <w:rPr>
          <w:bCs/>
          <w:lang w:val="en-US"/>
        </w:rPr>
      </w:pPr>
      <w:r w:rsidRPr="005D328B">
        <w:rPr>
          <w:bCs/>
          <w:lang w:val="en-US"/>
        </w:rPr>
        <w:t>Enquiry concerning the WHO/FAO Project and Trust Fund for enhancing participation in Codex, Stuart A. Slorach, funded by Sida, 12 october 2007</w:t>
      </w:r>
    </w:p>
    <w:p w:rsidR="00B75C62" w:rsidRPr="005D328B" w:rsidRDefault="00B75C62" w:rsidP="00B75C62">
      <w:pPr>
        <w:rPr>
          <w:bCs/>
          <w:lang w:val="en-US"/>
        </w:rPr>
      </w:pPr>
      <w:r w:rsidRPr="005D328B">
        <w:rPr>
          <w:bCs/>
          <w:lang w:val="en-US"/>
        </w:rPr>
        <w:t>Survey of national policy and activities related to food safety in countries eligible for the Codex Trust Fund. Survey undertaken by Dr Karola Krell under the guidance of Dr Jörgen Schlundt, Director, Department of Food Safety, Zoonoses and Foodborne Diseases, WHO, Geneva, Switzerland, 27 June 2006.</w:t>
      </w:r>
    </w:p>
    <w:p w:rsidR="00B75C62" w:rsidRPr="005D328B" w:rsidRDefault="00B75C62" w:rsidP="00B75C62">
      <w:pPr>
        <w:rPr>
          <w:bCs/>
          <w:lang w:val="en-US"/>
        </w:rPr>
      </w:pPr>
      <w:r w:rsidRPr="005D328B">
        <w:rPr>
          <w:bCs/>
          <w:lang w:val="en-US"/>
        </w:rPr>
        <w:t>Initiatives to explore linkages between increased participation in Codex and enhanced international food trade opportunities, by Robert J. Connor, June 2007. Funded by the Department of International Development (DFID), United Kingdom.</w:t>
      </w:r>
    </w:p>
    <w:p w:rsidR="00B75C62" w:rsidRPr="005D328B" w:rsidRDefault="00B75C62" w:rsidP="00B75C62">
      <w:pPr>
        <w:rPr>
          <w:bCs/>
          <w:lang w:val="en-US"/>
        </w:rPr>
      </w:pPr>
      <w:r w:rsidRPr="005D328B">
        <w:rPr>
          <w:bCs/>
          <w:lang w:val="en-US"/>
        </w:rPr>
        <w:t>Country reports Assessment 2005-2007, Dr Celine Gossner, 2008</w:t>
      </w:r>
    </w:p>
    <w:p w:rsidR="00B75C62" w:rsidRPr="005D328B" w:rsidRDefault="00B75C62" w:rsidP="00B75C62">
      <w:pPr>
        <w:rPr>
          <w:bCs/>
          <w:lang w:val="en-US"/>
        </w:rPr>
      </w:pPr>
      <w:r w:rsidRPr="005D328B">
        <w:rPr>
          <w:bCs/>
          <w:lang w:val="en-US"/>
        </w:rPr>
        <w:t>Note for the record (draft) Meeting of Codex Trust Fund donor countries, FAO, Rome, 30 June 2009</w:t>
      </w:r>
    </w:p>
    <w:p w:rsidR="00B75C62" w:rsidRPr="005D328B" w:rsidRDefault="00B75C62" w:rsidP="00B75C62">
      <w:pPr>
        <w:rPr>
          <w:bCs/>
          <w:lang w:val="en-US"/>
        </w:rPr>
      </w:pPr>
      <w:r w:rsidRPr="005D328B">
        <w:rPr>
          <w:bCs/>
          <w:lang w:val="en-US"/>
        </w:rPr>
        <w:t>Note for the record (draft), Meeting of Codex Trust Fund Beneficiary countries, FAO, Rome, 2 July 2009</w:t>
      </w:r>
    </w:p>
    <w:p w:rsidR="00B75C62" w:rsidRPr="005D328B" w:rsidRDefault="00B75C62" w:rsidP="00B75C62">
      <w:pPr>
        <w:rPr>
          <w:bCs/>
          <w:lang w:val="en-US"/>
        </w:rPr>
      </w:pPr>
      <w:r w:rsidRPr="005D328B">
        <w:rPr>
          <w:bCs/>
          <w:lang w:val="en-US"/>
        </w:rPr>
        <w:t>Note for the record (draft) Codex Trust Fund side event, reviewing and monitoring matters, FAO, Rome, 3 July 2009.</w:t>
      </w:r>
    </w:p>
    <w:p w:rsidR="00B75C62" w:rsidRPr="005D328B" w:rsidRDefault="00B75C62" w:rsidP="00B75C62">
      <w:pPr>
        <w:rPr>
          <w:bCs/>
          <w:lang w:val="en-US"/>
        </w:rPr>
      </w:pPr>
      <w:r w:rsidRPr="005D328B">
        <w:rPr>
          <w:bCs/>
          <w:lang w:val="en-US"/>
        </w:rPr>
        <w:t>Report of the 32</w:t>
      </w:r>
      <w:r w:rsidRPr="005D328B">
        <w:rPr>
          <w:bCs/>
          <w:vertAlign w:val="superscript"/>
          <w:lang w:val="en-US"/>
        </w:rPr>
        <w:t>nd</w:t>
      </w:r>
      <w:r w:rsidRPr="005D328B">
        <w:rPr>
          <w:bCs/>
          <w:lang w:val="en-US"/>
        </w:rPr>
        <w:t xml:space="preserve"> Session, Codex Alimentarius Commisison 29 June-4 July 2009, and  Report of the 62</w:t>
      </w:r>
      <w:r w:rsidRPr="005D328B">
        <w:rPr>
          <w:bCs/>
          <w:vertAlign w:val="superscript"/>
          <w:lang w:val="en-US"/>
        </w:rPr>
        <w:t>nd</w:t>
      </w:r>
      <w:r w:rsidRPr="005D328B">
        <w:rPr>
          <w:bCs/>
          <w:lang w:val="en-US"/>
        </w:rPr>
        <w:t xml:space="preserve"> session of the Executive Committee of the Codex Alimentarius Commission, 23 June-26 June 2009.</w:t>
      </w:r>
    </w:p>
    <w:p w:rsidR="00B75C62" w:rsidRPr="005D328B" w:rsidRDefault="00B75C62" w:rsidP="00B75C62">
      <w:pPr>
        <w:rPr>
          <w:bCs/>
          <w:lang w:val="en-US"/>
        </w:rPr>
      </w:pPr>
      <w:r w:rsidRPr="005D328B">
        <w:rPr>
          <w:bCs/>
          <w:lang w:val="en-US"/>
        </w:rPr>
        <w:t>Annual report 2008 and 11</w:t>
      </w:r>
      <w:r w:rsidRPr="005D328B">
        <w:rPr>
          <w:bCs/>
          <w:vertAlign w:val="superscript"/>
          <w:lang w:val="en-US"/>
        </w:rPr>
        <w:t>th</w:t>
      </w:r>
      <w:r w:rsidRPr="005D328B">
        <w:rPr>
          <w:bCs/>
          <w:lang w:val="en-US"/>
        </w:rPr>
        <w:t xml:space="preserve"> Progress report  Codex Alimentarius Commission, 32</w:t>
      </w:r>
      <w:r w:rsidRPr="005D328B">
        <w:rPr>
          <w:bCs/>
          <w:vertAlign w:val="superscript"/>
          <w:lang w:val="en-US"/>
        </w:rPr>
        <w:t>nd</w:t>
      </w:r>
      <w:r w:rsidRPr="005D328B">
        <w:rPr>
          <w:bCs/>
          <w:lang w:val="en-US"/>
        </w:rPr>
        <w:t xml:space="preserve"> Session, 29 June-4 July 2009 ALINORM</w:t>
      </w:r>
    </w:p>
    <w:p w:rsidR="00B75C62" w:rsidRPr="005D328B" w:rsidRDefault="00B75C62" w:rsidP="00B75C62">
      <w:pPr>
        <w:rPr>
          <w:bCs/>
          <w:lang w:val="en-US"/>
        </w:rPr>
      </w:pPr>
      <w:r w:rsidRPr="005D328B">
        <w:rPr>
          <w:bCs/>
          <w:lang w:val="en-US"/>
        </w:rPr>
        <w:t>Annual report for 2007 and 10</w:t>
      </w:r>
      <w:r w:rsidRPr="005D328B">
        <w:rPr>
          <w:bCs/>
          <w:vertAlign w:val="superscript"/>
          <w:lang w:val="en-US"/>
        </w:rPr>
        <w:t>th</w:t>
      </w:r>
      <w:r w:rsidRPr="005D328B">
        <w:rPr>
          <w:bCs/>
          <w:lang w:val="en-US"/>
        </w:rPr>
        <w:t xml:space="preserve"> Progress report, Codex Alimentarius Commission, 31th Session,30 June- 4 July 2008, ALINORM</w:t>
      </w:r>
    </w:p>
    <w:p w:rsidR="00B75C62" w:rsidRDefault="00B75C62" w:rsidP="00B75C62">
      <w:pPr>
        <w:rPr>
          <w:bCs/>
          <w:lang w:val="en-GB"/>
        </w:rPr>
      </w:pPr>
      <w:r w:rsidRPr="005D328B">
        <w:rPr>
          <w:bCs/>
          <w:lang w:val="en-US"/>
        </w:rPr>
        <w:t>Annual report for 2006. Codex Alimentarius Commission, 30th Session, 2-7 July 2007, ALINORM</w:t>
      </w:r>
    </w:p>
    <w:p w:rsidR="00B75C62" w:rsidRDefault="00B75C62" w:rsidP="00B75C62">
      <w:pPr>
        <w:rPr>
          <w:bCs/>
          <w:lang w:val="en-GB"/>
        </w:rPr>
      </w:pPr>
      <w:r>
        <w:rPr>
          <w:bCs/>
          <w:lang w:val="en-GB"/>
        </w:rPr>
        <w:t>Planning for Success: Codex Trust Fund strategic planning planning meeting, FAO, Rome 20007</w:t>
      </w:r>
    </w:p>
    <w:p w:rsidR="00B75C62" w:rsidRPr="00411351" w:rsidRDefault="00B75C62" w:rsidP="00B75C62">
      <w:pPr>
        <w:jc w:val="left"/>
        <w:rPr>
          <w:bCs/>
          <w:lang w:val="en-GB"/>
        </w:rPr>
      </w:pPr>
      <w:r w:rsidRPr="00411351">
        <w:rPr>
          <w:bCs/>
          <w:lang w:val="en-GB"/>
        </w:rPr>
        <w:t>Proposed Key Indicators for Project Monitoring</w:t>
      </w:r>
    </w:p>
    <w:p w:rsidR="00B75C62" w:rsidRPr="00411351" w:rsidRDefault="00B75C62" w:rsidP="00B75C62">
      <w:pPr>
        <w:rPr>
          <w:bCs/>
          <w:lang w:val="en-GB"/>
        </w:rPr>
      </w:pPr>
      <w:r w:rsidRPr="00411351">
        <w:rPr>
          <w:bCs/>
          <w:lang w:val="en-GB"/>
        </w:rPr>
        <w:t>Summary table of requests for activities other than participation at meetings 2010 applications</w:t>
      </w:r>
    </w:p>
    <w:p w:rsidR="00B536F5" w:rsidRPr="00B536F5" w:rsidRDefault="00B536F5" w:rsidP="00B536F5">
      <w:pPr>
        <w:rPr>
          <w:i/>
          <w:lang w:val="en-GB"/>
        </w:rPr>
      </w:pPr>
    </w:p>
    <w:p w:rsidR="00FF23A7" w:rsidRDefault="00FF23A7" w:rsidP="00FF23A7">
      <w:pPr>
        <w:rPr>
          <w:lang w:val="en-GB"/>
        </w:rPr>
      </w:pPr>
    </w:p>
    <w:p w:rsidR="00FF23A7" w:rsidRDefault="00FF23A7" w:rsidP="00FF23A7">
      <w:pPr>
        <w:rPr>
          <w:lang w:val="en-GB"/>
        </w:rPr>
      </w:pPr>
    </w:p>
    <w:p w:rsidR="00FF23A7" w:rsidRDefault="00FF23A7" w:rsidP="00FF23A7">
      <w:pPr>
        <w:rPr>
          <w:lang w:val="en-GB"/>
        </w:rPr>
      </w:pPr>
    </w:p>
    <w:p w:rsidR="00FF23A7" w:rsidRDefault="00FF23A7" w:rsidP="00FF23A7">
      <w:pPr>
        <w:pStyle w:val="Heading1"/>
        <w:rPr>
          <w:lang w:val="en-GB"/>
        </w:rPr>
      </w:pPr>
      <w:r>
        <w:rPr>
          <w:lang w:val="en-GB"/>
        </w:rPr>
        <w:br w:type="page"/>
      </w:r>
      <w:bookmarkStart w:id="116" w:name="_Toc260389752"/>
      <w:r w:rsidR="000207AC" w:rsidRPr="00B75C62">
        <w:rPr>
          <w:lang w:val="en-GB"/>
        </w:rPr>
        <w:lastRenderedPageBreak/>
        <w:t>Annex 4. Data Collection Instruments</w:t>
      </w:r>
      <w:bookmarkEnd w:id="116"/>
    </w:p>
    <w:p w:rsidR="00231C30" w:rsidRPr="00927CF7" w:rsidRDefault="00231C30" w:rsidP="00FF23A7">
      <w:pPr>
        <w:spacing w:after="0"/>
        <w:rPr>
          <w:lang w:val="en-US"/>
        </w:rPr>
      </w:pPr>
    </w:p>
    <w:p w:rsidR="005D6547" w:rsidRDefault="000207AC" w:rsidP="00B75C62">
      <w:pPr>
        <w:spacing w:after="0"/>
        <w:rPr>
          <w:rFonts w:asciiTheme="majorHAnsi" w:hAnsiTheme="majorHAnsi" w:cstheme="majorHAnsi"/>
          <w:b/>
          <w:color w:val="4F81BD" w:themeColor="accent1"/>
          <w:sz w:val="28"/>
          <w:szCs w:val="28"/>
          <w:lang w:val="en-US"/>
        </w:rPr>
      </w:pPr>
      <w:r w:rsidRPr="00B75C62">
        <w:rPr>
          <w:rFonts w:asciiTheme="majorHAnsi" w:hAnsiTheme="majorHAnsi" w:cstheme="majorHAnsi"/>
          <w:b/>
          <w:color w:val="4F81BD" w:themeColor="accent1"/>
          <w:sz w:val="28"/>
          <w:szCs w:val="28"/>
          <w:lang w:val="en-US"/>
        </w:rPr>
        <w:t>Interview guidelines - Beneficiary participants</w:t>
      </w:r>
    </w:p>
    <w:p w:rsidR="00B75C62" w:rsidRPr="00B75C62" w:rsidRDefault="00B75C62" w:rsidP="00B75C62">
      <w:pPr>
        <w:spacing w:after="0"/>
        <w:rPr>
          <w:rFonts w:asciiTheme="majorHAnsi" w:hAnsiTheme="majorHAnsi" w:cstheme="majorHAnsi"/>
          <w:b/>
          <w:color w:val="4F81BD" w:themeColor="accent1"/>
          <w:sz w:val="28"/>
          <w:szCs w:val="28"/>
          <w:lang w:val="en-US"/>
        </w:rPr>
      </w:pPr>
    </w:p>
    <w:p w:rsidR="00B75C62" w:rsidRPr="00DA2B10" w:rsidRDefault="00B75C62" w:rsidP="00B75C62">
      <w:pPr>
        <w:numPr>
          <w:ilvl w:val="0"/>
          <w:numId w:val="37"/>
        </w:numPr>
        <w:spacing w:after="0"/>
        <w:rPr>
          <w:lang w:val="en-GB"/>
        </w:rPr>
      </w:pPr>
      <w:r w:rsidRPr="00DA2B10">
        <w:rPr>
          <w:lang w:val="en-GB"/>
        </w:rPr>
        <w:t>Personal information: Please tell me about your function, position, institution and educational background.</w:t>
      </w:r>
    </w:p>
    <w:p w:rsidR="00B75C62" w:rsidRPr="00DA2B10" w:rsidRDefault="00B75C62" w:rsidP="00B75C62">
      <w:pPr>
        <w:numPr>
          <w:ilvl w:val="0"/>
          <w:numId w:val="37"/>
        </w:numPr>
        <w:spacing w:after="0"/>
        <w:rPr>
          <w:lang w:val="en-GB"/>
        </w:rPr>
      </w:pPr>
      <w:r w:rsidRPr="00DA2B10">
        <w:rPr>
          <w:lang w:val="en-GB"/>
        </w:rPr>
        <w:t>How have you been working with Codex in the past? How has that work evolved over the years? What have been the major changes?</w:t>
      </w:r>
    </w:p>
    <w:p w:rsidR="00B75C62" w:rsidRPr="00DA2B10" w:rsidRDefault="00B75C62" w:rsidP="00B75C62">
      <w:pPr>
        <w:numPr>
          <w:ilvl w:val="0"/>
          <w:numId w:val="37"/>
        </w:numPr>
        <w:spacing w:after="0"/>
        <w:rPr>
          <w:lang w:val="en-GB"/>
        </w:rPr>
      </w:pPr>
      <w:r w:rsidRPr="00DA2B10">
        <w:rPr>
          <w:lang w:val="en-GB"/>
        </w:rPr>
        <w:t xml:space="preserve">What </w:t>
      </w:r>
      <w:r>
        <w:rPr>
          <w:lang w:val="en-GB"/>
        </w:rPr>
        <w:t>Codex committees</w:t>
      </w:r>
      <w:r w:rsidRPr="00DA2B10">
        <w:rPr>
          <w:lang w:val="en-GB"/>
        </w:rPr>
        <w:t xml:space="preserve"> have you been attending?</w:t>
      </w:r>
      <w:r>
        <w:rPr>
          <w:lang w:val="en-GB"/>
        </w:rPr>
        <w:t xml:space="preserve"> How many times have you attended each committee?</w:t>
      </w:r>
    </w:p>
    <w:p w:rsidR="00B75C62" w:rsidRPr="00DA2B10" w:rsidRDefault="00B75C62" w:rsidP="00B75C62">
      <w:pPr>
        <w:numPr>
          <w:ilvl w:val="0"/>
          <w:numId w:val="37"/>
        </w:numPr>
        <w:spacing w:after="0"/>
        <w:rPr>
          <w:lang w:val="en-GB"/>
        </w:rPr>
      </w:pPr>
      <w:r w:rsidRPr="00DA2B10">
        <w:rPr>
          <w:lang w:val="en-GB"/>
        </w:rPr>
        <w:t>What are your experiences from participating in the committee meeting(s)?</w:t>
      </w:r>
    </w:p>
    <w:p w:rsidR="00B75C62" w:rsidRPr="00DA2B10" w:rsidRDefault="00B75C62" w:rsidP="00B75C62">
      <w:pPr>
        <w:numPr>
          <w:ilvl w:val="0"/>
          <w:numId w:val="37"/>
        </w:numPr>
        <w:spacing w:after="0"/>
        <w:rPr>
          <w:lang w:val="en-GB"/>
        </w:rPr>
      </w:pPr>
      <w:r>
        <w:rPr>
          <w:lang w:val="en-GB"/>
        </w:rPr>
        <w:t>Do</w:t>
      </w:r>
      <w:r w:rsidRPr="00DA2B10">
        <w:rPr>
          <w:lang w:val="en-GB"/>
        </w:rPr>
        <w:t xml:space="preserve"> you think you </w:t>
      </w:r>
      <w:r>
        <w:rPr>
          <w:lang w:val="en-GB"/>
        </w:rPr>
        <w:t xml:space="preserve">contribute or </w:t>
      </w:r>
      <w:r w:rsidRPr="00DA2B10">
        <w:rPr>
          <w:lang w:val="en-GB"/>
        </w:rPr>
        <w:t>contribute</w:t>
      </w:r>
      <w:r>
        <w:rPr>
          <w:lang w:val="en-GB"/>
        </w:rPr>
        <w:t>d</w:t>
      </w:r>
      <w:r w:rsidRPr="00DA2B10">
        <w:rPr>
          <w:lang w:val="en-GB"/>
        </w:rPr>
        <w:t xml:space="preserve"> effectively to the work of the committee?</w:t>
      </w:r>
    </w:p>
    <w:p w:rsidR="00B75C62" w:rsidRPr="00DA2B10" w:rsidRDefault="00B75C62" w:rsidP="00B75C62">
      <w:pPr>
        <w:numPr>
          <w:ilvl w:val="0"/>
          <w:numId w:val="37"/>
        </w:numPr>
        <w:spacing w:after="0"/>
        <w:rPr>
          <w:lang w:val="en-GB"/>
        </w:rPr>
      </w:pPr>
      <w:r w:rsidRPr="00DA2B10">
        <w:rPr>
          <w:lang w:val="en-GB"/>
        </w:rPr>
        <w:t>How did you</w:t>
      </w:r>
      <w:r>
        <w:rPr>
          <w:lang w:val="en-GB"/>
        </w:rPr>
        <w:t xml:space="preserve"> as an individual</w:t>
      </w:r>
      <w:r w:rsidRPr="00DA2B10">
        <w:rPr>
          <w:lang w:val="en-GB"/>
        </w:rPr>
        <w:t xml:space="preserve"> benefit from participation in the committee?</w:t>
      </w:r>
    </w:p>
    <w:p w:rsidR="00B75C62" w:rsidRDefault="00B75C62" w:rsidP="00B75C62">
      <w:pPr>
        <w:numPr>
          <w:ilvl w:val="0"/>
          <w:numId w:val="37"/>
        </w:numPr>
        <w:spacing w:after="0"/>
        <w:rPr>
          <w:lang w:val="en-GB"/>
        </w:rPr>
      </w:pPr>
      <w:r>
        <w:rPr>
          <w:lang w:val="en-GB"/>
        </w:rPr>
        <w:t>How did you prepare for the Codex meetings?</w:t>
      </w:r>
    </w:p>
    <w:p w:rsidR="00B75C62" w:rsidRDefault="00B75C62" w:rsidP="00B75C62">
      <w:pPr>
        <w:numPr>
          <w:ilvl w:val="0"/>
          <w:numId w:val="37"/>
        </w:numPr>
        <w:spacing w:after="0"/>
        <w:rPr>
          <w:lang w:val="en-GB"/>
        </w:rPr>
      </w:pPr>
      <w:r w:rsidRPr="00DA2B10">
        <w:rPr>
          <w:lang w:val="en-GB"/>
        </w:rPr>
        <w:t xml:space="preserve">What specific actions did you take/were you not able to take when </w:t>
      </w:r>
      <w:r>
        <w:rPr>
          <w:lang w:val="en-GB"/>
        </w:rPr>
        <w:t xml:space="preserve">you </w:t>
      </w:r>
      <w:r w:rsidRPr="00DA2B10">
        <w:rPr>
          <w:lang w:val="en-GB"/>
        </w:rPr>
        <w:t xml:space="preserve">got back from the meeting? </w:t>
      </w:r>
    </w:p>
    <w:p w:rsidR="00B75C62" w:rsidRPr="00DA2B10" w:rsidRDefault="00B75C62" w:rsidP="00B75C62">
      <w:pPr>
        <w:numPr>
          <w:ilvl w:val="0"/>
          <w:numId w:val="37"/>
        </w:numPr>
        <w:spacing w:after="0"/>
        <w:rPr>
          <w:lang w:val="en-GB"/>
        </w:rPr>
      </w:pPr>
      <w:r w:rsidRPr="00DA2B10">
        <w:rPr>
          <w:lang w:val="en-GB"/>
        </w:rPr>
        <w:t>What actual changes have happened at the national level</w:t>
      </w:r>
      <w:r>
        <w:rPr>
          <w:lang w:val="en-GB"/>
        </w:rPr>
        <w:t xml:space="preserve"> as a result of your participation in Codex meetings</w:t>
      </w:r>
      <w:r w:rsidRPr="00DA2B10">
        <w:rPr>
          <w:lang w:val="en-GB"/>
        </w:rPr>
        <w:t>?</w:t>
      </w:r>
    </w:p>
    <w:p w:rsidR="00B75C62" w:rsidRPr="00DA2B10" w:rsidRDefault="00B75C62" w:rsidP="00B75C62">
      <w:pPr>
        <w:numPr>
          <w:ilvl w:val="0"/>
          <w:numId w:val="37"/>
        </w:numPr>
        <w:spacing w:after="0"/>
        <w:rPr>
          <w:lang w:val="en-GB"/>
        </w:rPr>
      </w:pPr>
      <w:r w:rsidRPr="00DA2B10">
        <w:rPr>
          <w:lang w:val="en-GB"/>
        </w:rPr>
        <w:t>Have you identified obstacles to change in your work with Codex?</w:t>
      </w:r>
    </w:p>
    <w:p w:rsidR="00B75C62" w:rsidRPr="00DA2B10" w:rsidRDefault="00B75C62" w:rsidP="00B75C62">
      <w:pPr>
        <w:numPr>
          <w:ilvl w:val="0"/>
          <w:numId w:val="37"/>
        </w:numPr>
        <w:spacing w:after="0"/>
        <w:rPr>
          <w:lang w:val="en-GB"/>
        </w:rPr>
      </w:pPr>
      <w:r w:rsidRPr="00DA2B10">
        <w:rPr>
          <w:lang w:val="en-GB"/>
        </w:rPr>
        <w:t>Have you identified facilitating factors to change in your work with Codex?</w:t>
      </w:r>
    </w:p>
    <w:p w:rsidR="00B75C62" w:rsidRPr="00DA2B10" w:rsidRDefault="00B75C62" w:rsidP="00B75C62">
      <w:pPr>
        <w:numPr>
          <w:ilvl w:val="0"/>
          <w:numId w:val="37"/>
        </w:numPr>
        <w:spacing w:after="0"/>
        <w:rPr>
          <w:lang w:val="en-GB"/>
        </w:rPr>
      </w:pPr>
      <w:r w:rsidRPr="00DA2B10">
        <w:rPr>
          <w:lang w:val="en-GB"/>
        </w:rPr>
        <w:t xml:space="preserve">Have you </w:t>
      </w:r>
      <w:r>
        <w:rPr>
          <w:lang w:val="en-GB"/>
        </w:rPr>
        <w:t xml:space="preserve">had </w:t>
      </w:r>
      <w:r w:rsidRPr="00DA2B10">
        <w:rPr>
          <w:lang w:val="en-GB"/>
        </w:rPr>
        <w:t>training on Codex or related topics?</w:t>
      </w:r>
      <w:r>
        <w:rPr>
          <w:lang w:val="en-GB"/>
        </w:rPr>
        <w:t xml:space="preserve"> If yes, how have you benefitted from this?  What action, if any, have you taken as a result? What additional training is necessary for effective participation in Codex?</w:t>
      </w:r>
    </w:p>
    <w:p w:rsidR="00B75C62" w:rsidRPr="00DA2B10" w:rsidRDefault="00B75C62" w:rsidP="00B75C62">
      <w:pPr>
        <w:numPr>
          <w:ilvl w:val="0"/>
          <w:numId w:val="37"/>
        </w:numPr>
        <w:spacing w:after="0"/>
        <w:rPr>
          <w:lang w:val="en-GB"/>
        </w:rPr>
      </w:pPr>
      <w:r w:rsidRPr="00DA2B10">
        <w:rPr>
          <w:lang w:val="en-GB"/>
        </w:rPr>
        <w:t xml:space="preserve">How </w:t>
      </w:r>
      <w:r>
        <w:rPr>
          <w:lang w:val="en-GB"/>
        </w:rPr>
        <w:t>could</w:t>
      </w:r>
      <w:r w:rsidRPr="00DA2B10">
        <w:rPr>
          <w:lang w:val="en-GB"/>
        </w:rPr>
        <w:t xml:space="preserve"> your participation in the Codex meetings be made more effective?</w:t>
      </w:r>
    </w:p>
    <w:p w:rsidR="00B75C62" w:rsidRPr="00DA2B10" w:rsidRDefault="00B75C62" w:rsidP="00B75C62">
      <w:pPr>
        <w:numPr>
          <w:ilvl w:val="0"/>
          <w:numId w:val="37"/>
        </w:numPr>
        <w:spacing w:after="0"/>
        <w:rPr>
          <w:lang w:val="en-GB"/>
        </w:rPr>
      </w:pPr>
      <w:r w:rsidRPr="00DA2B10">
        <w:rPr>
          <w:lang w:val="en-GB"/>
        </w:rPr>
        <w:t xml:space="preserve">What are your impressions </w:t>
      </w:r>
      <w:r>
        <w:rPr>
          <w:lang w:val="en-GB"/>
        </w:rPr>
        <w:t xml:space="preserve">of the administrative </w:t>
      </w:r>
      <w:r w:rsidRPr="00DA2B10">
        <w:rPr>
          <w:lang w:val="en-GB"/>
        </w:rPr>
        <w:t xml:space="preserve">aspects of </w:t>
      </w:r>
      <w:r>
        <w:rPr>
          <w:lang w:val="en-GB"/>
        </w:rPr>
        <w:t>the Codex Trust Fund</w:t>
      </w:r>
      <w:r w:rsidRPr="00DA2B10">
        <w:rPr>
          <w:lang w:val="en-GB"/>
        </w:rPr>
        <w:t xml:space="preserve">? In terms of: </w:t>
      </w:r>
    </w:p>
    <w:p w:rsidR="00B75C62" w:rsidRPr="00DA2B10" w:rsidRDefault="00B75C62" w:rsidP="00B75C62">
      <w:pPr>
        <w:numPr>
          <w:ilvl w:val="0"/>
          <w:numId w:val="38"/>
        </w:numPr>
        <w:spacing w:after="0"/>
        <w:ind w:left="714" w:hanging="357"/>
        <w:rPr>
          <w:lang w:val="en-GB"/>
        </w:rPr>
      </w:pPr>
      <w:r w:rsidRPr="00DA2B10">
        <w:rPr>
          <w:lang w:val="en-GB"/>
        </w:rPr>
        <w:t>Application to the Codex Trust Fund?</w:t>
      </w:r>
    </w:p>
    <w:p w:rsidR="00B75C62" w:rsidRPr="00DA2B10" w:rsidRDefault="00B75C62" w:rsidP="00B75C62">
      <w:pPr>
        <w:numPr>
          <w:ilvl w:val="0"/>
          <w:numId w:val="38"/>
        </w:numPr>
        <w:spacing w:after="0"/>
        <w:ind w:left="714" w:hanging="357"/>
        <w:rPr>
          <w:lang w:val="en-GB"/>
        </w:rPr>
      </w:pPr>
      <w:r w:rsidRPr="00DA2B10">
        <w:rPr>
          <w:lang w:val="en-GB"/>
        </w:rPr>
        <w:t>Selection process for funding?</w:t>
      </w:r>
    </w:p>
    <w:p w:rsidR="00B75C62" w:rsidRPr="00DA2B10" w:rsidRDefault="00B75C62" w:rsidP="00B75C62">
      <w:pPr>
        <w:numPr>
          <w:ilvl w:val="0"/>
          <w:numId w:val="38"/>
        </w:numPr>
        <w:spacing w:after="0"/>
        <w:ind w:left="714" w:hanging="357"/>
        <w:rPr>
          <w:lang w:val="en-GB"/>
        </w:rPr>
      </w:pPr>
      <w:r>
        <w:rPr>
          <w:lang w:val="en-GB"/>
        </w:rPr>
        <w:t>Provision of tickets and per diems by the Codex Trust Fund</w:t>
      </w:r>
      <w:r w:rsidRPr="00DA2B10">
        <w:rPr>
          <w:lang w:val="en-GB"/>
        </w:rPr>
        <w:t>?</w:t>
      </w:r>
    </w:p>
    <w:p w:rsidR="00B75C62" w:rsidRDefault="00B75C62" w:rsidP="00B75C62">
      <w:pPr>
        <w:numPr>
          <w:ilvl w:val="0"/>
          <w:numId w:val="38"/>
        </w:numPr>
        <w:spacing w:after="0"/>
        <w:ind w:left="714" w:hanging="357"/>
        <w:rPr>
          <w:lang w:val="en-GB"/>
        </w:rPr>
      </w:pPr>
      <w:r w:rsidRPr="00DA2B10">
        <w:rPr>
          <w:lang w:val="en-GB"/>
        </w:rPr>
        <w:t>Reporting</w:t>
      </w:r>
      <w:r>
        <w:rPr>
          <w:lang w:val="en-GB"/>
        </w:rPr>
        <w:t xml:space="preserve"> to the Codex Trust Fund</w:t>
      </w:r>
      <w:r w:rsidRPr="00DA2B10">
        <w:rPr>
          <w:lang w:val="en-GB"/>
        </w:rPr>
        <w:t>?</w:t>
      </w:r>
    </w:p>
    <w:p w:rsidR="00B75C62" w:rsidRDefault="00B75C62" w:rsidP="00B75C62">
      <w:pPr>
        <w:numPr>
          <w:ilvl w:val="0"/>
          <w:numId w:val="37"/>
        </w:numPr>
        <w:spacing w:after="0"/>
        <w:rPr>
          <w:lang w:val="en-GB"/>
        </w:rPr>
      </w:pPr>
      <w:r>
        <w:rPr>
          <w:lang w:val="en-GB"/>
        </w:rPr>
        <w:t>Have you encountered any other administrative difficulties when participating at a Codex meeting?</w:t>
      </w:r>
    </w:p>
    <w:p w:rsidR="00B75C62" w:rsidRPr="00B75C62" w:rsidRDefault="00B75C62" w:rsidP="00FF23A7">
      <w:pPr>
        <w:numPr>
          <w:ilvl w:val="0"/>
          <w:numId w:val="37"/>
        </w:numPr>
        <w:spacing w:after="0"/>
        <w:rPr>
          <w:lang w:val="en-GB"/>
        </w:rPr>
      </w:pPr>
      <w:r>
        <w:rPr>
          <w:lang w:val="en-GB"/>
        </w:rPr>
        <w:t xml:space="preserve">Any </w:t>
      </w:r>
      <w:r w:rsidRPr="00DA2B10">
        <w:rPr>
          <w:lang w:val="en-GB"/>
        </w:rPr>
        <w:t>other comments or recommendations you would like to share?</w:t>
      </w:r>
    </w:p>
    <w:p w:rsidR="00B75C62" w:rsidRPr="005D6547" w:rsidRDefault="00B75C62" w:rsidP="00FF23A7">
      <w:pPr>
        <w:spacing w:after="0"/>
        <w:rPr>
          <w:lang w:val="en-US"/>
        </w:rPr>
      </w:pPr>
    </w:p>
    <w:p w:rsidR="00B75C62" w:rsidRDefault="000207AC" w:rsidP="00B75C62">
      <w:pPr>
        <w:spacing w:after="0"/>
        <w:rPr>
          <w:rFonts w:asciiTheme="majorHAnsi" w:hAnsiTheme="majorHAnsi" w:cstheme="majorHAnsi"/>
          <w:b/>
          <w:color w:val="4F81BD" w:themeColor="accent1"/>
          <w:sz w:val="28"/>
          <w:szCs w:val="28"/>
          <w:lang w:val="en-US"/>
        </w:rPr>
      </w:pPr>
      <w:r w:rsidRPr="00B75C62">
        <w:rPr>
          <w:rFonts w:asciiTheme="majorHAnsi" w:hAnsiTheme="majorHAnsi" w:cstheme="majorHAnsi"/>
          <w:b/>
          <w:color w:val="4F81BD" w:themeColor="accent1"/>
          <w:sz w:val="28"/>
          <w:szCs w:val="28"/>
          <w:lang w:val="en-US"/>
        </w:rPr>
        <w:t>Interview guidelines – Codex contact points</w:t>
      </w:r>
    </w:p>
    <w:p w:rsidR="00B75C62" w:rsidRPr="00B75C62" w:rsidRDefault="00B75C62" w:rsidP="00B75C62">
      <w:pPr>
        <w:spacing w:after="0"/>
        <w:rPr>
          <w:rFonts w:asciiTheme="majorHAnsi" w:hAnsiTheme="majorHAnsi" w:cstheme="majorHAnsi"/>
          <w:b/>
          <w:color w:val="4F81BD" w:themeColor="accent1"/>
          <w:sz w:val="28"/>
          <w:szCs w:val="28"/>
          <w:lang w:val="en-US"/>
        </w:rPr>
      </w:pPr>
    </w:p>
    <w:p w:rsidR="00B75C62" w:rsidRPr="00DE0CC6" w:rsidRDefault="00B75C62" w:rsidP="00B75C62">
      <w:pPr>
        <w:numPr>
          <w:ilvl w:val="0"/>
          <w:numId w:val="39"/>
        </w:numPr>
        <w:spacing w:after="0"/>
        <w:jc w:val="left"/>
        <w:rPr>
          <w:lang w:val="en-GB"/>
        </w:rPr>
      </w:pPr>
      <w:r w:rsidRPr="00DE0CC6">
        <w:rPr>
          <w:lang w:val="en-GB"/>
        </w:rPr>
        <w:t>What is the composition of your national Codex structure?</w:t>
      </w:r>
    </w:p>
    <w:p w:rsidR="00B75C62" w:rsidRPr="00DE0CC6" w:rsidRDefault="00B75C62" w:rsidP="00B75C62">
      <w:pPr>
        <w:numPr>
          <w:ilvl w:val="0"/>
          <w:numId w:val="39"/>
        </w:numPr>
        <w:spacing w:after="0"/>
        <w:jc w:val="left"/>
        <w:rPr>
          <w:lang w:val="en-GB"/>
        </w:rPr>
      </w:pPr>
      <w:r>
        <w:rPr>
          <w:lang w:val="en-GB"/>
        </w:rPr>
        <w:t xml:space="preserve">What </w:t>
      </w:r>
      <w:r w:rsidRPr="00DE0CC6">
        <w:rPr>
          <w:lang w:val="en-GB"/>
        </w:rPr>
        <w:t>are the criteria you use for deciding in which Codex meetings you will participate?</w:t>
      </w:r>
    </w:p>
    <w:p w:rsidR="00B75C62" w:rsidRPr="00DE0CC6" w:rsidRDefault="00B75C62" w:rsidP="00B75C62">
      <w:pPr>
        <w:numPr>
          <w:ilvl w:val="0"/>
          <w:numId w:val="39"/>
        </w:numPr>
        <w:spacing w:after="0"/>
        <w:jc w:val="left"/>
        <w:rPr>
          <w:lang w:val="en-GB"/>
        </w:rPr>
      </w:pPr>
      <w:r>
        <w:rPr>
          <w:lang w:val="en-GB"/>
        </w:rPr>
        <w:t>What</w:t>
      </w:r>
      <w:r w:rsidRPr="00DE0CC6">
        <w:rPr>
          <w:lang w:val="en-GB"/>
        </w:rPr>
        <w:t xml:space="preserve"> are your selection criteria for choosing participants to send to Codex meetings?</w:t>
      </w:r>
    </w:p>
    <w:p w:rsidR="00B75C62" w:rsidRPr="00DE0CC6" w:rsidRDefault="00B75C62" w:rsidP="00B75C62">
      <w:pPr>
        <w:numPr>
          <w:ilvl w:val="0"/>
          <w:numId w:val="39"/>
        </w:numPr>
        <w:spacing w:after="0"/>
        <w:jc w:val="left"/>
        <w:rPr>
          <w:lang w:val="en-GB"/>
        </w:rPr>
      </w:pPr>
      <w:r w:rsidRPr="00DE0CC6">
        <w:rPr>
          <w:lang w:val="en-GB"/>
        </w:rPr>
        <w:t>How do</w:t>
      </w:r>
      <w:r>
        <w:rPr>
          <w:lang w:val="en-GB"/>
        </w:rPr>
        <w:t>es your country</w:t>
      </w:r>
      <w:r w:rsidRPr="00DE0CC6">
        <w:rPr>
          <w:lang w:val="en-GB"/>
        </w:rPr>
        <w:t xml:space="preserve"> prepare for Codex meetings?</w:t>
      </w:r>
    </w:p>
    <w:p w:rsidR="00B75C62" w:rsidRDefault="00B75C62" w:rsidP="00B75C62">
      <w:pPr>
        <w:numPr>
          <w:ilvl w:val="0"/>
          <w:numId w:val="39"/>
        </w:numPr>
        <w:spacing w:after="0"/>
        <w:jc w:val="left"/>
        <w:rPr>
          <w:lang w:val="en-GB"/>
        </w:rPr>
      </w:pPr>
      <w:r w:rsidRPr="00DE0CC6">
        <w:rPr>
          <w:lang w:val="en-GB"/>
        </w:rPr>
        <w:t>Do</w:t>
      </w:r>
      <w:r>
        <w:rPr>
          <w:lang w:val="en-GB"/>
        </w:rPr>
        <w:t xml:space="preserve">es your country routinely </w:t>
      </w:r>
      <w:r w:rsidRPr="00DE0CC6">
        <w:rPr>
          <w:lang w:val="en-GB"/>
        </w:rPr>
        <w:t xml:space="preserve">prepare </w:t>
      </w:r>
      <w:r>
        <w:rPr>
          <w:lang w:val="en-GB"/>
        </w:rPr>
        <w:t>national</w:t>
      </w:r>
      <w:r w:rsidRPr="00DE0CC6">
        <w:rPr>
          <w:lang w:val="en-GB"/>
        </w:rPr>
        <w:t xml:space="preserve"> positions before meetings?</w:t>
      </w:r>
    </w:p>
    <w:p w:rsidR="00B75C62" w:rsidRDefault="00B75C62" w:rsidP="00B75C62">
      <w:pPr>
        <w:numPr>
          <w:ilvl w:val="0"/>
          <w:numId w:val="39"/>
        </w:numPr>
        <w:spacing w:after="0"/>
        <w:jc w:val="left"/>
        <w:rPr>
          <w:lang w:val="en-GB"/>
        </w:rPr>
      </w:pPr>
      <w:r>
        <w:rPr>
          <w:lang w:val="en-GB"/>
        </w:rPr>
        <w:t>What are the different ways in which your country participates in Codex meetings in addition or to replace physical presence (e.g. written comments)?</w:t>
      </w:r>
    </w:p>
    <w:p w:rsidR="00B75C62" w:rsidRPr="00DE0CC6" w:rsidRDefault="00B75C62" w:rsidP="00B75C62">
      <w:pPr>
        <w:numPr>
          <w:ilvl w:val="0"/>
          <w:numId w:val="39"/>
        </w:numPr>
        <w:spacing w:after="0"/>
        <w:jc w:val="left"/>
        <w:rPr>
          <w:lang w:val="en-GB"/>
        </w:rPr>
      </w:pPr>
      <w:r w:rsidRPr="00DE0CC6">
        <w:rPr>
          <w:lang w:val="en-GB"/>
        </w:rPr>
        <w:t>What happens after Codex meetings in your country in terms of briefing activities etc?</w:t>
      </w:r>
    </w:p>
    <w:p w:rsidR="00B75C62" w:rsidRDefault="00B75C62" w:rsidP="00B75C62">
      <w:pPr>
        <w:numPr>
          <w:ilvl w:val="0"/>
          <w:numId w:val="39"/>
        </w:numPr>
        <w:spacing w:after="0"/>
        <w:jc w:val="left"/>
        <w:rPr>
          <w:lang w:val="en-GB"/>
        </w:rPr>
      </w:pPr>
      <w:r w:rsidRPr="00DE0CC6">
        <w:rPr>
          <w:lang w:val="en-GB"/>
        </w:rPr>
        <w:t>What national Codex activities are taking place as a consequence of participation in Codex meetings? What are</w:t>
      </w:r>
      <w:r>
        <w:rPr>
          <w:lang w:val="en-GB"/>
        </w:rPr>
        <w:t xml:space="preserve"> the major changes in your </w:t>
      </w:r>
      <w:r w:rsidRPr="00DE0CC6">
        <w:rPr>
          <w:lang w:val="en-GB"/>
        </w:rPr>
        <w:t>Codex work?</w:t>
      </w:r>
    </w:p>
    <w:p w:rsidR="00B75C62" w:rsidRDefault="00B75C62" w:rsidP="00B75C62">
      <w:pPr>
        <w:numPr>
          <w:ilvl w:val="0"/>
          <w:numId w:val="39"/>
        </w:numPr>
        <w:spacing w:after="0"/>
        <w:jc w:val="left"/>
        <w:rPr>
          <w:lang w:val="en-GB"/>
        </w:rPr>
      </w:pPr>
      <w:r>
        <w:rPr>
          <w:lang w:val="en-GB"/>
        </w:rPr>
        <w:t>Do you think your country participates effectively in the Codex process/Codex meetings?</w:t>
      </w:r>
    </w:p>
    <w:p w:rsidR="00B75C62" w:rsidRPr="00DE0CC6" w:rsidRDefault="00B75C62" w:rsidP="00B75C62">
      <w:pPr>
        <w:spacing w:after="0"/>
        <w:ind w:left="360"/>
        <w:rPr>
          <w:lang w:val="en-GB"/>
        </w:rPr>
      </w:pPr>
    </w:p>
    <w:p w:rsidR="00B75C62" w:rsidRPr="00DE0CC6" w:rsidRDefault="00B75C62" w:rsidP="00B75C62">
      <w:pPr>
        <w:numPr>
          <w:ilvl w:val="0"/>
          <w:numId w:val="39"/>
        </w:numPr>
        <w:spacing w:after="0"/>
        <w:jc w:val="left"/>
        <w:rPr>
          <w:lang w:val="en-GB"/>
        </w:rPr>
      </w:pPr>
      <w:r>
        <w:rPr>
          <w:lang w:val="en-GB"/>
        </w:rPr>
        <w:lastRenderedPageBreak/>
        <w:t>If not, w</w:t>
      </w:r>
      <w:r w:rsidRPr="00DE0CC6">
        <w:rPr>
          <w:lang w:val="en-GB"/>
        </w:rPr>
        <w:t>hat are the obstacles to effective participation in Codex meetings?</w:t>
      </w:r>
    </w:p>
    <w:p w:rsidR="00B75C62" w:rsidRPr="00DE0CC6" w:rsidRDefault="00B75C62" w:rsidP="00B75C62">
      <w:pPr>
        <w:numPr>
          <w:ilvl w:val="0"/>
          <w:numId w:val="39"/>
        </w:numPr>
        <w:spacing w:after="0"/>
        <w:jc w:val="left"/>
        <w:rPr>
          <w:lang w:val="en-GB"/>
        </w:rPr>
      </w:pPr>
      <w:r w:rsidRPr="00DE0CC6">
        <w:rPr>
          <w:lang w:val="en-GB"/>
        </w:rPr>
        <w:t xml:space="preserve">Has your country received </w:t>
      </w:r>
      <w:r>
        <w:rPr>
          <w:lang w:val="en-GB"/>
        </w:rPr>
        <w:t xml:space="preserve">Codex related </w:t>
      </w:r>
      <w:r w:rsidRPr="00DE0CC6">
        <w:rPr>
          <w:lang w:val="en-GB"/>
        </w:rPr>
        <w:t>technical assistance or training? If yes, please specify.</w:t>
      </w:r>
    </w:p>
    <w:p w:rsidR="00B75C62" w:rsidRDefault="00B75C62" w:rsidP="00B75C62">
      <w:pPr>
        <w:numPr>
          <w:ilvl w:val="0"/>
          <w:numId w:val="39"/>
        </w:numPr>
        <w:spacing w:after="0"/>
        <w:jc w:val="left"/>
        <w:rPr>
          <w:lang w:val="en-GB"/>
        </w:rPr>
      </w:pPr>
      <w:r w:rsidRPr="00DE0CC6">
        <w:rPr>
          <w:lang w:val="en-GB"/>
        </w:rPr>
        <w:t xml:space="preserve">Is your country participating in </w:t>
      </w:r>
      <w:r>
        <w:rPr>
          <w:lang w:val="en-GB"/>
        </w:rPr>
        <w:t xml:space="preserve">the </w:t>
      </w:r>
      <w:r w:rsidRPr="00DE0CC6">
        <w:rPr>
          <w:lang w:val="en-GB"/>
        </w:rPr>
        <w:t>regional Codex coordination committee?</w:t>
      </w:r>
      <w:r>
        <w:rPr>
          <w:lang w:val="en-GB"/>
        </w:rPr>
        <w:t xml:space="preserve"> If yes, what benefits does the regional committee bring to your country? If no, why not?</w:t>
      </w:r>
    </w:p>
    <w:p w:rsidR="00B75C62" w:rsidRPr="00DE0CC6" w:rsidRDefault="00B75C62" w:rsidP="00B75C62">
      <w:pPr>
        <w:numPr>
          <w:ilvl w:val="0"/>
          <w:numId w:val="39"/>
        </w:numPr>
        <w:spacing w:after="0"/>
        <w:jc w:val="left"/>
        <w:rPr>
          <w:lang w:val="en-GB"/>
        </w:rPr>
      </w:pPr>
      <w:r>
        <w:rPr>
          <w:lang w:val="en-GB"/>
        </w:rPr>
        <w:t xml:space="preserve">How can regional coordination/regional coordinating committees be used to enhance participation of all countries in the Codex process??  </w:t>
      </w:r>
    </w:p>
    <w:p w:rsidR="00B75C62" w:rsidRDefault="00B75C62" w:rsidP="00B75C62">
      <w:pPr>
        <w:numPr>
          <w:ilvl w:val="0"/>
          <w:numId w:val="39"/>
        </w:numPr>
        <w:spacing w:after="0"/>
        <w:jc w:val="left"/>
        <w:rPr>
          <w:lang w:val="en-GB"/>
        </w:rPr>
      </w:pPr>
      <w:r w:rsidRPr="00DE0CC6">
        <w:rPr>
          <w:lang w:val="en-GB"/>
        </w:rPr>
        <w:t>What are your plans in relation to your country’s future participation in Codex meetings?</w:t>
      </w:r>
    </w:p>
    <w:p w:rsidR="00B75C62" w:rsidRDefault="00B75C62" w:rsidP="00B75C62">
      <w:pPr>
        <w:numPr>
          <w:ilvl w:val="0"/>
          <w:numId w:val="39"/>
        </w:numPr>
        <w:spacing w:after="0"/>
        <w:jc w:val="left"/>
        <w:rPr>
          <w:lang w:val="en-GB"/>
        </w:rPr>
      </w:pPr>
      <w:r w:rsidRPr="00293C0A">
        <w:rPr>
          <w:lang w:val="en-GB"/>
        </w:rPr>
        <w:t>What is your view on:</w:t>
      </w:r>
      <w:r>
        <w:rPr>
          <w:lang w:val="en-GB"/>
        </w:rPr>
        <w:t xml:space="preserve"> </w:t>
      </w:r>
      <w:r w:rsidRPr="00293C0A">
        <w:rPr>
          <w:lang w:val="en-GB"/>
        </w:rPr>
        <w:t>C</w:t>
      </w:r>
      <w:r>
        <w:rPr>
          <w:lang w:val="en-GB"/>
        </w:rPr>
        <w:t xml:space="preserve">odex </w:t>
      </w:r>
      <w:r w:rsidRPr="00293C0A">
        <w:rPr>
          <w:lang w:val="en-GB"/>
        </w:rPr>
        <w:t>T</w:t>
      </w:r>
      <w:r>
        <w:rPr>
          <w:lang w:val="en-GB"/>
        </w:rPr>
        <w:t xml:space="preserve">rust </w:t>
      </w:r>
      <w:r w:rsidRPr="00293C0A">
        <w:rPr>
          <w:lang w:val="en-GB"/>
        </w:rPr>
        <w:t>F</w:t>
      </w:r>
      <w:r>
        <w:rPr>
          <w:lang w:val="en-GB"/>
        </w:rPr>
        <w:t>und</w:t>
      </w:r>
      <w:r w:rsidRPr="00293C0A">
        <w:rPr>
          <w:lang w:val="en-GB"/>
        </w:rPr>
        <w:t xml:space="preserve"> country groupings, selection criteria and country graduation?</w:t>
      </w:r>
    </w:p>
    <w:p w:rsidR="00B75C62" w:rsidRPr="00DE0CC6" w:rsidRDefault="00B75C62" w:rsidP="00B75C62">
      <w:pPr>
        <w:numPr>
          <w:ilvl w:val="0"/>
          <w:numId w:val="39"/>
        </w:numPr>
        <w:spacing w:after="0"/>
        <w:jc w:val="left"/>
        <w:rPr>
          <w:lang w:val="en-GB"/>
        </w:rPr>
      </w:pPr>
      <w:r w:rsidRPr="00DE0CC6">
        <w:rPr>
          <w:lang w:val="en-GB"/>
        </w:rPr>
        <w:t>Are the three objectives of CTF still valid?</w:t>
      </w:r>
    </w:p>
    <w:p w:rsidR="00B75C62" w:rsidRPr="00DE0CC6" w:rsidRDefault="00B75C62" w:rsidP="00B75C62">
      <w:pPr>
        <w:numPr>
          <w:ilvl w:val="0"/>
          <w:numId w:val="39"/>
        </w:numPr>
        <w:spacing w:after="0"/>
        <w:jc w:val="left"/>
        <w:rPr>
          <w:lang w:val="en-GB"/>
        </w:rPr>
      </w:pPr>
      <w:r w:rsidRPr="00DE0CC6">
        <w:rPr>
          <w:lang w:val="en-GB"/>
        </w:rPr>
        <w:t>Is the current focus of activities and funding appropriate?</w:t>
      </w:r>
    </w:p>
    <w:p w:rsidR="00B75C62" w:rsidRPr="00DE0CC6" w:rsidRDefault="00B75C62" w:rsidP="00B75C62">
      <w:pPr>
        <w:numPr>
          <w:ilvl w:val="0"/>
          <w:numId w:val="39"/>
        </w:numPr>
        <w:spacing w:after="0"/>
        <w:jc w:val="left"/>
        <w:rPr>
          <w:lang w:val="en-GB"/>
        </w:rPr>
      </w:pPr>
      <w:r w:rsidRPr="00DE0CC6">
        <w:rPr>
          <w:lang w:val="en-GB"/>
        </w:rPr>
        <w:t>What is the potential role of the CTF in capacity building?</w:t>
      </w:r>
    </w:p>
    <w:p w:rsidR="00B75C62" w:rsidRPr="00DE0CC6" w:rsidRDefault="00B75C62" w:rsidP="00B75C62">
      <w:pPr>
        <w:numPr>
          <w:ilvl w:val="0"/>
          <w:numId w:val="39"/>
        </w:numPr>
        <w:spacing w:after="0"/>
        <w:jc w:val="left"/>
        <w:rPr>
          <w:lang w:val="en-GB"/>
        </w:rPr>
      </w:pPr>
      <w:r w:rsidRPr="00DE0CC6">
        <w:rPr>
          <w:lang w:val="en-GB"/>
        </w:rPr>
        <w:t>Should there be any change in the future focus of the CTF? In terms of strategy? In terms of activities?</w:t>
      </w:r>
    </w:p>
    <w:p w:rsidR="00B75C62" w:rsidRDefault="00B75C62" w:rsidP="00B75C62">
      <w:pPr>
        <w:numPr>
          <w:ilvl w:val="0"/>
          <w:numId w:val="39"/>
        </w:numPr>
        <w:spacing w:after="0"/>
        <w:jc w:val="left"/>
        <w:rPr>
          <w:lang w:val="en-GB"/>
        </w:rPr>
      </w:pPr>
      <w:r w:rsidRPr="00DE0CC6">
        <w:rPr>
          <w:lang w:val="en-GB"/>
        </w:rPr>
        <w:t>Any other comments or recommendations you would like to share?</w:t>
      </w:r>
    </w:p>
    <w:p w:rsidR="00B75C62" w:rsidRPr="00B75C62" w:rsidRDefault="00B75C62" w:rsidP="00FF23A7">
      <w:pPr>
        <w:spacing w:after="0"/>
        <w:rPr>
          <w:lang w:val="en-GB"/>
        </w:rPr>
      </w:pPr>
    </w:p>
    <w:p w:rsidR="005D6547" w:rsidRPr="005D6547" w:rsidRDefault="005D6547" w:rsidP="00FF23A7">
      <w:pPr>
        <w:spacing w:after="0"/>
        <w:rPr>
          <w:lang w:val="en-US"/>
        </w:rPr>
      </w:pPr>
    </w:p>
    <w:p w:rsidR="005D6547" w:rsidRDefault="000207AC" w:rsidP="00FF23A7">
      <w:pPr>
        <w:spacing w:after="0"/>
        <w:rPr>
          <w:rFonts w:asciiTheme="majorHAnsi" w:hAnsiTheme="majorHAnsi" w:cstheme="majorHAnsi"/>
          <w:b/>
          <w:color w:val="4F81BD" w:themeColor="accent1"/>
          <w:sz w:val="28"/>
          <w:szCs w:val="28"/>
          <w:lang w:val="en-US"/>
        </w:rPr>
      </w:pPr>
      <w:r w:rsidRPr="00B75C62">
        <w:rPr>
          <w:rFonts w:asciiTheme="majorHAnsi" w:hAnsiTheme="majorHAnsi" w:cstheme="majorHAnsi"/>
          <w:b/>
          <w:color w:val="4F81BD" w:themeColor="accent1"/>
          <w:sz w:val="28"/>
          <w:szCs w:val="28"/>
          <w:lang w:val="en-US"/>
        </w:rPr>
        <w:t>Interview guidelines – Codex regional coordinators</w:t>
      </w:r>
    </w:p>
    <w:p w:rsidR="00B75C62" w:rsidRPr="00B75C62" w:rsidRDefault="00B75C62" w:rsidP="00FF23A7">
      <w:pPr>
        <w:spacing w:after="0"/>
        <w:rPr>
          <w:rFonts w:asciiTheme="majorHAnsi" w:hAnsiTheme="majorHAnsi" w:cstheme="majorHAnsi"/>
          <w:b/>
          <w:color w:val="4F81BD" w:themeColor="accent1"/>
          <w:sz w:val="28"/>
          <w:szCs w:val="28"/>
          <w:lang w:val="en-US"/>
        </w:rPr>
      </w:pPr>
    </w:p>
    <w:p w:rsidR="00B75C62" w:rsidRPr="00DE0CC6" w:rsidRDefault="00B75C62" w:rsidP="00B75C62">
      <w:pPr>
        <w:numPr>
          <w:ilvl w:val="0"/>
          <w:numId w:val="40"/>
        </w:numPr>
        <w:spacing w:after="120"/>
        <w:ind w:left="720"/>
        <w:jc w:val="left"/>
        <w:rPr>
          <w:lang w:val="en-GB"/>
        </w:rPr>
      </w:pPr>
      <w:r>
        <w:rPr>
          <w:lang w:val="en-GB"/>
        </w:rPr>
        <w:t>Have you seen an increase in the number of developing countries participating in regional coordinating committees?  Do you think the CTF has contributed to this? What can you say about developing country participation in regional coordinating committees?</w:t>
      </w:r>
    </w:p>
    <w:p w:rsidR="00B75C62" w:rsidRDefault="00B75C62" w:rsidP="00B75C62">
      <w:pPr>
        <w:numPr>
          <w:ilvl w:val="0"/>
          <w:numId w:val="40"/>
        </w:numPr>
        <w:spacing w:after="120"/>
        <w:ind w:left="720"/>
        <w:jc w:val="left"/>
        <w:rPr>
          <w:lang w:val="en-GB"/>
        </w:rPr>
      </w:pPr>
      <w:r w:rsidRPr="00DE0CC6">
        <w:rPr>
          <w:lang w:val="en-GB"/>
        </w:rPr>
        <w:t>Which countries are active/not active in the regional meetings? Why</w:t>
      </w:r>
      <w:r>
        <w:rPr>
          <w:lang w:val="en-GB"/>
        </w:rPr>
        <w:t xml:space="preserve"> do you think this is</w:t>
      </w:r>
      <w:r w:rsidRPr="00DE0CC6">
        <w:rPr>
          <w:lang w:val="en-GB"/>
        </w:rPr>
        <w:t>?</w:t>
      </w:r>
    </w:p>
    <w:p w:rsidR="00B75C62" w:rsidRPr="00DE0CC6" w:rsidRDefault="00B75C62" w:rsidP="00B75C62">
      <w:pPr>
        <w:numPr>
          <w:ilvl w:val="0"/>
          <w:numId w:val="40"/>
        </w:numPr>
        <w:spacing w:after="120"/>
        <w:ind w:left="720"/>
        <w:jc w:val="left"/>
        <w:rPr>
          <w:lang w:val="en-GB"/>
        </w:rPr>
      </w:pPr>
      <w:r w:rsidRPr="00DE0CC6">
        <w:rPr>
          <w:lang w:val="en-GB"/>
        </w:rPr>
        <w:t>Which are the constraints to effective participation in Codex meetings at regional level?</w:t>
      </w:r>
    </w:p>
    <w:p w:rsidR="00B75C62" w:rsidRDefault="00B75C62" w:rsidP="00B75C62">
      <w:pPr>
        <w:numPr>
          <w:ilvl w:val="0"/>
          <w:numId w:val="40"/>
        </w:numPr>
        <w:spacing w:after="120"/>
        <w:ind w:left="720"/>
        <w:jc w:val="left"/>
        <w:rPr>
          <w:lang w:val="en-GB"/>
        </w:rPr>
      </w:pPr>
      <w:r>
        <w:rPr>
          <w:lang w:val="en-GB"/>
        </w:rPr>
        <w:t xml:space="preserve">By what means do you try to engage countries in participating in Codex? </w:t>
      </w:r>
    </w:p>
    <w:p w:rsidR="00B75C62" w:rsidRPr="00DE0CC6" w:rsidRDefault="00B75C62" w:rsidP="00B75C62">
      <w:pPr>
        <w:numPr>
          <w:ilvl w:val="0"/>
          <w:numId w:val="40"/>
        </w:numPr>
        <w:spacing w:after="120"/>
        <w:ind w:left="720"/>
        <w:jc w:val="left"/>
        <w:rPr>
          <w:lang w:val="en-GB"/>
        </w:rPr>
      </w:pPr>
      <w:r>
        <w:rPr>
          <w:lang w:val="en-GB"/>
        </w:rPr>
        <w:t>What Codex training/technical assistance has been available at regional level?</w:t>
      </w:r>
    </w:p>
    <w:p w:rsidR="00B75C62" w:rsidRDefault="00B75C62" w:rsidP="00B75C62">
      <w:pPr>
        <w:numPr>
          <w:ilvl w:val="0"/>
          <w:numId w:val="40"/>
        </w:numPr>
        <w:spacing w:after="120"/>
        <w:ind w:left="720"/>
        <w:jc w:val="left"/>
        <w:rPr>
          <w:lang w:val="en-GB"/>
        </w:rPr>
      </w:pPr>
      <w:r>
        <w:rPr>
          <w:lang w:val="en-GB"/>
        </w:rPr>
        <w:t xml:space="preserve">How can regional coordination/regional coordinating committees be used to enhance participation of all countries in the Codex process? </w:t>
      </w:r>
    </w:p>
    <w:p w:rsidR="00B75C62" w:rsidRPr="00293C0A" w:rsidRDefault="00B75C62" w:rsidP="00B75C62">
      <w:pPr>
        <w:numPr>
          <w:ilvl w:val="0"/>
          <w:numId w:val="40"/>
        </w:numPr>
        <w:spacing w:after="120"/>
        <w:ind w:left="720"/>
        <w:jc w:val="left"/>
        <w:rPr>
          <w:lang w:val="en-GB"/>
        </w:rPr>
      </w:pPr>
      <w:r w:rsidRPr="00293C0A">
        <w:rPr>
          <w:lang w:val="en-GB"/>
        </w:rPr>
        <w:t>What is your view on: Codex Trust Fund country groupings, selection criteria and country graduation?</w:t>
      </w:r>
    </w:p>
    <w:p w:rsidR="00B75C62" w:rsidRPr="00293C0A" w:rsidRDefault="00B75C62" w:rsidP="00B75C62">
      <w:pPr>
        <w:numPr>
          <w:ilvl w:val="0"/>
          <w:numId w:val="40"/>
        </w:numPr>
        <w:spacing w:after="120"/>
        <w:ind w:left="720"/>
        <w:jc w:val="left"/>
        <w:rPr>
          <w:lang w:val="en-GB"/>
        </w:rPr>
      </w:pPr>
      <w:r w:rsidRPr="00293C0A">
        <w:rPr>
          <w:lang w:val="en-GB"/>
        </w:rPr>
        <w:t>Are the three objectives of CTF still valid?</w:t>
      </w:r>
    </w:p>
    <w:p w:rsidR="00B75C62" w:rsidRPr="00293C0A" w:rsidRDefault="00B75C62" w:rsidP="00B75C62">
      <w:pPr>
        <w:numPr>
          <w:ilvl w:val="0"/>
          <w:numId w:val="40"/>
        </w:numPr>
        <w:spacing w:after="120"/>
        <w:ind w:left="720"/>
        <w:jc w:val="left"/>
        <w:rPr>
          <w:lang w:val="en-GB"/>
        </w:rPr>
      </w:pPr>
      <w:r w:rsidRPr="00293C0A">
        <w:rPr>
          <w:lang w:val="en-GB"/>
        </w:rPr>
        <w:t>Is the current focus of activities and funding appropriate?</w:t>
      </w:r>
    </w:p>
    <w:p w:rsidR="00B75C62" w:rsidRPr="00293C0A" w:rsidRDefault="00B75C62" w:rsidP="00B75C62">
      <w:pPr>
        <w:numPr>
          <w:ilvl w:val="0"/>
          <w:numId w:val="40"/>
        </w:numPr>
        <w:spacing w:after="120"/>
        <w:ind w:left="720"/>
        <w:jc w:val="left"/>
        <w:rPr>
          <w:lang w:val="en-GB"/>
        </w:rPr>
      </w:pPr>
      <w:r w:rsidRPr="00293C0A">
        <w:rPr>
          <w:lang w:val="en-GB"/>
        </w:rPr>
        <w:t>What is the potential role of the CTF in capacity building?</w:t>
      </w:r>
    </w:p>
    <w:p w:rsidR="00B75C62" w:rsidRDefault="00B75C62" w:rsidP="00B75C62">
      <w:pPr>
        <w:numPr>
          <w:ilvl w:val="0"/>
          <w:numId w:val="40"/>
        </w:numPr>
        <w:spacing w:after="120"/>
        <w:ind w:left="720"/>
        <w:jc w:val="left"/>
        <w:rPr>
          <w:lang w:val="en-GB"/>
        </w:rPr>
      </w:pPr>
      <w:r w:rsidRPr="00293C0A">
        <w:rPr>
          <w:lang w:val="en-GB"/>
        </w:rPr>
        <w:t>Should there be any change in the future focus of the CTF? In terms of strategy? In terms of activities?</w:t>
      </w:r>
    </w:p>
    <w:p w:rsidR="005D6547" w:rsidRPr="00B75C62" w:rsidRDefault="00B75C62" w:rsidP="00B75C62">
      <w:pPr>
        <w:numPr>
          <w:ilvl w:val="0"/>
          <w:numId w:val="40"/>
        </w:numPr>
        <w:spacing w:after="120"/>
        <w:ind w:left="720"/>
        <w:jc w:val="left"/>
        <w:rPr>
          <w:lang w:val="en-GB"/>
        </w:rPr>
      </w:pPr>
      <w:r w:rsidRPr="00B75C62">
        <w:rPr>
          <w:lang w:val="en-GB"/>
        </w:rPr>
        <w:t>Other comments and recommendations?</w:t>
      </w:r>
    </w:p>
    <w:p w:rsidR="00B75C62" w:rsidRPr="005D6547" w:rsidRDefault="00B75C62" w:rsidP="00B75C62">
      <w:pPr>
        <w:spacing w:after="0"/>
        <w:rPr>
          <w:lang w:val="en-US"/>
        </w:rPr>
      </w:pPr>
    </w:p>
    <w:p w:rsidR="005D6547" w:rsidRDefault="000207AC" w:rsidP="00FF23A7">
      <w:pPr>
        <w:spacing w:after="0"/>
        <w:rPr>
          <w:rFonts w:asciiTheme="majorHAnsi" w:hAnsiTheme="majorHAnsi" w:cstheme="majorHAnsi"/>
          <w:b/>
          <w:color w:val="4F81BD" w:themeColor="accent1"/>
          <w:sz w:val="28"/>
          <w:szCs w:val="28"/>
          <w:lang w:val="en-US"/>
        </w:rPr>
      </w:pPr>
      <w:r w:rsidRPr="00B75C62">
        <w:rPr>
          <w:rFonts w:asciiTheme="majorHAnsi" w:hAnsiTheme="majorHAnsi" w:cstheme="majorHAnsi"/>
          <w:b/>
          <w:color w:val="4F81BD" w:themeColor="accent1"/>
          <w:sz w:val="28"/>
          <w:szCs w:val="28"/>
          <w:lang w:val="en-US"/>
        </w:rPr>
        <w:t>Interview guidelines – Codex committee chairs</w:t>
      </w:r>
    </w:p>
    <w:p w:rsidR="00B75C62" w:rsidRPr="00B75C62" w:rsidRDefault="00B75C62" w:rsidP="00FF23A7">
      <w:pPr>
        <w:spacing w:after="0"/>
        <w:rPr>
          <w:rFonts w:asciiTheme="majorHAnsi" w:hAnsiTheme="majorHAnsi" w:cstheme="majorHAnsi"/>
          <w:b/>
          <w:color w:val="4F81BD" w:themeColor="accent1"/>
          <w:sz w:val="28"/>
          <w:szCs w:val="28"/>
          <w:lang w:val="en-US"/>
        </w:rPr>
      </w:pPr>
    </w:p>
    <w:p w:rsidR="00B75C62" w:rsidRPr="00DE0CC6" w:rsidRDefault="00B75C62" w:rsidP="00B75C62">
      <w:pPr>
        <w:numPr>
          <w:ilvl w:val="0"/>
          <w:numId w:val="41"/>
        </w:numPr>
        <w:spacing w:after="120"/>
        <w:ind w:left="720"/>
        <w:jc w:val="left"/>
        <w:rPr>
          <w:lang w:val="en-GB"/>
        </w:rPr>
      </w:pPr>
      <w:r w:rsidRPr="00DE0CC6">
        <w:rPr>
          <w:lang w:val="en-GB"/>
        </w:rPr>
        <w:t>For how long have you been committee chair? What is your previous experience of Codex committee work?</w:t>
      </w:r>
    </w:p>
    <w:p w:rsidR="00B75C62" w:rsidRPr="00DE0CC6" w:rsidRDefault="00B75C62" w:rsidP="00B75C62">
      <w:pPr>
        <w:numPr>
          <w:ilvl w:val="0"/>
          <w:numId w:val="41"/>
        </w:numPr>
        <w:spacing w:after="120"/>
        <w:ind w:left="720"/>
        <w:jc w:val="left"/>
        <w:rPr>
          <w:lang w:val="en-GB"/>
        </w:rPr>
      </w:pPr>
      <w:r w:rsidRPr="00DE0CC6">
        <w:rPr>
          <w:lang w:val="en-GB"/>
        </w:rPr>
        <w:t>Which countries are active/inactive in your committee? Why?</w:t>
      </w:r>
    </w:p>
    <w:p w:rsidR="00B75C62" w:rsidRPr="00DE0CC6" w:rsidRDefault="00B75C62" w:rsidP="00B75C62">
      <w:pPr>
        <w:numPr>
          <w:ilvl w:val="0"/>
          <w:numId w:val="41"/>
        </w:numPr>
        <w:spacing w:after="120"/>
        <w:ind w:left="720"/>
        <w:jc w:val="left"/>
        <w:rPr>
          <w:lang w:val="en-GB"/>
        </w:rPr>
      </w:pPr>
      <w:r w:rsidRPr="00DE0CC6">
        <w:rPr>
          <w:lang w:val="en-GB"/>
        </w:rPr>
        <w:lastRenderedPageBreak/>
        <w:t>How have committee meeting dynamics (substantial focus, type of discussion etc) evolved over time? Why?</w:t>
      </w:r>
    </w:p>
    <w:p w:rsidR="00B75C62" w:rsidRPr="00DE0CC6" w:rsidRDefault="00B75C62" w:rsidP="00B75C62">
      <w:pPr>
        <w:numPr>
          <w:ilvl w:val="0"/>
          <w:numId w:val="41"/>
        </w:numPr>
        <w:spacing w:after="120"/>
        <w:ind w:left="720"/>
        <w:jc w:val="left"/>
        <w:rPr>
          <w:lang w:val="en-GB"/>
        </w:rPr>
      </w:pPr>
      <w:r w:rsidRPr="00DE0CC6">
        <w:rPr>
          <w:lang w:val="en-GB"/>
        </w:rPr>
        <w:t>How would you assess the participation of developing countries in your committee? Which developing countries are active/not active? Do they participate effectively? How has their participation evolved over time? Why?</w:t>
      </w:r>
    </w:p>
    <w:p w:rsidR="00B75C62" w:rsidRPr="00DE0CC6" w:rsidRDefault="00B75C62" w:rsidP="00B75C62">
      <w:pPr>
        <w:numPr>
          <w:ilvl w:val="0"/>
          <w:numId w:val="41"/>
        </w:numPr>
        <w:spacing w:after="120"/>
        <w:ind w:left="720"/>
        <w:jc w:val="left"/>
        <w:rPr>
          <w:lang w:val="en-GB"/>
        </w:rPr>
      </w:pPr>
      <w:r w:rsidRPr="00DE0CC6">
        <w:rPr>
          <w:lang w:val="en-GB"/>
        </w:rPr>
        <w:t>In you view, has the Codex Trust Fund had any indirect or direct impact on the work of your committee? If yes, in what way?</w:t>
      </w:r>
    </w:p>
    <w:p w:rsidR="00B75C62" w:rsidRDefault="00B75C62" w:rsidP="00B75C62">
      <w:pPr>
        <w:numPr>
          <w:ilvl w:val="0"/>
          <w:numId w:val="41"/>
        </w:numPr>
        <w:spacing w:after="120"/>
        <w:ind w:left="720"/>
        <w:jc w:val="left"/>
        <w:rPr>
          <w:lang w:val="en-GB"/>
        </w:rPr>
      </w:pPr>
      <w:r w:rsidRPr="00DE0CC6">
        <w:rPr>
          <w:lang w:val="en-GB"/>
        </w:rPr>
        <w:t>How can the impact of the Codex Trust Fund be enhanced?</w:t>
      </w:r>
    </w:p>
    <w:p w:rsidR="00B75C62" w:rsidRPr="00293C0A" w:rsidRDefault="00B75C62" w:rsidP="00B75C62">
      <w:pPr>
        <w:numPr>
          <w:ilvl w:val="0"/>
          <w:numId w:val="41"/>
        </w:numPr>
        <w:spacing w:after="120"/>
        <w:ind w:left="720"/>
        <w:jc w:val="left"/>
        <w:rPr>
          <w:lang w:val="en-GB"/>
        </w:rPr>
      </w:pPr>
      <w:r w:rsidRPr="00293C0A">
        <w:rPr>
          <w:lang w:val="en-GB"/>
        </w:rPr>
        <w:t>What is your view on: Codex Trust Fund country groupings, selection criteria and country graduation?</w:t>
      </w:r>
    </w:p>
    <w:p w:rsidR="00B75C62" w:rsidRPr="00293C0A" w:rsidRDefault="00B75C62" w:rsidP="00B75C62">
      <w:pPr>
        <w:numPr>
          <w:ilvl w:val="0"/>
          <w:numId w:val="41"/>
        </w:numPr>
        <w:spacing w:after="120"/>
        <w:ind w:left="720"/>
        <w:jc w:val="left"/>
        <w:rPr>
          <w:lang w:val="en-GB"/>
        </w:rPr>
      </w:pPr>
      <w:r w:rsidRPr="00293C0A">
        <w:rPr>
          <w:lang w:val="en-GB"/>
        </w:rPr>
        <w:t>Are the three objectives of CTF still valid?</w:t>
      </w:r>
    </w:p>
    <w:p w:rsidR="00B75C62" w:rsidRPr="00293C0A" w:rsidRDefault="00B75C62" w:rsidP="00B75C62">
      <w:pPr>
        <w:numPr>
          <w:ilvl w:val="0"/>
          <w:numId w:val="41"/>
        </w:numPr>
        <w:spacing w:after="120"/>
        <w:ind w:left="720"/>
        <w:jc w:val="left"/>
        <w:rPr>
          <w:lang w:val="en-GB"/>
        </w:rPr>
      </w:pPr>
      <w:r w:rsidRPr="00293C0A">
        <w:rPr>
          <w:lang w:val="en-GB"/>
        </w:rPr>
        <w:t>Is the current focus of activities and funding appropriate?</w:t>
      </w:r>
    </w:p>
    <w:p w:rsidR="00B75C62" w:rsidRPr="00293C0A" w:rsidRDefault="00B75C62" w:rsidP="00B75C62">
      <w:pPr>
        <w:numPr>
          <w:ilvl w:val="0"/>
          <w:numId w:val="41"/>
        </w:numPr>
        <w:spacing w:after="120"/>
        <w:ind w:left="720"/>
        <w:jc w:val="left"/>
        <w:rPr>
          <w:lang w:val="en-GB"/>
        </w:rPr>
      </w:pPr>
      <w:r w:rsidRPr="00293C0A">
        <w:rPr>
          <w:lang w:val="en-GB"/>
        </w:rPr>
        <w:t>What is the potential role of the CTF in capacity building?</w:t>
      </w:r>
    </w:p>
    <w:p w:rsidR="00B75C62" w:rsidRDefault="00B75C62" w:rsidP="00B75C62">
      <w:pPr>
        <w:numPr>
          <w:ilvl w:val="0"/>
          <w:numId w:val="41"/>
        </w:numPr>
        <w:spacing w:after="120"/>
        <w:ind w:left="720"/>
        <w:jc w:val="left"/>
        <w:rPr>
          <w:lang w:val="en-GB"/>
        </w:rPr>
      </w:pPr>
      <w:r w:rsidRPr="00293C0A">
        <w:rPr>
          <w:lang w:val="en-GB"/>
        </w:rPr>
        <w:t>Should there be any change in the future focus of the CTF? In terms of strategy? In terms of activities?</w:t>
      </w:r>
    </w:p>
    <w:p w:rsidR="00B75C62" w:rsidRPr="00B75C62" w:rsidRDefault="00B75C62" w:rsidP="00B75C62">
      <w:pPr>
        <w:numPr>
          <w:ilvl w:val="0"/>
          <w:numId w:val="41"/>
        </w:numPr>
        <w:spacing w:after="120"/>
        <w:ind w:left="720"/>
        <w:jc w:val="left"/>
        <w:rPr>
          <w:lang w:val="en-GB"/>
        </w:rPr>
      </w:pPr>
      <w:r w:rsidRPr="00B75C62">
        <w:rPr>
          <w:lang w:val="en-GB"/>
        </w:rPr>
        <w:t>Other comments and recommendations?</w:t>
      </w:r>
    </w:p>
    <w:p w:rsidR="005D6547" w:rsidRPr="005D6547" w:rsidRDefault="005D6547" w:rsidP="00FF23A7">
      <w:pPr>
        <w:spacing w:after="0"/>
        <w:rPr>
          <w:lang w:val="en-US"/>
        </w:rPr>
      </w:pPr>
    </w:p>
    <w:p w:rsidR="005D6547" w:rsidRDefault="000207AC" w:rsidP="00FF23A7">
      <w:pPr>
        <w:spacing w:after="0"/>
        <w:rPr>
          <w:rFonts w:asciiTheme="majorHAnsi" w:hAnsiTheme="majorHAnsi" w:cstheme="majorHAnsi"/>
          <w:b/>
          <w:color w:val="4F81BD" w:themeColor="accent1"/>
          <w:sz w:val="28"/>
          <w:szCs w:val="28"/>
          <w:lang w:val="en-US"/>
        </w:rPr>
      </w:pPr>
      <w:r w:rsidRPr="008059BE">
        <w:rPr>
          <w:rFonts w:asciiTheme="majorHAnsi" w:hAnsiTheme="majorHAnsi" w:cstheme="majorHAnsi"/>
          <w:b/>
          <w:color w:val="4F81BD" w:themeColor="accent1"/>
          <w:sz w:val="28"/>
          <w:szCs w:val="28"/>
          <w:lang w:val="en-US"/>
        </w:rPr>
        <w:t>Interview guidelines – Donors</w:t>
      </w:r>
    </w:p>
    <w:p w:rsidR="008059BE" w:rsidRPr="008059BE" w:rsidRDefault="008059BE" w:rsidP="00FF23A7">
      <w:pPr>
        <w:spacing w:after="0"/>
        <w:rPr>
          <w:rFonts w:asciiTheme="majorHAnsi" w:hAnsiTheme="majorHAnsi" w:cstheme="majorHAnsi"/>
          <w:b/>
          <w:color w:val="4F81BD" w:themeColor="accent1"/>
          <w:sz w:val="28"/>
          <w:szCs w:val="28"/>
          <w:lang w:val="en-US"/>
        </w:rPr>
      </w:pPr>
    </w:p>
    <w:p w:rsidR="008059BE" w:rsidRPr="00DE0CC6" w:rsidRDefault="008059BE" w:rsidP="008059BE">
      <w:pPr>
        <w:spacing w:after="0"/>
        <w:rPr>
          <w:u w:val="single"/>
          <w:lang w:val="en-GB"/>
        </w:rPr>
      </w:pPr>
      <w:r w:rsidRPr="00DE0CC6">
        <w:rPr>
          <w:u w:val="single"/>
          <w:lang w:val="en-GB"/>
        </w:rPr>
        <w:t>For do</w:t>
      </w:r>
      <w:r>
        <w:rPr>
          <w:u w:val="single"/>
          <w:lang w:val="en-GB"/>
        </w:rPr>
        <w:t>nors that currently support CTF</w:t>
      </w:r>
    </w:p>
    <w:p w:rsidR="008059BE" w:rsidRPr="00DE0CC6" w:rsidRDefault="008059BE" w:rsidP="008059BE">
      <w:pPr>
        <w:numPr>
          <w:ilvl w:val="0"/>
          <w:numId w:val="42"/>
        </w:numPr>
        <w:spacing w:after="0"/>
        <w:ind w:left="720"/>
        <w:jc w:val="left"/>
        <w:rPr>
          <w:lang w:val="en-GB"/>
        </w:rPr>
      </w:pPr>
      <w:r w:rsidRPr="00DE0CC6">
        <w:rPr>
          <w:lang w:val="en-GB"/>
        </w:rPr>
        <w:t xml:space="preserve">For how long have you been </w:t>
      </w:r>
      <w:r>
        <w:rPr>
          <w:lang w:val="en-GB"/>
        </w:rPr>
        <w:t>supporting</w:t>
      </w:r>
      <w:r w:rsidRPr="00DE0CC6">
        <w:rPr>
          <w:lang w:val="en-GB"/>
        </w:rPr>
        <w:t xml:space="preserve"> with the Codex Trust Fund?</w:t>
      </w:r>
    </w:p>
    <w:p w:rsidR="008059BE" w:rsidRPr="00DE0CC6" w:rsidRDefault="008059BE" w:rsidP="008059BE">
      <w:pPr>
        <w:numPr>
          <w:ilvl w:val="0"/>
          <w:numId w:val="42"/>
        </w:numPr>
        <w:spacing w:after="0"/>
        <w:ind w:left="720"/>
        <w:jc w:val="left"/>
        <w:rPr>
          <w:lang w:val="en-GB"/>
        </w:rPr>
      </w:pPr>
      <w:r w:rsidRPr="00DE0CC6">
        <w:rPr>
          <w:lang w:val="en-GB"/>
        </w:rPr>
        <w:t xml:space="preserve">How has the support of your country evolved over time? Why? </w:t>
      </w:r>
    </w:p>
    <w:p w:rsidR="008059BE" w:rsidRPr="00DE0CC6" w:rsidRDefault="008059BE" w:rsidP="008059BE">
      <w:pPr>
        <w:numPr>
          <w:ilvl w:val="0"/>
          <w:numId w:val="42"/>
        </w:numPr>
        <w:spacing w:after="0"/>
        <w:ind w:left="720"/>
        <w:jc w:val="left"/>
        <w:rPr>
          <w:lang w:val="en-GB"/>
        </w:rPr>
      </w:pPr>
      <w:r w:rsidRPr="00DE0CC6">
        <w:rPr>
          <w:lang w:val="en-GB"/>
        </w:rPr>
        <w:t>What are the strengths of the Codex Trust Fund Secretariat? Weaknesses?</w:t>
      </w:r>
    </w:p>
    <w:p w:rsidR="008059BE" w:rsidRPr="00DE0CC6" w:rsidRDefault="008059BE" w:rsidP="008059BE">
      <w:pPr>
        <w:numPr>
          <w:ilvl w:val="0"/>
          <w:numId w:val="42"/>
        </w:numPr>
        <w:spacing w:after="0"/>
        <w:ind w:left="720"/>
        <w:jc w:val="left"/>
        <w:rPr>
          <w:lang w:val="en-GB"/>
        </w:rPr>
      </w:pPr>
      <w:r w:rsidRPr="00DE0CC6">
        <w:rPr>
          <w:lang w:val="en-GB"/>
        </w:rPr>
        <w:t>What is your view on:</w:t>
      </w:r>
    </w:p>
    <w:p w:rsidR="008059BE" w:rsidRPr="00DE0CC6" w:rsidRDefault="008059BE" w:rsidP="008059BE">
      <w:pPr>
        <w:numPr>
          <w:ilvl w:val="0"/>
          <w:numId w:val="38"/>
        </w:numPr>
        <w:spacing w:after="0"/>
        <w:ind w:left="714" w:hanging="357"/>
        <w:jc w:val="left"/>
        <w:rPr>
          <w:lang w:val="en-GB"/>
        </w:rPr>
      </w:pPr>
      <w:r w:rsidRPr="00DE0CC6">
        <w:rPr>
          <w:lang w:val="en-GB"/>
        </w:rPr>
        <w:t>CTF country groupings, selection criteria and country graduation?</w:t>
      </w:r>
    </w:p>
    <w:p w:rsidR="008059BE" w:rsidRPr="00DE0CC6" w:rsidRDefault="008059BE" w:rsidP="008059BE">
      <w:pPr>
        <w:numPr>
          <w:ilvl w:val="0"/>
          <w:numId w:val="38"/>
        </w:numPr>
        <w:spacing w:after="0"/>
        <w:ind w:left="714" w:hanging="357"/>
        <w:jc w:val="left"/>
        <w:rPr>
          <w:lang w:val="en-GB"/>
        </w:rPr>
      </w:pPr>
      <w:r w:rsidRPr="00DE0CC6">
        <w:rPr>
          <w:lang w:val="en-GB"/>
        </w:rPr>
        <w:t>Cost-effectiveness of the Secretariat?</w:t>
      </w:r>
    </w:p>
    <w:p w:rsidR="008059BE" w:rsidRPr="00DE0CC6" w:rsidRDefault="008059BE" w:rsidP="008059BE">
      <w:pPr>
        <w:numPr>
          <w:ilvl w:val="0"/>
          <w:numId w:val="38"/>
        </w:numPr>
        <w:spacing w:after="0"/>
        <w:ind w:left="714" w:hanging="357"/>
        <w:jc w:val="left"/>
        <w:rPr>
          <w:lang w:val="en-GB"/>
        </w:rPr>
      </w:pPr>
      <w:r w:rsidRPr="00DE0CC6">
        <w:rPr>
          <w:lang w:val="en-GB"/>
        </w:rPr>
        <w:t>Capacity and structure of the Secretariat?</w:t>
      </w:r>
    </w:p>
    <w:p w:rsidR="008059BE" w:rsidRPr="00DE0CC6" w:rsidRDefault="008059BE" w:rsidP="008059BE">
      <w:pPr>
        <w:numPr>
          <w:ilvl w:val="0"/>
          <w:numId w:val="38"/>
        </w:numPr>
        <w:spacing w:after="0"/>
        <w:ind w:left="714" w:hanging="357"/>
        <w:jc w:val="left"/>
        <w:rPr>
          <w:lang w:val="en-GB"/>
        </w:rPr>
      </w:pPr>
      <w:r w:rsidRPr="00DE0CC6">
        <w:rPr>
          <w:lang w:val="en-GB"/>
        </w:rPr>
        <w:t xml:space="preserve">Reporting from the Secretariat? </w:t>
      </w:r>
    </w:p>
    <w:p w:rsidR="008059BE" w:rsidRPr="00DE0CC6" w:rsidRDefault="008059BE" w:rsidP="008059BE">
      <w:pPr>
        <w:numPr>
          <w:ilvl w:val="0"/>
          <w:numId w:val="38"/>
        </w:numPr>
        <w:spacing w:after="0"/>
        <w:ind w:left="714" w:hanging="357"/>
        <w:jc w:val="left"/>
        <w:rPr>
          <w:lang w:val="en-GB"/>
        </w:rPr>
      </w:pPr>
      <w:r w:rsidRPr="00DE0CC6">
        <w:rPr>
          <w:lang w:val="en-GB"/>
        </w:rPr>
        <w:t>Results-orientation of the Secretariat?</w:t>
      </w:r>
    </w:p>
    <w:p w:rsidR="008059BE" w:rsidRPr="00DE0CC6" w:rsidRDefault="008059BE" w:rsidP="008059BE">
      <w:pPr>
        <w:numPr>
          <w:ilvl w:val="0"/>
          <w:numId w:val="38"/>
        </w:numPr>
        <w:spacing w:after="0"/>
        <w:ind w:left="714" w:hanging="357"/>
        <w:jc w:val="left"/>
        <w:rPr>
          <w:lang w:val="en-GB"/>
        </w:rPr>
      </w:pPr>
      <w:r w:rsidRPr="00DE0CC6">
        <w:rPr>
          <w:lang w:val="en-GB"/>
        </w:rPr>
        <w:t>Coordination activities for donors within the CTF?</w:t>
      </w:r>
    </w:p>
    <w:p w:rsidR="008059BE" w:rsidRPr="00DE0CC6" w:rsidRDefault="008059BE" w:rsidP="008059BE">
      <w:pPr>
        <w:numPr>
          <w:ilvl w:val="0"/>
          <w:numId w:val="38"/>
        </w:numPr>
        <w:spacing w:after="0"/>
        <w:ind w:left="714" w:hanging="357"/>
        <w:jc w:val="left"/>
        <w:rPr>
          <w:lang w:val="en-GB"/>
        </w:rPr>
      </w:pPr>
      <w:r w:rsidRPr="00DE0CC6">
        <w:rPr>
          <w:lang w:val="en-GB"/>
        </w:rPr>
        <w:t>Cooperation between CTF, FAO, WHO and Codex Alimentarius Secretariat?</w:t>
      </w:r>
    </w:p>
    <w:p w:rsidR="008059BE" w:rsidRPr="00DE0CC6" w:rsidRDefault="008059BE" w:rsidP="008059BE">
      <w:pPr>
        <w:numPr>
          <w:ilvl w:val="0"/>
          <w:numId w:val="38"/>
        </w:numPr>
        <w:spacing w:after="0"/>
        <w:ind w:left="714" w:hanging="357"/>
        <w:jc w:val="left"/>
        <w:rPr>
          <w:lang w:val="en-GB"/>
        </w:rPr>
      </w:pPr>
      <w:r w:rsidRPr="00DE0CC6">
        <w:rPr>
          <w:lang w:val="en-GB"/>
        </w:rPr>
        <w:t>Cooperation between CTF and with other relevant capacity building programmes, such as the Standard Trade and Development Facility?</w:t>
      </w:r>
    </w:p>
    <w:p w:rsidR="008059BE" w:rsidRPr="00DE0CC6" w:rsidRDefault="008059BE" w:rsidP="008059BE">
      <w:pPr>
        <w:numPr>
          <w:ilvl w:val="0"/>
          <w:numId w:val="42"/>
        </w:numPr>
        <w:spacing w:after="0"/>
        <w:ind w:left="720"/>
        <w:jc w:val="left"/>
        <w:rPr>
          <w:lang w:val="en-GB"/>
        </w:rPr>
      </w:pPr>
      <w:r w:rsidRPr="00DE0CC6">
        <w:rPr>
          <w:lang w:val="en-GB"/>
        </w:rPr>
        <w:t>Are the three objectives of CTF still valid?</w:t>
      </w:r>
    </w:p>
    <w:p w:rsidR="008059BE" w:rsidRPr="00DE0CC6" w:rsidRDefault="008059BE" w:rsidP="008059BE">
      <w:pPr>
        <w:numPr>
          <w:ilvl w:val="0"/>
          <w:numId w:val="42"/>
        </w:numPr>
        <w:spacing w:after="0"/>
        <w:ind w:left="720"/>
        <w:jc w:val="left"/>
        <w:rPr>
          <w:lang w:val="en-GB"/>
        </w:rPr>
      </w:pPr>
      <w:r w:rsidRPr="00DE0CC6">
        <w:rPr>
          <w:lang w:val="en-GB"/>
        </w:rPr>
        <w:t>Is the current focus of activities and funding appropriate?</w:t>
      </w:r>
    </w:p>
    <w:p w:rsidR="008059BE" w:rsidRPr="00DE0CC6" w:rsidRDefault="008059BE" w:rsidP="008059BE">
      <w:pPr>
        <w:numPr>
          <w:ilvl w:val="0"/>
          <w:numId w:val="42"/>
        </w:numPr>
        <w:spacing w:after="0"/>
        <w:ind w:left="720"/>
        <w:jc w:val="left"/>
        <w:rPr>
          <w:lang w:val="en-GB"/>
        </w:rPr>
      </w:pPr>
      <w:r w:rsidRPr="00DE0CC6">
        <w:rPr>
          <w:lang w:val="en-GB"/>
        </w:rPr>
        <w:t>What is the potential role of the CTF in capacity building?</w:t>
      </w:r>
    </w:p>
    <w:p w:rsidR="008059BE" w:rsidRPr="00DE0CC6" w:rsidRDefault="008059BE" w:rsidP="008059BE">
      <w:pPr>
        <w:numPr>
          <w:ilvl w:val="0"/>
          <w:numId w:val="42"/>
        </w:numPr>
        <w:spacing w:after="0"/>
        <w:ind w:left="720"/>
        <w:jc w:val="left"/>
        <w:rPr>
          <w:lang w:val="en-GB"/>
        </w:rPr>
      </w:pPr>
      <w:r w:rsidRPr="00DE0CC6">
        <w:rPr>
          <w:lang w:val="en-GB"/>
        </w:rPr>
        <w:t>Should there be any change in the future focus of the CTF? In terms of strategy? In terms of activities?</w:t>
      </w:r>
    </w:p>
    <w:p w:rsidR="008059BE" w:rsidRDefault="008059BE" w:rsidP="008059BE">
      <w:pPr>
        <w:numPr>
          <w:ilvl w:val="0"/>
          <w:numId w:val="42"/>
        </w:numPr>
        <w:spacing w:after="0"/>
        <w:ind w:left="720"/>
        <w:jc w:val="left"/>
        <w:rPr>
          <w:lang w:val="en-GB"/>
        </w:rPr>
      </w:pPr>
      <w:r w:rsidRPr="00F742E1">
        <w:rPr>
          <w:lang w:val="en-GB"/>
        </w:rPr>
        <w:t>Do you support participation in Codex meetings, directly or indirectly, through any other mechanisms?</w:t>
      </w:r>
    </w:p>
    <w:p w:rsidR="008059BE" w:rsidRPr="00DE0CC6" w:rsidRDefault="008059BE" w:rsidP="008059BE">
      <w:pPr>
        <w:numPr>
          <w:ilvl w:val="0"/>
          <w:numId w:val="42"/>
        </w:numPr>
        <w:spacing w:after="0"/>
        <w:ind w:left="720"/>
        <w:jc w:val="left"/>
        <w:rPr>
          <w:lang w:val="en-GB"/>
        </w:rPr>
      </w:pPr>
      <w:r w:rsidRPr="00DE0CC6">
        <w:rPr>
          <w:lang w:val="en-GB"/>
        </w:rPr>
        <w:t>Do you support other related capacity building programmes?</w:t>
      </w:r>
    </w:p>
    <w:p w:rsidR="008059BE" w:rsidRDefault="008059BE" w:rsidP="008059BE">
      <w:pPr>
        <w:numPr>
          <w:ilvl w:val="0"/>
          <w:numId w:val="42"/>
        </w:numPr>
        <w:spacing w:after="0"/>
        <w:ind w:left="720"/>
        <w:jc w:val="left"/>
        <w:rPr>
          <w:lang w:val="en-GB"/>
        </w:rPr>
      </w:pPr>
      <w:r w:rsidRPr="00DE0CC6">
        <w:rPr>
          <w:lang w:val="en-GB"/>
        </w:rPr>
        <w:t>Other comments and recommendations?</w:t>
      </w:r>
    </w:p>
    <w:p w:rsidR="008059BE" w:rsidRPr="00DE0CC6" w:rsidRDefault="008059BE" w:rsidP="008059BE">
      <w:pPr>
        <w:spacing w:after="0"/>
        <w:ind w:left="720"/>
        <w:rPr>
          <w:lang w:val="en-GB"/>
        </w:rPr>
      </w:pPr>
    </w:p>
    <w:p w:rsidR="008059BE" w:rsidRPr="00DE0CC6" w:rsidRDefault="008059BE" w:rsidP="008059BE">
      <w:pPr>
        <w:spacing w:after="0"/>
        <w:rPr>
          <w:u w:val="single"/>
          <w:lang w:val="en-GB"/>
        </w:rPr>
      </w:pPr>
      <w:r w:rsidRPr="00DE0CC6">
        <w:rPr>
          <w:u w:val="single"/>
          <w:lang w:val="en-GB"/>
        </w:rPr>
        <w:t>For donors that</w:t>
      </w:r>
      <w:r>
        <w:rPr>
          <w:u w:val="single"/>
          <w:lang w:val="en-GB"/>
        </w:rPr>
        <w:t xml:space="preserve"> does not currently support CTF</w:t>
      </w:r>
    </w:p>
    <w:p w:rsidR="008059BE" w:rsidRPr="00DE0CC6" w:rsidRDefault="008059BE" w:rsidP="008059BE">
      <w:pPr>
        <w:numPr>
          <w:ilvl w:val="0"/>
          <w:numId w:val="43"/>
        </w:numPr>
        <w:tabs>
          <w:tab w:val="clear" w:pos="1080"/>
          <w:tab w:val="num" w:pos="720"/>
        </w:tabs>
        <w:spacing w:after="0"/>
        <w:ind w:left="720"/>
        <w:jc w:val="left"/>
        <w:rPr>
          <w:lang w:val="en-GB"/>
        </w:rPr>
      </w:pPr>
      <w:r w:rsidRPr="00DE0CC6">
        <w:rPr>
          <w:lang w:val="en-GB"/>
        </w:rPr>
        <w:t>Why does your country not support CTF?</w:t>
      </w:r>
    </w:p>
    <w:p w:rsidR="008059BE" w:rsidRPr="00DE0CC6" w:rsidRDefault="008059BE" w:rsidP="008059BE">
      <w:pPr>
        <w:numPr>
          <w:ilvl w:val="0"/>
          <w:numId w:val="43"/>
        </w:numPr>
        <w:tabs>
          <w:tab w:val="clear" w:pos="1080"/>
          <w:tab w:val="num" w:pos="720"/>
        </w:tabs>
        <w:spacing w:after="0"/>
        <w:ind w:left="720"/>
        <w:jc w:val="left"/>
        <w:rPr>
          <w:lang w:val="en-GB"/>
        </w:rPr>
      </w:pPr>
      <w:r w:rsidRPr="00DE0CC6">
        <w:rPr>
          <w:lang w:val="en-GB"/>
        </w:rPr>
        <w:lastRenderedPageBreak/>
        <w:t>What are the reasons for not supporting CTF?</w:t>
      </w:r>
    </w:p>
    <w:p w:rsidR="008059BE" w:rsidRDefault="008059BE" w:rsidP="008059BE">
      <w:pPr>
        <w:numPr>
          <w:ilvl w:val="0"/>
          <w:numId w:val="43"/>
        </w:numPr>
        <w:tabs>
          <w:tab w:val="clear" w:pos="1080"/>
          <w:tab w:val="num" w:pos="720"/>
        </w:tabs>
        <w:spacing w:after="0"/>
        <w:ind w:left="720"/>
        <w:jc w:val="left"/>
        <w:rPr>
          <w:lang w:val="en-GB"/>
        </w:rPr>
      </w:pPr>
      <w:r w:rsidRPr="00DE0CC6">
        <w:rPr>
          <w:lang w:val="en-GB"/>
        </w:rPr>
        <w:t>If you have provided support to CTF in the past, why did you stop doing so? Was it related to the strategy or performance of CTF?</w:t>
      </w:r>
    </w:p>
    <w:p w:rsidR="008059BE" w:rsidRPr="00DE0CC6" w:rsidRDefault="008059BE" w:rsidP="008059BE">
      <w:pPr>
        <w:numPr>
          <w:ilvl w:val="0"/>
          <w:numId w:val="43"/>
        </w:numPr>
        <w:tabs>
          <w:tab w:val="clear" w:pos="1080"/>
          <w:tab w:val="num" w:pos="720"/>
        </w:tabs>
        <w:spacing w:after="0"/>
        <w:ind w:left="720"/>
        <w:jc w:val="left"/>
        <w:rPr>
          <w:lang w:val="en-GB"/>
        </w:rPr>
      </w:pPr>
      <w:r>
        <w:rPr>
          <w:lang w:val="en-GB"/>
        </w:rPr>
        <w:t>Do you support participation in Codex meetings, directly or indirectly, through any other mechanisms?</w:t>
      </w:r>
    </w:p>
    <w:p w:rsidR="008059BE" w:rsidRPr="00DE0CC6" w:rsidRDefault="008059BE" w:rsidP="008059BE">
      <w:pPr>
        <w:numPr>
          <w:ilvl w:val="0"/>
          <w:numId w:val="43"/>
        </w:numPr>
        <w:tabs>
          <w:tab w:val="clear" w:pos="1080"/>
          <w:tab w:val="num" w:pos="720"/>
        </w:tabs>
        <w:spacing w:after="0"/>
        <w:ind w:left="720"/>
        <w:jc w:val="left"/>
        <w:rPr>
          <w:lang w:val="en-GB"/>
        </w:rPr>
      </w:pPr>
      <w:r w:rsidRPr="00DE0CC6">
        <w:rPr>
          <w:lang w:val="en-GB"/>
        </w:rPr>
        <w:t>Do you support other related capacity building programmes?</w:t>
      </w:r>
    </w:p>
    <w:p w:rsidR="008059BE" w:rsidRDefault="008059BE" w:rsidP="008059BE">
      <w:pPr>
        <w:numPr>
          <w:ilvl w:val="0"/>
          <w:numId w:val="43"/>
        </w:numPr>
        <w:tabs>
          <w:tab w:val="clear" w:pos="1080"/>
          <w:tab w:val="num" w:pos="720"/>
        </w:tabs>
        <w:spacing w:after="0"/>
        <w:ind w:left="720"/>
        <w:jc w:val="left"/>
        <w:rPr>
          <w:lang w:val="en-GB"/>
        </w:rPr>
      </w:pPr>
      <w:r w:rsidRPr="00DE0CC6">
        <w:rPr>
          <w:lang w:val="en-GB"/>
        </w:rPr>
        <w:t>Other comments and recommendations?</w:t>
      </w:r>
    </w:p>
    <w:p w:rsidR="005D6547" w:rsidRPr="005D6547" w:rsidRDefault="005D6547" w:rsidP="00FF23A7">
      <w:pPr>
        <w:spacing w:after="0"/>
        <w:rPr>
          <w:lang w:val="en-US"/>
        </w:rPr>
      </w:pPr>
    </w:p>
    <w:p w:rsidR="005D6547" w:rsidRDefault="005D6547" w:rsidP="00FF23A7">
      <w:pPr>
        <w:spacing w:after="0"/>
        <w:rPr>
          <w:rFonts w:asciiTheme="majorHAnsi" w:hAnsiTheme="majorHAnsi" w:cstheme="majorHAnsi"/>
          <w:b/>
          <w:color w:val="4F81BD" w:themeColor="accent1"/>
          <w:sz w:val="28"/>
          <w:szCs w:val="28"/>
          <w:lang w:val="en-US"/>
        </w:rPr>
      </w:pPr>
      <w:r w:rsidRPr="008059BE">
        <w:rPr>
          <w:rFonts w:asciiTheme="majorHAnsi" w:hAnsiTheme="majorHAnsi" w:cstheme="majorHAnsi"/>
          <w:b/>
          <w:color w:val="4F81BD" w:themeColor="accent1"/>
          <w:sz w:val="28"/>
          <w:szCs w:val="28"/>
          <w:lang w:val="en-US"/>
        </w:rPr>
        <w:t>Survey</w:t>
      </w:r>
      <w:r w:rsidR="008059BE">
        <w:rPr>
          <w:rFonts w:asciiTheme="majorHAnsi" w:hAnsiTheme="majorHAnsi" w:cstheme="majorHAnsi"/>
          <w:b/>
          <w:color w:val="4F81BD" w:themeColor="accent1"/>
          <w:sz w:val="28"/>
          <w:szCs w:val="28"/>
          <w:lang w:val="en-US"/>
        </w:rPr>
        <w:t xml:space="preserve"> </w:t>
      </w:r>
      <w:r w:rsidRPr="008059BE">
        <w:rPr>
          <w:rFonts w:asciiTheme="majorHAnsi" w:hAnsiTheme="majorHAnsi" w:cstheme="majorHAnsi"/>
          <w:b/>
          <w:color w:val="4F81BD" w:themeColor="accent1"/>
          <w:sz w:val="28"/>
          <w:szCs w:val="28"/>
          <w:lang w:val="en-US"/>
        </w:rPr>
        <w:t>– Beneficiaries</w:t>
      </w:r>
    </w:p>
    <w:p w:rsidR="008059BE" w:rsidRPr="008059BE" w:rsidRDefault="008059BE" w:rsidP="00FF23A7">
      <w:pPr>
        <w:spacing w:after="0"/>
        <w:rPr>
          <w:rFonts w:asciiTheme="majorHAnsi" w:hAnsiTheme="majorHAnsi" w:cstheme="majorHAnsi"/>
          <w:b/>
          <w:color w:val="4F81BD" w:themeColor="accent1"/>
          <w:sz w:val="28"/>
          <w:szCs w:val="28"/>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0BF" w:firstRow="1" w:lastRow="0" w:firstColumn="1" w:lastColumn="0" w:noHBand="0" w:noVBand="0"/>
      </w:tblPr>
      <w:tblGrid>
        <w:gridCol w:w="423"/>
        <w:gridCol w:w="8818"/>
      </w:tblGrid>
      <w:tr w:rsidR="008059BE" w:rsidRPr="00BD3886">
        <w:trPr>
          <w:cantSplit/>
        </w:trPr>
        <w:tc>
          <w:tcPr>
            <w:tcW w:w="423" w:type="dxa"/>
            <w:shd w:val="clear" w:color="auto" w:fill="F3F3F3"/>
          </w:tcPr>
          <w:p w:rsidR="008059BE" w:rsidRPr="009F2196" w:rsidRDefault="008059BE" w:rsidP="00681E45">
            <w:pPr>
              <w:spacing w:after="0"/>
              <w:rPr>
                <w:b/>
                <w:sz w:val="22"/>
                <w:szCs w:val="22"/>
                <w:lang w:val="en-GB"/>
              </w:rPr>
            </w:pPr>
            <w:r w:rsidRPr="009F2196">
              <w:rPr>
                <w:b/>
                <w:sz w:val="22"/>
                <w:szCs w:val="22"/>
                <w:lang w:val="en-GB"/>
              </w:rPr>
              <w:t>1</w:t>
            </w:r>
          </w:p>
        </w:tc>
        <w:tc>
          <w:tcPr>
            <w:tcW w:w="8818" w:type="dxa"/>
            <w:shd w:val="clear" w:color="auto" w:fill="F3F3F3"/>
          </w:tcPr>
          <w:p w:rsidR="008059BE" w:rsidRPr="00743527" w:rsidRDefault="008059BE" w:rsidP="00681E45">
            <w:pPr>
              <w:spacing w:after="0"/>
              <w:outlineLvl w:val="2"/>
              <w:rPr>
                <w:b/>
                <w:bCs/>
                <w:sz w:val="22"/>
                <w:szCs w:val="22"/>
                <w:lang w:val="en-US"/>
              </w:rPr>
            </w:pPr>
            <w:r w:rsidRPr="00743527">
              <w:rPr>
                <w:b/>
                <w:bCs/>
                <w:sz w:val="22"/>
                <w:szCs w:val="22"/>
                <w:lang w:val="en-US"/>
              </w:rPr>
              <w:t>Which country do you represent?</w:t>
            </w:r>
          </w:p>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8602"/>
            </w:tblGrid>
            <w:tr w:rsidR="008059BE" w:rsidRPr="00743527">
              <w:trPr>
                <w:tblCellSpacing w:w="0" w:type="dxa"/>
              </w:trPr>
              <w:tc>
                <w:tcPr>
                  <w:tcW w:w="1000" w:type="pct"/>
                  <w:vAlign w:val="center"/>
                </w:tcPr>
                <w:p w:rsidR="008059BE" w:rsidRPr="009F2196" w:rsidRDefault="008059BE" w:rsidP="00681E45">
                  <w:pPr>
                    <w:spacing w:after="0"/>
                    <w:rPr>
                      <w:bCs/>
                      <w:sz w:val="22"/>
                      <w:szCs w:val="22"/>
                    </w:rPr>
                  </w:pPr>
                  <w:r w:rsidRPr="009F2196">
                    <w:rPr>
                      <w:bCs/>
                      <w:sz w:val="22"/>
                      <w:szCs w:val="22"/>
                    </w:rPr>
                    <w:t xml:space="preserve">Country: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3866"/>
                  </w:tblGrid>
                  <w:tr w:rsidR="008059BE" w:rsidRPr="00311ECA">
                    <w:trPr>
                      <w:trHeight w:val="270"/>
                    </w:trPr>
                    <w:tc>
                      <w:tcPr>
                        <w:tcW w:w="3866" w:type="dxa"/>
                        <w:shd w:val="clear" w:color="auto" w:fill="FFFFFF"/>
                      </w:tcPr>
                      <w:p w:rsidR="008059BE" w:rsidRPr="00311ECA" w:rsidRDefault="008059BE" w:rsidP="00681E45">
                        <w:pPr>
                          <w:spacing w:after="0"/>
                          <w:rPr>
                            <w:b/>
                            <w:bCs/>
                            <w:sz w:val="22"/>
                            <w:szCs w:val="22"/>
                          </w:rPr>
                        </w:pPr>
                      </w:p>
                    </w:tc>
                  </w:tr>
                </w:tbl>
                <w:p w:rsidR="008059BE" w:rsidRPr="00743527" w:rsidRDefault="008059BE" w:rsidP="00681E45">
                  <w:pPr>
                    <w:spacing w:after="0"/>
                    <w:rPr>
                      <w:b/>
                      <w:bCs/>
                      <w:sz w:val="22"/>
                      <w:szCs w:val="22"/>
                    </w:rPr>
                  </w:pPr>
                </w:p>
              </w:tc>
            </w:tr>
          </w:tbl>
          <w:p w:rsidR="008059BE" w:rsidRPr="00DB52FD" w:rsidRDefault="008059BE" w:rsidP="00681E45">
            <w:pPr>
              <w:spacing w:after="0"/>
              <w:rPr>
                <w:sz w:val="22"/>
                <w:szCs w:val="22"/>
                <w:lang w:val="en-GB"/>
              </w:rPr>
            </w:pPr>
            <w:r>
              <w:rPr>
                <w:sz w:val="22"/>
                <w:szCs w:val="22"/>
                <w:lang w:val="en-GB"/>
              </w:rPr>
              <w:t xml:space="preserve"> </w:t>
            </w:r>
          </w:p>
        </w:tc>
      </w:tr>
      <w:tr w:rsidR="008059BE" w:rsidRPr="00BD3886">
        <w:trPr>
          <w:cantSplit/>
        </w:trPr>
        <w:tc>
          <w:tcPr>
            <w:tcW w:w="423" w:type="dxa"/>
            <w:shd w:val="clear" w:color="auto" w:fill="F3F3F3"/>
          </w:tcPr>
          <w:p w:rsidR="008059BE" w:rsidRPr="009F2196" w:rsidRDefault="008059BE" w:rsidP="00681E45">
            <w:pPr>
              <w:spacing w:after="0"/>
              <w:rPr>
                <w:b/>
                <w:sz w:val="22"/>
                <w:szCs w:val="22"/>
                <w:lang w:val="en-GB"/>
              </w:rPr>
            </w:pPr>
            <w:r w:rsidRPr="009F2196">
              <w:rPr>
                <w:b/>
                <w:sz w:val="22"/>
                <w:szCs w:val="22"/>
                <w:lang w:val="en-GB"/>
              </w:rPr>
              <w:t>2</w:t>
            </w:r>
          </w:p>
        </w:tc>
        <w:tc>
          <w:tcPr>
            <w:tcW w:w="8818" w:type="dxa"/>
            <w:shd w:val="clear" w:color="auto" w:fill="F3F3F3"/>
          </w:tcPr>
          <w:p w:rsidR="008059BE" w:rsidRDefault="008059BE" w:rsidP="00681E45">
            <w:pPr>
              <w:spacing w:after="0"/>
              <w:rPr>
                <w:b/>
                <w:sz w:val="22"/>
                <w:szCs w:val="22"/>
                <w:lang w:val="en-GB"/>
              </w:rPr>
            </w:pPr>
            <w:r w:rsidRPr="006D0ABC">
              <w:rPr>
                <w:b/>
                <w:sz w:val="22"/>
                <w:szCs w:val="22"/>
                <w:lang w:val="en-GB"/>
              </w:rPr>
              <w:t>How many Codex committee meetings have you taken part in?</w:t>
            </w:r>
            <w:r w:rsidRPr="00DB52FD">
              <w:rPr>
                <w:b/>
                <w:sz w:val="22"/>
                <w:szCs w:val="22"/>
                <w:lang w:val="en-GB"/>
              </w:rPr>
              <w:t xml:space="preserve"> </w:t>
            </w:r>
            <w:r>
              <w:rPr>
                <w:sz w:val="22"/>
                <w:szCs w:val="22"/>
                <w:lang w:val="en-GB"/>
              </w:rPr>
              <w:t>(Tick one</w:t>
            </w:r>
            <w:r w:rsidRPr="00DB52FD">
              <w:rPr>
                <w:sz w:val="22"/>
                <w:szCs w:val="22"/>
                <w:lang w:val="en-GB"/>
              </w:rPr>
              <w:t>)</w:t>
            </w:r>
          </w:p>
          <w:p w:rsidR="008059BE" w:rsidRPr="00DB52FD" w:rsidRDefault="008059BE" w:rsidP="00681E45">
            <w:pPr>
              <w:tabs>
                <w:tab w:val="left" w:pos="2812"/>
              </w:tabs>
              <w:spacing w:after="0"/>
              <w:rPr>
                <w:b/>
                <w:sz w:val="22"/>
                <w:szCs w:val="22"/>
                <w:lang w:val="en-GB"/>
              </w:rPr>
            </w:pPr>
            <w:r>
              <w:rPr>
                <w:b/>
                <w:sz w:val="22"/>
                <w:szCs w:val="22"/>
                <w:lang w:val="en-GB"/>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3"/>
              <w:gridCol w:w="8080"/>
            </w:tblGrid>
            <w:tr w:rsidR="008059BE" w:rsidRPr="00311ECA">
              <w:tc>
                <w:tcPr>
                  <w:tcW w:w="423" w:type="dxa"/>
                  <w:shd w:val="clear" w:color="auto" w:fill="FFFFFF"/>
                </w:tcPr>
                <w:p w:rsidR="008059BE" w:rsidRPr="00311ECA" w:rsidRDefault="008059BE" w:rsidP="00681E45">
                  <w:pPr>
                    <w:spacing w:after="0"/>
                    <w:rPr>
                      <w:sz w:val="22"/>
                      <w:szCs w:val="22"/>
                      <w:lang w:val="en-US"/>
                    </w:rPr>
                  </w:pPr>
                </w:p>
              </w:tc>
              <w:tc>
                <w:tcPr>
                  <w:tcW w:w="8080" w:type="dxa"/>
                </w:tcPr>
                <w:p w:rsidR="008059BE" w:rsidRPr="00311ECA" w:rsidRDefault="008059BE" w:rsidP="00681E45">
                  <w:pPr>
                    <w:spacing w:after="0"/>
                    <w:rPr>
                      <w:sz w:val="22"/>
                      <w:szCs w:val="22"/>
                      <w:lang w:val="en-US"/>
                    </w:rPr>
                  </w:pPr>
                  <w:r>
                    <w:rPr>
                      <w:sz w:val="22"/>
                      <w:szCs w:val="22"/>
                      <w:lang w:val="en-US"/>
                    </w:rPr>
                    <w:t>Only one</w:t>
                  </w:r>
                  <w:r w:rsidRPr="00311ECA">
                    <w:rPr>
                      <w:sz w:val="22"/>
                      <w:szCs w:val="22"/>
                      <w:lang w:val="en-US"/>
                    </w:rPr>
                    <w:t xml:space="preserve"> </w:t>
                  </w:r>
                </w:p>
              </w:tc>
            </w:tr>
            <w:tr w:rsidR="008059BE" w:rsidRPr="00311ECA">
              <w:tc>
                <w:tcPr>
                  <w:tcW w:w="423" w:type="dxa"/>
                  <w:shd w:val="clear" w:color="auto" w:fill="FFFFFF"/>
                </w:tcPr>
                <w:p w:rsidR="008059BE" w:rsidRPr="00311ECA" w:rsidRDefault="008059BE" w:rsidP="00681E45">
                  <w:pPr>
                    <w:spacing w:after="0"/>
                    <w:rPr>
                      <w:sz w:val="22"/>
                      <w:szCs w:val="22"/>
                      <w:lang w:val="en-US"/>
                    </w:rPr>
                  </w:pPr>
                </w:p>
              </w:tc>
              <w:tc>
                <w:tcPr>
                  <w:tcW w:w="8080" w:type="dxa"/>
                </w:tcPr>
                <w:p w:rsidR="008059BE" w:rsidRPr="00311ECA" w:rsidRDefault="008059BE" w:rsidP="00681E45">
                  <w:pPr>
                    <w:spacing w:after="0"/>
                    <w:rPr>
                      <w:sz w:val="22"/>
                      <w:szCs w:val="22"/>
                      <w:lang w:val="en-US"/>
                    </w:rPr>
                  </w:pPr>
                  <w:r>
                    <w:rPr>
                      <w:sz w:val="22"/>
                      <w:szCs w:val="22"/>
                      <w:lang w:val="en-US"/>
                    </w:rPr>
                    <w:t>Between two and four</w:t>
                  </w:r>
                  <w:r w:rsidRPr="00311ECA">
                    <w:rPr>
                      <w:sz w:val="22"/>
                      <w:szCs w:val="22"/>
                      <w:lang w:val="en-US"/>
                    </w:rPr>
                    <w:t xml:space="preserve"> </w:t>
                  </w:r>
                </w:p>
              </w:tc>
            </w:tr>
            <w:tr w:rsidR="008059BE" w:rsidRPr="00311ECA">
              <w:tc>
                <w:tcPr>
                  <w:tcW w:w="423" w:type="dxa"/>
                  <w:shd w:val="clear" w:color="auto" w:fill="FFFFFF"/>
                </w:tcPr>
                <w:p w:rsidR="008059BE" w:rsidRPr="00311ECA" w:rsidRDefault="008059BE" w:rsidP="00681E45">
                  <w:pPr>
                    <w:spacing w:after="0"/>
                    <w:rPr>
                      <w:sz w:val="22"/>
                      <w:szCs w:val="22"/>
                      <w:lang w:val="en-US"/>
                    </w:rPr>
                  </w:pPr>
                </w:p>
              </w:tc>
              <w:tc>
                <w:tcPr>
                  <w:tcW w:w="8080" w:type="dxa"/>
                </w:tcPr>
                <w:p w:rsidR="008059BE" w:rsidRPr="00311ECA" w:rsidRDefault="008059BE" w:rsidP="00681E45">
                  <w:pPr>
                    <w:spacing w:after="0"/>
                    <w:rPr>
                      <w:sz w:val="22"/>
                      <w:szCs w:val="22"/>
                      <w:lang w:val="en-US"/>
                    </w:rPr>
                  </w:pPr>
                  <w:r>
                    <w:rPr>
                      <w:sz w:val="22"/>
                      <w:szCs w:val="22"/>
                      <w:lang w:val="en-US"/>
                    </w:rPr>
                    <w:t>More than four</w:t>
                  </w:r>
                  <w:r w:rsidRPr="00311ECA">
                    <w:rPr>
                      <w:sz w:val="22"/>
                      <w:szCs w:val="22"/>
                      <w:lang w:val="en-US"/>
                    </w:rPr>
                    <w:t xml:space="preserve"> </w:t>
                  </w:r>
                </w:p>
              </w:tc>
            </w:tr>
          </w:tbl>
          <w:p w:rsidR="008059BE" w:rsidRPr="00DB52FD" w:rsidRDefault="008059BE" w:rsidP="00681E45">
            <w:pPr>
              <w:spacing w:after="0"/>
              <w:rPr>
                <w:sz w:val="22"/>
                <w:szCs w:val="22"/>
                <w:lang w:val="en-GB"/>
              </w:rPr>
            </w:pPr>
            <w:r>
              <w:rPr>
                <w:sz w:val="22"/>
                <w:szCs w:val="22"/>
                <w:lang w:val="en-GB"/>
              </w:rPr>
              <w:t xml:space="preserve"> </w:t>
            </w:r>
          </w:p>
        </w:tc>
      </w:tr>
      <w:tr w:rsidR="008059BE" w:rsidRPr="00BD3886">
        <w:trPr>
          <w:cantSplit/>
        </w:trPr>
        <w:tc>
          <w:tcPr>
            <w:tcW w:w="423" w:type="dxa"/>
            <w:shd w:val="clear" w:color="auto" w:fill="F3F3F3"/>
          </w:tcPr>
          <w:p w:rsidR="008059BE" w:rsidRPr="009F2196" w:rsidRDefault="008059BE" w:rsidP="00681E45">
            <w:pPr>
              <w:spacing w:after="0"/>
              <w:rPr>
                <w:b/>
                <w:sz w:val="22"/>
                <w:szCs w:val="22"/>
                <w:lang w:val="en-GB"/>
              </w:rPr>
            </w:pPr>
            <w:r w:rsidRPr="009F2196">
              <w:rPr>
                <w:b/>
                <w:sz w:val="22"/>
                <w:szCs w:val="22"/>
                <w:lang w:val="en-GB"/>
              </w:rPr>
              <w:t>3</w:t>
            </w:r>
          </w:p>
        </w:tc>
        <w:tc>
          <w:tcPr>
            <w:tcW w:w="8818" w:type="dxa"/>
            <w:shd w:val="clear" w:color="auto" w:fill="F3F3F3"/>
          </w:tcPr>
          <w:p w:rsidR="008059BE" w:rsidRDefault="008059BE" w:rsidP="00681E45">
            <w:pPr>
              <w:spacing w:after="0"/>
              <w:rPr>
                <w:b/>
                <w:sz w:val="22"/>
                <w:szCs w:val="22"/>
                <w:lang w:val="en-GB"/>
              </w:rPr>
            </w:pPr>
            <w:r>
              <w:rPr>
                <w:b/>
                <w:sz w:val="22"/>
                <w:szCs w:val="22"/>
                <w:lang w:val="en-GB"/>
              </w:rPr>
              <w:t xml:space="preserve">Did you take part in any meeting(s) during 2009? </w:t>
            </w:r>
            <w:r w:rsidRPr="00DB5D59">
              <w:rPr>
                <w:sz w:val="22"/>
                <w:szCs w:val="22"/>
                <w:lang w:val="en-GB"/>
              </w:rPr>
              <w:t>(Tick one)</w:t>
            </w:r>
          </w:p>
          <w:p w:rsidR="008059BE" w:rsidRDefault="008059BE" w:rsidP="00681E45">
            <w:pPr>
              <w:spacing w:after="0"/>
              <w:rPr>
                <w:b/>
                <w:sz w:val="22"/>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3"/>
              <w:gridCol w:w="8080"/>
            </w:tblGrid>
            <w:tr w:rsidR="008059BE" w:rsidRPr="00311ECA">
              <w:tc>
                <w:tcPr>
                  <w:tcW w:w="423" w:type="dxa"/>
                  <w:shd w:val="clear" w:color="auto" w:fill="FFFFFF"/>
                </w:tcPr>
                <w:p w:rsidR="008059BE" w:rsidRPr="00311ECA" w:rsidRDefault="008059BE" w:rsidP="00681E45">
                  <w:pPr>
                    <w:spacing w:after="0"/>
                    <w:rPr>
                      <w:b/>
                      <w:sz w:val="22"/>
                      <w:szCs w:val="22"/>
                      <w:lang w:val="en-GB"/>
                    </w:rPr>
                  </w:pPr>
                </w:p>
              </w:tc>
              <w:tc>
                <w:tcPr>
                  <w:tcW w:w="8080" w:type="dxa"/>
                </w:tcPr>
                <w:p w:rsidR="008059BE" w:rsidRPr="00311ECA" w:rsidRDefault="008059BE" w:rsidP="00681E45">
                  <w:pPr>
                    <w:spacing w:after="0"/>
                    <w:rPr>
                      <w:sz w:val="22"/>
                      <w:szCs w:val="22"/>
                      <w:lang w:val="en-GB"/>
                    </w:rPr>
                  </w:pPr>
                  <w:r w:rsidRPr="00311ECA">
                    <w:rPr>
                      <w:sz w:val="22"/>
                      <w:szCs w:val="22"/>
                      <w:lang w:val="en-GB"/>
                    </w:rPr>
                    <w:t>Yes</w:t>
                  </w:r>
                </w:p>
              </w:tc>
            </w:tr>
            <w:tr w:rsidR="008059BE" w:rsidRPr="00311ECA">
              <w:tc>
                <w:tcPr>
                  <w:tcW w:w="423" w:type="dxa"/>
                  <w:shd w:val="clear" w:color="auto" w:fill="FFFFFF"/>
                </w:tcPr>
                <w:p w:rsidR="008059BE" w:rsidRPr="00311ECA" w:rsidRDefault="008059BE" w:rsidP="00681E45">
                  <w:pPr>
                    <w:spacing w:after="0"/>
                    <w:rPr>
                      <w:b/>
                      <w:sz w:val="22"/>
                      <w:szCs w:val="22"/>
                      <w:lang w:val="en-GB"/>
                    </w:rPr>
                  </w:pPr>
                </w:p>
              </w:tc>
              <w:tc>
                <w:tcPr>
                  <w:tcW w:w="8080" w:type="dxa"/>
                </w:tcPr>
                <w:p w:rsidR="008059BE" w:rsidRPr="00311ECA" w:rsidRDefault="008059BE" w:rsidP="00681E45">
                  <w:pPr>
                    <w:spacing w:after="0"/>
                    <w:rPr>
                      <w:sz w:val="22"/>
                      <w:szCs w:val="22"/>
                      <w:lang w:val="en-GB"/>
                    </w:rPr>
                  </w:pPr>
                  <w:r w:rsidRPr="00311ECA">
                    <w:rPr>
                      <w:sz w:val="22"/>
                      <w:szCs w:val="22"/>
                      <w:lang w:val="en-GB"/>
                    </w:rPr>
                    <w:t>No</w:t>
                  </w:r>
                </w:p>
              </w:tc>
            </w:tr>
          </w:tbl>
          <w:p w:rsidR="008059BE" w:rsidRPr="00DB52FD" w:rsidRDefault="008059BE" w:rsidP="00681E45">
            <w:pPr>
              <w:spacing w:after="0"/>
              <w:rPr>
                <w:sz w:val="22"/>
                <w:szCs w:val="22"/>
                <w:lang w:val="en-GB"/>
              </w:rPr>
            </w:pPr>
            <w:r>
              <w:rPr>
                <w:sz w:val="22"/>
                <w:szCs w:val="22"/>
                <w:lang w:val="en-GB"/>
              </w:rPr>
              <w:t xml:space="preserve"> </w:t>
            </w:r>
          </w:p>
        </w:tc>
      </w:tr>
      <w:tr w:rsidR="008059BE" w:rsidRPr="00BD3886">
        <w:trPr>
          <w:cantSplit/>
        </w:trPr>
        <w:tc>
          <w:tcPr>
            <w:tcW w:w="423" w:type="dxa"/>
            <w:shd w:val="clear" w:color="auto" w:fill="F3F3F3"/>
          </w:tcPr>
          <w:p w:rsidR="008059BE" w:rsidRPr="009F2196" w:rsidRDefault="008059BE" w:rsidP="00681E45">
            <w:pPr>
              <w:spacing w:after="0"/>
              <w:rPr>
                <w:b/>
                <w:sz w:val="22"/>
                <w:szCs w:val="22"/>
                <w:lang w:val="en-GB"/>
              </w:rPr>
            </w:pPr>
            <w:r w:rsidRPr="009F2196">
              <w:rPr>
                <w:b/>
                <w:sz w:val="22"/>
                <w:szCs w:val="22"/>
                <w:lang w:val="en-GB"/>
              </w:rPr>
              <w:t>4</w:t>
            </w:r>
          </w:p>
        </w:tc>
        <w:tc>
          <w:tcPr>
            <w:tcW w:w="8818" w:type="dxa"/>
            <w:shd w:val="clear" w:color="auto" w:fill="F3F3F3"/>
          </w:tcPr>
          <w:p w:rsidR="008059BE" w:rsidRPr="009F2196" w:rsidRDefault="008059BE" w:rsidP="00681E45">
            <w:pPr>
              <w:spacing w:after="0"/>
              <w:rPr>
                <w:b/>
                <w:sz w:val="22"/>
                <w:szCs w:val="22"/>
                <w:lang w:val="en-GB"/>
              </w:rPr>
            </w:pPr>
            <w:r w:rsidRPr="006D0ABC">
              <w:rPr>
                <w:b/>
                <w:sz w:val="22"/>
                <w:szCs w:val="22"/>
                <w:lang w:val="en-GB"/>
              </w:rPr>
              <w:t>What is your overall assessment of the participation in the Codex meetings in terms of your future work?</w:t>
            </w:r>
            <w:r>
              <w:rPr>
                <w:b/>
                <w:sz w:val="22"/>
                <w:szCs w:val="22"/>
                <w:lang w:val="en-GB"/>
              </w:rPr>
              <w:t xml:space="preserve"> </w:t>
            </w:r>
            <w:r w:rsidRPr="00DB5D59">
              <w:rPr>
                <w:sz w:val="22"/>
                <w:szCs w:val="22"/>
                <w:lang w:val="en-GB"/>
              </w:rPr>
              <w:t>(Tick one)</w:t>
            </w:r>
          </w:p>
          <w:p w:rsidR="008059BE" w:rsidRPr="00DB52FD" w:rsidRDefault="008059BE" w:rsidP="00681E45">
            <w:pPr>
              <w:spacing w:after="0"/>
              <w:rPr>
                <w:sz w:val="22"/>
                <w:szCs w:val="22"/>
                <w:lang w:val="en-GB"/>
              </w:rPr>
            </w:pPr>
          </w:p>
          <w:tbl>
            <w:tblPr>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3"/>
              <w:gridCol w:w="8082"/>
            </w:tblGrid>
            <w:tr w:rsidR="008059BE" w:rsidRPr="00311ECA">
              <w:tc>
                <w:tcPr>
                  <w:tcW w:w="423" w:type="dxa"/>
                  <w:shd w:val="clear" w:color="auto" w:fill="FFFFFF"/>
                </w:tcPr>
                <w:p w:rsidR="008059BE" w:rsidRPr="00311ECA" w:rsidRDefault="008059BE" w:rsidP="00681E45">
                  <w:pPr>
                    <w:spacing w:after="0"/>
                    <w:rPr>
                      <w:sz w:val="22"/>
                      <w:szCs w:val="22"/>
                      <w:lang w:val="en-GB"/>
                    </w:rPr>
                  </w:pPr>
                  <w:r w:rsidRPr="00311ECA">
                    <w:rPr>
                      <w:sz w:val="22"/>
                      <w:szCs w:val="22"/>
                      <w:lang w:val="en-GB"/>
                    </w:rPr>
                    <w:t xml:space="preserve"> </w:t>
                  </w:r>
                </w:p>
              </w:tc>
              <w:tc>
                <w:tcPr>
                  <w:tcW w:w="8082" w:type="dxa"/>
                </w:tcPr>
                <w:p w:rsidR="008059BE" w:rsidRPr="00311ECA" w:rsidRDefault="008059BE" w:rsidP="00681E45">
                  <w:pPr>
                    <w:spacing w:after="0"/>
                    <w:rPr>
                      <w:sz w:val="22"/>
                      <w:szCs w:val="22"/>
                      <w:lang w:val="en-GB"/>
                    </w:rPr>
                  </w:pPr>
                  <w:r>
                    <w:rPr>
                      <w:sz w:val="22"/>
                      <w:szCs w:val="22"/>
                      <w:lang w:val="en-GB"/>
                    </w:rPr>
                    <w:t>Very useful</w:t>
                  </w:r>
                  <w:r w:rsidRPr="00311ECA">
                    <w:rPr>
                      <w:sz w:val="22"/>
                      <w:szCs w:val="22"/>
                      <w:lang w:val="en-GB"/>
                    </w:rPr>
                    <w:t xml:space="preserve">     </w:t>
                  </w:r>
                </w:p>
              </w:tc>
            </w:tr>
            <w:tr w:rsidR="008059BE" w:rsidRPr="00311ECA">
              <w:tc>
                <w:tcPr>
                  <w:tcW w:w="423" w:type="dxa"/>
                  <w:shd w:val="clear" w:color="auto" w:fill="FFFFFF"/>
                </w:tcPr>
                <w:p w:rsidR="008059BE" w:rsidRPr="00311ECA" w:rsidRDefault="008059BE" w:rsidP="00681E45">
                  <w:pPr>
                    <w:spacing w:after="0"/>
                    <w:rPr>
                      <w:sz w:val="22"/>
                      <w:szCs w:val="22"/>
                      <w:lang w:val="en-GB"/>
                    </w:rPr>
                  </w:pPr>
                </w:p>
              </w:tc>
              <w:tc>
                <w:tcPr>
                  <w:tcW w:w="8082" w:type="dxa"/>
                </w:tcPr>
                <w:p w:rsidR="008059BE" w:rsidRPr="00311ECA" w:rsidRDefault="008059BE" w:rsidP="00681E45">
                  <w:pPr>
                    <w:spacing w:after="0"/>
                    <w:rPr>
                      <w:sz w:val="22"/>
                      <w:szCs w:val="22"/>
                      <w:lang w:val="en-GB"/>
                    </w:rPr>
                  </w:pPr>
                  <w:r>
                    <w:rPr>
                      <w:sz w:val="22"/>
                      <w:szCs w:val="22"/>
                      <w:lang w:val="en-GB"/>
                    </w:rPr>
                    <w:t>Useful</w:t>
                  </w:r>
                </w:p>
              </w:tc>
            </w:tr>
            <w:tr w:rsidR="008059BE" w:rsidRPr="00311ECA">
              <w:tc>
                <w:tcPr>
                  <w:tcW w:w="423" w:type="dxa"/>
                  <w:shd w:val="clear" w:color="auto" w:fill="FFFFFF"/>
                </w:tcPr>
                <w:p w:rsidR="008059BE" w:rsidRPr="00311ECA" w:rsidRDefault="008059BE" w:rsidP="00681E45">
                  <w:pPr>
                    <w:spacing w:after="0"/>
                    <w:rPr>
                      <w:sz w:val="22"/>
                      <w:szCs w:val="22"/>
                      <w:lang w:val="en-GB"/>
                    </w:rPr>
                  </w:pPr>
                </w:p>
              </w:tc>
              <w:tc>
                <w:tcPr>
                  <w:tcW w:w="8082" w:type="dxa"/>
                </w:tcPr>
                <w:p w:rsidR="008059BE" w:rsidRPr="00311ECA" w:rsidRDefault="008059BE" w:rsidP="00681E45">
                  <w:pPr>
                    <w:spacing w:after="0"/>
                    <w:rPr>
                      <w:sz w:val="22"/>
                      <w:szCs w:val="22"/>
                      <w:lang w:val="en-GB"/>
                    </w:rPr>
                  </w:pPr>
                  <w:r>
                    <w:rPr>
                      <w:sz w:val="22"/>
                      <w:szCs w:val="22"/>
                      <w:lang w:val="en-GB"/>
                    </w:rPr>
                    <w:t>Less useful</w:t>
                  </w:r>
                  <w:r w:rsidRPr="00311ECA">
                    <w:rPr>
                      <w:sz w:val="22"/>
                      <w:szCs w:val="22"/>
                      <w:lang w:val="en-GB"/>
                    </w:rPr>
                    <w:t xml:space="preserve">         </w:t>
                  </w:r>
                </w:p>
              </w:tc>
            </w:tr>
            <w:tr w:rsidR="008059BE" w:rsidRPr="00311ECA">
              <w:tc>
                <w:tcPr>
                  <w:tcW w:w="423" w:type="dxa"/>
                  <w:shd w:val="clear" w:color="auto" w:fill="FFFFFF"/>
                </w:tcPr>
                <w:p w:rsidR="008059BE" w:rsidRPr="00311ECA" w:rsidRDefault="008059BE" w:rsidP="00681E45">
                  <w:pPr>
                    <w:spacing w:after="0"/>
                    <w:rPr>
                      <w:sz w:val="22"/>
                      <w:szCs w:val="22"/>
                      <w:lang w:val="en-GB"/>
                    </w:rPr>
                  </w:pPr>
                </w:p>
              </w:tc>
              <w:tc>
                <w:tcPr>
                  <w:tcW w:w="8082" w:type="dxa"/>
                </w:tcPr>
                <w:p w:rsidR="008059BE" w:rsidRPr="00311ECA" w:rsidRDefault="008059BE" w:rsidP="00681E45">
                  <w:pPr>
                    <w:spacing w:after="0"/>
                    <w:rPr>
                      <w:sz w:val="22"/>
                      <w:szCs w:val="22"/>
                      <w:lang w:val="en-GB"/>
                    </w:rPr>
                  </w:pPr>
                  <w:r>
                    <w:rPr>
                      <w:sz w:val="22"/>
                      <w:szCs w:val="22"/>
                      <w:lang w:val="en-GB"/>
                    </w:rPr>
                    <w:t>Not useful at all</w:t>
                  </w:r>
                </w:p>
              </w:tc>
            </w:tr>
          </w:tbl>
          <w:p w:rsidR="008059BE" w:rsidRPr="00DB52FD" w:rsidRDefault="008059BE" w:rsidP="00681E45">
            <w:pPr>
              <w:spacing w:after="0"/>
              <w:rPr>
                <w:sz w:val="22"/>
                <w:szCs w:val="22"/>
                <w:lang w:val="en-GB"/>
              </w:rPr>
            </w:pPr>
            <w:r>
              <w:rPr>
                <w:sz w:val="22"/>
                <w:szCs w:val="22"/>
                <w:lang w:val="en-GB"/>
              </w:rPr>
              <w:t xml:space="preserve"> </w:t>
            </w:r>
          </w:p>
        </w:tc>
      </w:tr>
      <w:tr w:rsidR="008059BE" w:rsidRPr="00BD3886">
        <w:trPr>
          <w:cantSplit/>
        </w:trPr>
        <w:tc>
          <w:tcPr>
            <w:tcW w:w="423" w:type="dxa"/>
            <w:shd w:val="clear" w:color="auto" w:fill="F3F3F3"/>
          </w:tcPr>
          <w:p w:rsidR="008059BE" w:rsidRPr="009F2196" w:rsidRDefault="008059BE" w:rsidP="00681E45">
            <w:pPr>
              <w:spacing w:after="0"/>
              <w:rPr>
                <w:b/>
                <w:sz w:val="22"/>
                <w:szCs w:val="22"/>
                <w:lang w:val="en-GB"/>
              </w:rPr>
            </w:pPr>
            <w:r w:rsidRPr="009F2196">
              <w:rPr>
                <w:b/>
                <w:sz w:val="22"/>
                <w:szCs w:val="22"/>
                <w:lang w:val="en-GB"/>
              </w:rPr>
              <w:t>5</w:t>
            </w:r>
          </w:p>
        </w:tc>
        <w:tc>
          <w:tcPr>
            <w:tcW w:w="8818" w:type="dxa"/>
            <w:shd w:val="clear" w:color="auto" w:fill="F3F3F3"/>
          </w:tcPr>
          <w:p w:rsidR="008059BE" w:rsidRDefault="008059BE" w:rsidP="00681E45">
            <w:pPr>
              <w:spacing w:after="0"/>
              <w:rPr>
                <w:sz w:val="22"/>
                <w:szCs w:val="22"/>
                <w:lang w:val="en-GB"/>
              </w:rPr>
            </w:pPr>
            <w:r w:rsidRPr="006D0ABC">
              <w:rPr>
                <w:b/>
                <w:sz w:val="22"/>
                <w:szCs w:val="22"/>
                <w:lang w:val="en-GB"/>
              </w:rPr>
              <w:t xml:space="preserve">Did you have the time to prepare </w:t>
            </w:r>
            <w:r>
              <w:rPr>
                <w:b/>
                <w:sz w:val="22"/>
                <w:szCs w:val="22"/>
                <w:lang w:val="en-GB"/>
              </w:rPr>
              <w:t>properly for the Codex meetings</w:t>
            </w:r>
            <w:r w:rsidRPr="009F2196">
              <w:rPr>
                <w:b/>
                <w:sz w:val="22"/>
                <w:szCs w:val="22"/>
                <w:lang w:val="en-GB"/>
              </w:rPr>
              <w:t>?</w:t>
            </w:r>
            <w:r>
              <w:rPr>
                <w:sz w:val="22"/>
                <w:szCs w:val="22"/>
                <w:lang w:val="en-GB"/>
              </w:rPr>
              <w:t xml:space="preserve"> (Tick one</w:t>
            </w:r>
            <w:r w:rsidRPr="00DB52FD">
              <w:rPr>
                <w:sz w:val="22"/>
                <w:szCs w:val="22"/>
                <w:lang w:val="en-GB"/>
              </w:rPr>
              <w:t>)</w:t>
            </w:r>
          </w:p>
          <w:p w:rsidR="008059BE" w:rsidRPr="00DB52FD" w:rsidRDefault="008059BE" w:rsidP="00681E45">
            <w:pPr>
              <w:spacing w:after="0"/>
              <w:rPr>
                <w:sz w:val="22"/>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3"/>
              <w:gridCol w:w="8169"/>
            </w:tblGrid>
            <w:tr w:rsidR="008059BE" w:rsidRPr="00311ECA">
              <w:tc>
                <w:tcPr>
                  <w:tcW w:w="423" w:type="dxa"/>
                  <w:shd w:val="clear" w:color="auto" w:fill="FFFFFF"/>
                </w:tcPr>
                <w:p w:rsidR="008059BE" w:rsidRPr="00311ECA" w:rsidRDefault="008059BE" w:rsidP="00681E45">
                  <w:pPr>
                    <w:spacing w:after="0"/>
                    <w:rPr>
                      <w:sz w:val="22"/>
                      <w:szCs w:val="22"/>
                      <w:lang w:val="en-GB"/>
                    </w:rPr>
                  </w:pPr>
                </w:p>
              </w:tc>
              <w:tc>
                <w:tcPr>
                  <w:tcW w:w="8169" w:type="dxa"/>
                </w:tcPr>
                <w:p w:rsidR="008059BE" w:rsidRPr="00311ECA" w:rsidRDefault="008059BE" w:rsidP="00681E45">
                  <w:pPr>
                    <w:spacing w:after="0"/>
                    <w:rPr>
                      <w:sz w:val="22"/>
                      <w:szCs w:val="22"/>
                      <w:lang w:val="en-GB"/>
                    </w:rPr>
                  </w:pPr>
                  <w:r>
                    <w:rPr>
                      <w:sz w:val="22"/>
                      <w:szCs w:val="22"/>
                      <w:lang w:val="en-GB"/>
                    </w:rPr>
                    <w:t>Plenty of time</w:t>
                  </w:r>
                </w:p>
              </w:tc>
            </w:tr>
            <w:tr w:rsidR="008059BE" w:rsidRPr="00311ECA">
              <w:tc>
                <w:tcPr>
                  <w:tcW w:w="423" w:type="dxa"/>
                  <w:shd w:val="clear" w:color="auto" w:fill="FFFFFF"/>
                </w:tcPr>
                <w:p w:rsidR="008059BE" w:rsidRPr="00311ECA" w:rsidRDefault="008059BE" w:rsidP="00681E45">
                  <w:pPr>
                    <w:spacing w:after="0"/>
                    <w:rPr>
                      <w:sz w:val="22"/>
                      <w:szCs w:val="22"/>
                      <w:lang w:val="en-GB"/>
                    </w:rPr>
                  </w:pPr>
                </w:p>
              </w:tc>
              <w:tc>
                <w:tcPr>
                  <w:tcW w:w="8169" w:type="dxa"/>
                </w:tcPr>
                <w:p w:rsidR="008059BE" w:rsidRPr="00311ECA" w:rsidRDefault="008059BE" w:rsidP="00681E45">
                  <w:pPr>
                    <w:spacing w:after="0"/>
                    <w:rPr>
                      <w:sz w:val="22"/>
                      <w:szCs w:val="22"/>
                      <w:lang w:val="en-GB"/>
                    </w:rPr>
                  </w:pPr>
                  <w:r>
                    <w:rPr>
                      <w:sz w:val="22"/>
                      <w:szCs w:val="22"/>
                      <w:lang w:val="en-GB"/>
                    </w:rPr>
                    <w:t>Adequate time</w:t>
                  </w:r>
                </w:p>
              </w:tc>
            </w:tr>
            <w:tr w:rsidR="008059BE" w:rsidRPr="00311ECA">
              <w:tc>
                <w:tcPr>
                  <w:tcW w:w="423" w:type="dxa"/>
                  <w:shd w:val="clear" w:color="auto" w:fill="FFFFFF"/>
                </w:tcPr>
                <w:p w:rsidR="008059BE" w:rsidRPr="00311ECA" w:rsidRDefault="008059BE" w:rsidP="00681E45">
                  <w:pPr>
                    <w:spacing w:after="0"/>
                    <w:rPr>
                      <w:sz w:val="22"/>
                      <w:szCs w:val="22"/>
                      <w:lang w:val="en-GB"/>
                    </w:rPr>
                  </w:pPr>
                </w:p>
              </w:tc>
              <w:tc>
                <w:tcPr>
                  <w:tcW w:w="8169" w:type="dxa"/>
                </w:tcPr>
                <w:p w:rsidR="008059BE" w:rsidRPr="00311ECA" w:rsidRDefault="008059BE" w:rsidP="00681E45">
                  <w:pPr>
                    <w:spacing w:after="0"/>
                    <w:rPr>
                      <w:sz w:val="22"/>
                      <w:szCs w:val="22"/>
                      <w:lang w:val="en-GB"/>
                    </w:rPr>
                  </w:pPr>
                  <w:r>
                    <w:rPr>
                      <w:sz w:val="22"/>
                      <w:szCs w:val="22"/>
                      <w:lang w:val="en-GB"/>
                    </w:rPr>
                    <w:t>Limited time</w:t>
                  </w:r>
                </w:p>
              </w:tc>
            </w:tr>
            <w:tr w:rsidR="008059BE" w:rsidRPr="00311ECA">
              <w:tc>
                <w:tcPr>
                  <w:tcW w:w="423" w:type="dxa"/>
                  <w:shd w:val="clear" w:color="auto" w:fill="FFFFFF"/>
                </w:tcPr>
                <w:p w:rsidR="008059BE" w:rsidRPr="00311ECA" w:rsidRDefault="008059BE" w:rsidP="00681E45">
                  <w:pPr>
                    <w:spacing w:after="0"/>
                    <w:rPr>
                      <w:sz w:val="22"/>
                      <w:szCs w:val="22"/>
                      <w:lang w:val="en-GB"/>
                    </w:rPr>
                  </w:pPr>
                </w:p>
              </w:tc>
              <w:tc>
                <w:tcPr>
                  <w:tcW w:w="8169" w:type="dxa"/>
                </w:tcPr>
                <w:p w:rsidR="008059BE" w:rsidRDefault="008059BE" w:rsidP="00681E45">
                  <w:pPr>
                    <w:spacing w:after="0"/>
                    <w:rPr>
                      <w:sz w:val="22"/>
                      <w:szCs w:val="22"/>
                      <w:lang w:val="en-GB"/>
                    </w:rPr>
                  </w:pPr>
                  <w:r>
                    <w:rPr>
                      <w:sz w:val="22"/>
                      <w:szCs w:val="22"/>
                      <w:lang w:val="en-GB"/>
                    </w:rPr>
                    <w:t>No time at all</w:t>
                  </w:r>
                </w:p>
              </w:tc>
            </w:tr>
          </w:tbl>
          <w:p w:rsidR="008059BE" w:rsidRPr="00DB52FD" w:rsidRDefault="008059BE" w:rsidP="00681E45">
            <w:pPr>
              <w:spacing w:after="0"/>
              <w:rPr>
                <w:sz w:val="22"/>
                <w:szCs w:val="22"/>
                <w:lang w:val="en-US"/>
              </w:rPr>
            </w:pPr>
            <w:r>
              <w:rPr>
                <w:sz w:val="22"/>
                <w:szCs w:val="22"/>
                <w:lang w:val="en-US"/>
              </w:rPr>
              <w:t xml:space="preserve"> </w:t>
            </w:r>
            <w:r w:rsidRPr="00DB52FD">
              <w:rPr>
                <w:sz w:val="22"/>
                <w:szCs w:val="22"/>
                <w:lang w:val="en-US"/>
              </w:rPr>
              <w:t xml:space="preserve"> </w:t>
            </w:r>
          </w:p>
        </w:tc>
      </w:tr>
      <w:tr w:rsidR="008059BE" w:rsidRPr="00BD3886">
        <w:trPr>
          <w:cantSplit/>
        </w:trPr>
        <w:tc>
          <w:tcPr>
            <w:tcW w:w="423" w:type="dxa"/>
            <w:shd w:val="clear" w:color="auto" w:fill="F3F3F3"/>
          </w:tcPr>
          <w:p w:rsidR="008059BE" w:rsidRPr="009F2196" w:rsidRDefault="008059BE" w:rsidP="00681E45">
            <w:pPr>
              <w:spacing w:after="0"/>
              <w:rPr>
                <w:b/>
                <w:sz w:val="22"/>
                <w:szCs w:val="22"/>
                <w:lang w:val="en-GB"/>
              </w:rPr>
            </w:pPr>
            <w:r w:rsidRPr="009F2196">
              <w:rPr>
                <w:b/>
                <w:sz w:val="22"/>
                <w:szCs w:val="22"/>
                <w:lang w:val="en-GB"/>
              </w:rPr>
              <w:t>6</w:t>
            </w:r>
          </w:p>
        </w:tc>
        <w:tc>
          <w:tcPr>
            <w:tcW w:w="8818" w:type="dxa"/>
            <w:shd w:val="clear" w:color="auto" w:fill="F3F3F3"/>
          </w:tcPr>
          <w:p w:rsidR="008059BE" w:rsidRPr="009F2196" w:rsidRDefault="008059BE" w:rsidP="00681E45">
            <w:pPr>
              <w:spacing w:after="0"/>
              <w:rPr>
                <w:b/>
                <w:sz w:val="22"/>
                <w:szCs w:val="22"/>
                <w:lang w:val="en-GB"/>
              </w:rPr>
            </w:pPr>
            <w:r w:rsidRPr="006D0ABC">
              <w:rPr>
                <w:b/>
                <w:sz w:val="22"/>
                <w:szCs w:val="22"/>
                <w:lang w:val="en-GB"/>
              </w:rPr>
              <w:t>Did you receive support from your national i</w:t>
            </w:r>
            <w:r>
              <w:rPr>
                <w:b/>
                <w:sz w:val="22"/>
                <w:szCs w:val="22"/>
                <w:lang w:val="en-GB"/>
              </w:rPr>
              <w:t>nstitutions in your preparation</w:t>
            </w:r>
            <w:r w:rsidRPr="009F2196">
              <w:rPr>
                <w:b/>
                <w:sz w:val="22"/>
                <w:szCs w:val="22"/>
                <w:lang w:val="en-GB"/>
              </w:rPr>
              <w:t>?</w:t>
            </w:r>
            <w:r>
              <w:rPr>
                <w:b/>
                <w:sz w:val="22"/>
                <w:szCs w:val="22"/>
                <w:lang w:val="en-GB"/>
              </w:rPr>
              <w:t xml:space="preserve"> </w:t>
            </w:r>
            <w:r w:rsidRPr="00DB5D59">
              <w:rPr>
                <w:sz w:val="22"/>
                <w:szCs w:val="22"/>
                <w:lang w:val="en-GB"/>
              </w:rPr>
              <w:t>(Tick one)</w:t>
            </w:r>
          </w:p>
          <w:p w:rsidR="008059BE" w:rsidRPr="00DB52FD" w:rsidRDefault="008059BE" w:rsidP="00681E45">
            <w:pPr>
              <w:spacing w:after="0"/>
              <w:rPr>
                <w:sz w:val="22"/>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3"/>
              <w:gridCol w:w="8169"/>
            </w:tblGrid>
            <w:tr w:rsidR="008059BE" w:rsidRPr="00311ECA">
              <w:tc>
                <w:tcPr>
                  <w:tcW w:w="423" w:type="dxa"/>
                  <w:shd w:val="clear" w:color="auto" w:fill="FFFFFF"/>
                </w:tcPr>
                <w:p w:rsidR="008059BE" w:rsidRPr="00311ECA" w:rsidRDefault="008059BE" w:rsidP="00681E45">
                  <w:pPr>
                    <w:spacing w:after="0"/>
                    <w:rPr>
                      <w:sz w:val="22"/>
                      <w:szCs w:val="22"/>
                      <w:lang w:val="en-GB"/>
                    </w:rPr>
                  </w:pPr>
                </w:p>
              </w:tc>
              <w:tc>
                <w:tcPr>
                  <w:tcW w:w="8169" w:type="dxa"/>
                </w:tcPr>
                <w:p w:rsidR="008059BE" w:rsidRPr="00311ECA" w:rsidRDefault="008059BE" w:rsidP="00681E45">
                  <w:pPr>
                    <w:spacing w:after="0"/>
                    <w:rPr>
                      <w:sz w:val="22"/>
                      <w:szCs w:val="22"/>
                      <w:lang w:val="en-GB"/>
                    </w:rPr>
                  </w:pPr>
                  <w:r>
                    <w:rPr>
                      <w:sz w:val="22"/>
                      <w:szCs w:val="22"/>
                      <w:lang w:val="en-GB"/>
                    </w:rPr>
                    <w:t>Much support</w:t>
                  </w:r>
                  <w:r w:rsidRPr="00311ECA">
                    <w:rPr>
                      <w:sz w:val="22"/>
                      <w:szCs w:val="22"/>
                      <w:lang w:val="en-GB"/>
                    </w:rPr>
                    <w:t xml:space="preserve">  </w:t>
                  </w:r>
                </w:p>
              </w:tc>
            </w:tr>
            <w:tr w:rsidR="008059BE" w:rsidRPr="00311ECA">
              <w:tc>
                <w:tcPr>
                  <w:tcW w:w="423" w:type="dxa"/>
                  <w:shd w:val="clear" w:color="auto" w:fill="FFFFFF"/>
                </w:tcPr>
                <w:p w:rsidR="008059BE" w:rsidRPr="00311ECA" w:rsidRDefault="008059BE" w:rsidP="00681E45">
                  <w:pPr>
                    <w:spacing w:after="0"/>
                    <w:rPr>
                      <w:sz w:val="22"/>
                      <w:szCs w:val="22"/>
                      <w:lang w:val="en-GB"/>
                    </w:rPr>
                  </w:pPr>
                </w:p>
              </w:tc>
              <w:tc>
                <w:tcPr>
                  <w:tcW w:w="8169" w:type="dxa"/>
                </w:tcPr>
                <w:p w:rsidR="008059BE" w:rsidRPr="00311ECA" w:rsidRDefault="008059BE" w:rsidP="00681E45">
                  <w:pPr>
                    <w:spacing w:after="0"/>
                    <w:rPr>
                      <w:sz w:val="22"/>
                      <w:szCs w:val="22"/>
                      <w:lang w:val="en-GB"/>
                    </w:rPr>
                  </w:pPr>
                  <w:r>
                    <w:rPr>
                      <w:sz w:val="22"/>
                      <w:szCs w:val="22"/>
                      <w:lang w:val="en-GB"/>
                    </w:rPr>
                    <w:t>Some support</w:t>
                  </w:r>
                </w:p>
              </w:tc>
            </w:tr>
            <w:tr w:rsidR="008059BE" w:rsidRPr="00311ECA">
              <w:tc>
                <w:tcPr>
                  <w:tcW w:w="423" w:type="dxa"/>
                  <w:shd w:val="clear" w:color="auto" w:fill="FFFFFF"/>
                </w:tcPr>
                <w:p w:rsidR="008059BE" w:rsidRPr="00311ECA" w:rsidRDefault="008059BE" w:rsidP="00681E45">
                  <w:pPr>
                    <w:spacing w:after="0"/>
                    <w:rPr>
                      <w:sz w:val="22"/>
                      <w:szCs w:val="22"/>
                      <w:lang w:val="en-GB"/>
                    </w:rPr>
                  </w:pPr>
                </w:p>
              </w:tc>
              <w:tc>
                <w:tcPr>
                  <w:tcW w:w="8169" w:type="dxa"/>
                </w:tcPr>
                <w:p w:rsidR="008059BE" w:rsidRPr="00311ECA" w:rsidRDefault="008059BE" w:rsidP="00681E45">
                  <w:pPr>
                    <w:spacing w:after="0"/>
                    <w:rPr>
                      <w:sz w:val="22"/>
                      <w:szCs w:val="22"/>
                      <w:lang w:val="en-GB"/>
                    </w:rPr>
                  </w:pPr>
                  <w:r>
                    <w:rPr>
                      <w:sz w:val="22"/>
                      <w:szCs w:val="22"/>
                      <w:lang w:val="en-GB"/>
                    </w:rPr>
                    <w:t>Limited support</w:t>
                  </w:r>
                  <w:r w:rsidRPr="00311ECA">
                    <w:rPr>
                      <w:sz w:val="22"/>
                      <w:szCs w:val="22"/>
                      <w:lang w:val="en-GB"/>
                    </w:rPr>
                    <w:t xml:space="preserve">           </w:t>
                  </w:r>
                </w:p>
              </w:tc>
            </w:tr>
            <w:tr w:rsidR="008059BE" w:rsidRPr="00311ECA">
              <w:tc>
                <w:tcPr>
                  <w:tcW w:w="423" w:type="dxa"/>
                  <w:shd w:val="clear" w:color="auto" w:fill="FFFFFF"/>
                </w:tcPr>
                <w:p w:rsidR="008059BE" w:rsidRPr="00311ECA" w:rsidRDefault="008059BE" w:rsidP="00681E45">
                  <w:pPr>
                    <w:spacing w:after="0"/>
                    <w:rPr>
                      <w:sz w:val="22"/>
                      <w:szCs w:val="22"/>
                      <w:lang w:val="en-GB"/>
                    </w:rPr>
                  </w:pPr>
                </w:p>
              </w:tc>
              <w:tc>
                <w:tcPr>
                  <w:tcW w:w="8169" w:type="dxa"/>
                </w:tcPr>
                <w:p w:rsidR="008059BE" w:rsidRPr="00311ECA" w:rsidRDefault="008059BE" w:rsidP="00681E45">
                  <w:pPr>
                    <w:spacing w:after="0"/>
                    <w:rPr>
                      <w:sz w:val="22"/>
                      <w:szCs w:val="22"/>
                      <w:lang w:val="en-GB"/>
                    </w:rPr>
                  </w:pPr>
                  <w:r>
                    <w:rPr>
                      <w:sz w:val="22"/>
                      <w:szCs w:val="22"/>
                      <w:lang w:val="en-GB"/>
                    </w:rPr>
                    <w:t>No support</w:t>
                  </w:r>
                  <w:r w:rsidRPr="00311ECA">
                    <w:rPr>
                      <w:sz w:val="22"/>
                      <w:szCs w:val="22"/>
                      <w:lang w:val="en-GB"/>
                    </w:rPr>
                    <w:t xml:space="preserve"> at all</w:t>
                  </w:r>
                </w:p>
              </w:tc>
            </w:tr>
          </w:tbl>
          <w:p w:rsidR="008059BE" w:rsidRPr="00DB52FD" w:rsidRDefault="008059BE" w:rsidP="00681E45">
            <w:pPr>
              <w:spacing w:after="0"/>
              <w:rPr>
                <w:sz w:val="22"/>
                <w:szCs w:val="22"/>
                <w:lang w:val="en-GB"/>
              </w:rPr>
            </w:pPr>
            <w:r>
              <w:rPr>
                <w:sz w:val="22"/>
                <w:szCs w:val="22"/>
                <w:lang w:val="en-GB"/>
              </w:rPr>
              <w:t xml:space="preserve"> </w:t>
            </w:r>
          </w:p>
        </w:tc>
      </w:tr>
      <w:tr w:rsidR="008059BE" w:rsidRPr="00BD3886">
        <w:trPr>
          <w:cantSplit/>
        </w:trPr>
        <w:tc>
          <w:tcPr>
            <w:tcW w:w="423" w:type="dxa"/>
            <w:shd w:val="clear" w:color="auto" w:fill="F3F3F3"/>
          </w:tcPr>
          <w:p w:rsidR="008059BE" w:rsidRPr="009F2196" w:rsidRDefault="008059BE" w:rsidP="00681E45">
            <w:pPr>
              <w:spacing w:after="0"/>
              <w:rPr>
                <w:b/>
                <w:sz w:val="22"/>
                <w:szCs w:val="22"/>
                <w:lang w:val="en-GB"/>
              </w:rPr>
            </w:pPr>
            <w:r w:rsidRPr="009F2196">
              <w:rPr>
                <w:b/>
                <w:sz w:val="22"/>
                <w:szCs w:val="22"/>
                <w:lang w:val="en-GB"/>
              </w:rPr>
              <w:lastRenderedPageBreak/>
              <w:t>7</w:t>
            </w:r>
          </w:p>
        </w:tc>
        <w:tc>
          <w:tcPr>
            <w:tcW w:w="8818" w:type="dxa"/>
            <w:shd w:val="clear" w:color="auto" w:fill="F3F3F3"/>
          </w:tcPr>
          <w:p w:rsidR="008059BE" w:rsidRPr="00A053C1" w:rsidRDefault="008059BE" w:rsidP="00A053C1">
            <w:pPr>
              <w:rPr>
                <w:b/>
                <w:sz w:val="22"/>
                <w:szCs w:val="22"/>
                <w:lang w:val="en-US"/>
              </w:rPr>
            </w:pPr>
            <w:r w:rsidRPr="00A053C1">
              <w:rPr>
                <w:b/>
                <w:sz w:val="22"/>
                <w:szCs w:val="22"/>
                <w:lang w:val="en-US"/>
              </w:rPr>
              <w:t xml:space="preserve">How did you find the working processes of the Codex committee? </w:t>
            </w:r>
            <w:r w:rsidRPr="00A053C1">
              <w:rPr>
                <w:b/>
                <w:sz w:val="22"/>
                <w:szCs w:val="22"/>
                <w:lang w:val="en-GB"/>
              </w:rPr>
              <w:t>(Tick one)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3"/>
              <w:gridCol w:w="8169"/>
            </w:tblGrid>
            <w:tr w:rsidR="008059BE" w:rsidRPr="00311ECA">
              <w:tc>
                <w:tcPr>
                  <w:tcW w:w="423" w:type="dxa"/>
                  <w:shd w:val="clear" w:color="auto" w:fill="FFFFFF"/>
                </w:tcPr>
                <w:p w:rsidR="008059BE" w:rsidRPr="00311ECA" w:rsidRDefault="008059BE" w:rsidP="00681E45">
                  <w:pPr>
                    <w:spacing w:after="0"/>
                    <w:rPr>
                      <w:sz w:val="22"/>
                      <w:szCs w:val="22"/>
                      <w:lang w:val="en-GB"/>
                    </w:rPr>
                  </w:pPr>
                </w:p>
              </w:tc>
              <w:tc>
                <w:tcPr>
                  <w:tcW w:w="8169" w:type="dxa"/>
                </w:tcPr>
                <w:p w:rsidR="008059BE" w:rsidRPr="006D0ABC" w:rsidRDefault="008059BE" w:rsidP="00681E45">
                  <w:pPr>
                    <w:spacing w:after="0"/>
                    <w:rPr>
                      <w:sz w:val="22"/>
                      <w:szCs w:val="22"/>
                      <w:lang w:val="en-US"/>
                    </w:rPr>
                  </w:pPr>
                  <w:r w:rsidRPr="006D0ABC">
                    <w:rPr>
                      <w:sz w:val="22"/>
                      <w:szCs w:val="22"/>
                      <w:lang w:val="en-US"/>
                    </w:rPr>
                    <w:t>Clear and structured, easy to take part</w:t>
                  </w:r>
                </w:p>
              </w:tc>
            </w:tr>
            <w:tr w:rsidR="008059BE" w:rsidRPr="00311ECA">
              <w:tc>
                <w:tcPr>
                  <w:tcW w:w="423" w:type="dxa"/>
                  <w:shd w:val="clear" w:color="auto" w:fill="FFFFFF"/>
                </w:tcPr>
                <w:p w:rsidR="008059BE" w:rsidRPr="00311ECA" w:rsidRDefault="008059BE" w:rsidP="00681E45">
                  <w:pPr>
                    <w:spacing w:after="0"/>
                    <w:rPr>
                      <w:sz w:val="22"/>
                      <w:szCs w:val="22"/>
                      <w:lang w:val="en-GB"/>
                    </w:rPr>
                  </w:pPr>
                </w:p>
              </w:tc>
              <w:tc>
                <w:tcPr>
                  <w:tcW w:w="8169" w:type="dxa"/>
                </w:tcPr>
                <w:p w:rsidR="008059BE" w:rsidRPr="006D0ABC" w:rsidRDefault="008059BE" w:rsidP="00681E45">
                  <w:pPr>
                    <w:spacing w:after="0"/>
                    <w:rPr>
                      <w:sz w:val="22"/>
                      <w:szCs w:val="22"/>
                      <w:lang w:val="en-US"/>
                    </w:rPr>
                  </w:pPr>
                  <w:r w:rsidRPr="006D0ABC">
                    <w:rPr>
                      <w:sz w:val="22"/>
                      <w:szCs w:val="22"/>
                      <w:lang w:val="en-US"/>
                    </w:rPr>
                    <w:t>Clear and structured, but it takes time to learn to participate effectively</w:t>
                  </w:r>
                </w:p>
              </w:tc>
            </w:tr>
            <w:tr w:rsidR="008059BE" w:rsidRPr="00311ECA">
              <w:tc>
                <w:tcPr>
                  <w:tcW w:w="423" w:type="dxa"/>
                  <w:shd w:val="clear" w:color="auto" w:fill="FFFFFF"/>
                </w:tcPr>
                <w:p w:rsidR="008059BE" w:rsidRPr="00311ECA" w:rsidRDefault="008059BE" w:rsidP="00681E45">
                  <w:pPr>
                    <w:spacing w:after="0"/>
                    <w:rPr>
                      <w:sz w:val="22"/>
                      <w:szCs w:val="22"/>
                      <w:lang w:val="en-GB"/>
                    </w:rPr>
                  </w:pPr>
                </w:p>
              </w:tc>
              <w:tc>
                <w:tcPr>
                  <w:tcW w:w="8169" w:type="dxa"/>
                </w:tcPr>
                <w:p w:rsidR="008059BE" w:rsidRPr="006D0ABC" w:rsidRDefault="008059BE" w:rsidP="00681E45">
                  <w:pPr>
                    <w:spacing w:after="0"/>
                    <w:rPr>
                      <w:sz w:val="22"/>
                      <w:szCs w:val="22"/>
                      <w:lang w:val="en-US"/>
                    </w:rPr>
                  </w:pPr>
                  <w:r w:rsidRPr="006D0ABC">
                    <w:rPr>
                      <w:sz w:val="22"/>
                      <w:szCs w:val="22"/>
                      <w:lang w:val="en-US"/>
                    </w:rPr>
                    <w:t>Difficult to understand,</w:t>
                  </w:r>
                  <w:r>
                    <w:rPr>
                      <w:sz w:val="22"/>
                      <w:szCs w:val="22"/>
                      <w:lang w:val="en-US"/>
                    </w:rPr>
                    <w:t xml:space="preserve"> but open and easy to take part</w:t>
                  </w:r>
                  <w:r w:rsidRPr="00311ECA">
                    <w:rPr>
                      <w:sz w:val="22"/>
                      <w:szCs w:val="22"/>
                      <w:lang w:val="en-GB"/>
                    </w:rPr>
                    <w:t xml:space="preserve">     </w:t>
                  </w:r>
                </w:p>
              </w:tc>
            </w:tr>
            <w:tr w:rsidR="008059BE" w:rsidRPr="00311ECA">
              <w:tc>
                <w:tcPr>
                  <w:tcW w:w="423" w:type="dxa"/>
                  <w:shd w:val="clear" w:color="auto" w:fill="FFFFFF"/>
                </w:tcPr>
                <w:p w:rsidR="008059BE" w:rsidRPr="00311ECA" w:rsidRDefault="008059BE" w:rsidP="00681E45">
                  <w:pPr>
                    <w:spacing w:after="0"/>
                    <w:rPr>
                      <w:sz w:val="22"/>
                      <w:szCs w:val="22"/>
                      <w:lang w:val="en-GB"/>
                    </w:rPr>
                  </w:pPr>
                </w:p>
              </w:tc>
              <w:tc>
                <w:tcPr>
                  <w:tcW w:w="8169" w:type="dxa"/>
                </w:tcPr>
                <w:p w:rsidR="008059BE" w:rsidRPr="00311ECA" w:rsidRDefault="008059BE" w:rsidP="00681E45">
                  <w:pPr>
                    <w:spacing w:after="0"/>
                    <w:rPr>
                      <w:sz w:val="22"/>
                      <w:szCs w:val="22"/>
                      <w:lang w:val="en-GB"/>
                    </w:rPr>
                  </w:pPr>
                  <w:r w:rsidRPr="006D0ABC">
                    <w:rPr>
                      <w:sz w:val="22"/>
                      <w:szCs w:val="22"/>
                      <w:lang w:val="en-US"/>
                    </w:rPr>
                    <w:t>Difficult to understand and difficult to participate</w:t>
                  </w:r>
                </w:p>
              </w:tc>
            </w:tr>
          </w:tbl>
          <w:p w:rsidR="008059BE" w:rsidRPr="00DB52FD" w:rsidRDefault="008059BE" w:rsidP="00681E45">
            <w:pPr>
              <w:spacing w:after="0"/>
              <w:rPr>
                <w:sz w:val="22"/>
                <w:szCs w:val="22"/>
                <w:lang w:val="en-US"/>
              </w:rPr>
            </w:pPr>
            <w:r>
              <w:rPr>
                <w:sz w:val="22"/>
                <w:szCs w:val="22"/>
                <w:lang w:val="en-US"/>
              </w:rPr>
              <w:t xml:space="preserve"> </w:t>
            </w:r>
          </w:p>
        </w:tc>
      </w:tr>
      <w:tr w:rsidR="008059BE" w:rsidRPr="00BD3886">
        <w:trPr>
          <w:cantSplit/>
        </w:trPr>
        <w:tc>
          <w:tcPr>
            <w:tcW w:w="423" w:type="dxa"/>
            <w:shd w:val="clear" w:color="auto" w:fill="F3F3F3"/>
          </w:tcPr>
          <w:p w:rsidR="008059BE" w:rsidRPr="009F2196" w:rsidRDefault="008059BE" w:rsidP="00681E45">
            <w:pPr>
              <w:spacing w:after="0"/>
              <w:rPr>
                <w:b/>
                <w:sz w:val="22"/>
                <w:szCs w:val="22"/>
                <w:lang w:val="en-GB"/>
              </w:rPr>
            </w:pPr>
            <w:r w:rsidRPr="009F2196">
              <w:rPr>
                <w:b/>
                <w:sz w:val="22"/>
                <w:szCs w:val="22"/>
                <w:lang w:val="en-GB"/>
              </w:rPr>
              <w:t>8</w:t>
            </w:r>
          </w:p>
        </w:tc>
        <w:tc>
          <w:tcPr>
            <w:tcW w:w="8818" w:type="dxa"/>
            <w:shd w:val="clear" w:color="auto" w:fill="F3F3F3"/>
          </w:tcPr>
          <w:p w:rsidR="008059BE" w:rsidRPr="00EB5B98" w:rsidRDefault="008059BE" w:rsidP="00681E45">
            <w:pPr>
              <w:spacing w:after="0"/>
              <w:rPr>
                <w:b/>
                <w:sz w:val="22"/>
                <w:szCs w:val="22"/>
                <w:lang w:val="en-GB"/>
              </w:rPr>
            </w:pPr>
            <w:r w:rsidRPr="006D0ABC">
              <w:rPr>
                <w:b/>
                <w:sz w:val="22"/>
                <w:szCs w:val="22"/>
                <w:lang w:val="en-GB"/>
              </w:rPr>
              <w:t xml:space="preserve">Which issues did you find most important to work with immediately when you returned home from the </w:t>
            </w:r>
            <w:r>
              <w:rPr>
                <w:b/>
                <w:sz w:val="22"/>
                <w:szCs w:val="22"/>
                <w:lang w:val="en-GB"/>
              </w:rPr>
              <w:t>Codex meetings?</w:t>
            </w:r>
          </w:p>
          <w:p w:rsidR="008059BE" w:rsidRDefault="008059BE" w:rsidP="00681E45">
            <w:pPr>
              <w:spacing w:after="0"/>
              <w:rPr>
                <w:bCs/>
                <w:sz w:val="22"/>
                <w:szCs w:val="22"/>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87"/>
            </w:tblGrid>
            <w:tr w:rsidR="008059BE" w:rsidRPr="00311ECA">
              <w:tc>
                <w:tcPr>
                  <w:tcW w:w="8587" w:type="dxa"/>
                  <w:shd w:val="clear" w:color="auto" w:fill="FFFFFF"/>
                </w:tcPr>
                <w:p w:rsidR="008059BE" w:rsidRPr="00311ECA" w:rsidRDefault="008059BE" w:rsidP="00681E45">
                  <w:pPr>
                    <w:spacing w:after="0"/>
                    <w:rPr>
                      <w:bCs/>
                      <w:sz w:val="22"/>
                      <w:szCs w:val="22"/>
                      <w:lang w:val="en-US"/>
                    </w:rPr>
                  </w:pPr>
                </w:p>
                <w:p w:rsidR="008059BE" w:rsidRPr="00311ECA" w:rsidRDefault="008059BE" w:rsidP="00681E45">
                  <w:pPr>
                    <w:spacing w:after="0"/>
                    <w:rPr>
                      <w:bCs/>
                      <w:sz w:val="22"/>
                      <w:szCs w:val="22"/>
                      <w:lang w:val="en-US"/>
                    </w:rPr>
                  </w:pPr>
                </w:p>
              </w:tc>
            </w:tr>
          </w:tbl>
          <w:p w:rsidR="008059BE" w:rsidRPr="00DB52FD" w:rsidRDefault="008059BE" w:rsidP="00681E45">
            <w:pPr>
              <w:spacing w:after="0"/>
              <w:rPr>
                <w:sz w:val="22"/>
                <w:szCs w:val="22"/>
                <w:lang w:val="en-GB"/>
              </w:rPr>
            </w:pPr>
            <w:r>
              <w:rPr>
                <w:sz w:val="22"/>
                <w:szCs w:val="22"/>
                <w:lang w:val="en-GB"/>
              </w:rPr>
              <w:t xml:space="preserve"> </w:t>
            </w:r>
          </w:p>
        </w:tc>
      </w:tr>
      <w:tr w:rsidR="008059BE" w:rsidRPr="00BD3886">
        <w:trPr>
          <w:cantSplit/>
        </w:trPr>
        <w:tc>
          <w:tcPr>
            <w:tcW w:w="423" w:type="dxa"/>
            <w:shd w:val="clear" w:color="auto" w:fill="F3F3F3"/>
          </w:tcPr>
          <w:p w:rsidR="008059BE" w:rsidRPr="009F2196" w:rsidRDefault="008059BE" w:rsidP="00681E45">
            <w:pPr>
              <w:spacing w:after="0"/>
              <w:rPr>
                <w:b/>
                <w:sz w:val="22"/>
                <w:szCs w:val="22"/>
                <w:lang w:val="en-GB"/>
              </w:rPr>
            </w:pPr>
            <w:r>
              <w:rPr>
                <w:b/>
                <w:sz w:val="22"/>
                <w:szCs w:val="22"/>
                <w:lang w:val="en-GB"/>
              </w:rPr>
              <w:t>9</w:t>
            </w:r>
          </w:p>
        </w:tc>
        <w:tc>
          <w:tcPr>
            <w:tcW w:w="8818" w:type="dxa"/>
            <w:shd w:val="clear" w:color="auto" w:fill="F3F3F3"/>
          </w:tcPr>
          <w:p w:rsidR="008059BE" w:rsidRPr="006D0ABC" w:rsidRDefault="008059BE" w:rsidP="00681E45">
            <w:pPr>
              <w:spacing w:after="0"/>
              <w:rPr>
                <w:b/>
                <w:sz w:val="22"/>
                <w:szCs w:val="22"/>
                <w:lang w:val="en-GB"/>
              </w:rPr>
            </w:pPr>
            <w:r w:rsidRPr="006D0ABC">
              <w:rPr>
                <w:b/>
                <w:sz w:val="22"/>
                <w:szCs w:val="22"/>
                <w:lang w:val="en-GB"/>
              </w:rPr>
              <w:t>Have you had any opportunity to provide formal feedback on your participation to the National Codex Committee?</w:t>
            </w:r>
            <w:r w:rsidRPr="00DB52FD">
              <w:rPr>
                <w:sz w:val="22"/>
                <w:szCs w:val="22"/>
                <w:lang w:val="en-GB"/>
              </w:rPr>
              <w:t xml:space="preserve"> (</w:t>
            </w:r>
            <w:r>
              <w:rPr>
                <w:sz w:val="22"/>
                <w:szCs w:val="22"/>
                <w:lang w:val="en-GB"/>
              </w:rPr>
              <w:t>Tick one</w:t>
            </w:r>
            <w:r w:rsidRPr="00DB52FD">
              <w:rPr>
                <w:sz w:val="22"/>
                <w:szCs w:val="22"/>
                <w:lang w:val="en-GB"/>
              </w:rPr>
              <w:t>)</w:t>
            </w:r>
          </w:p>
          <w:p w:rsidR="008059BE" w:rsidRPr="00DB52FD" w:rsidRDefault="008059BE" w:rsidP="00681E45">
            <w:pPr>
              <w:spacing w:after="0"/>
              <w:rPr>
                <w:sz w:val="22"/>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3"/>
              <w:gridCol w:w="8169"/>
            </w:tblGrid>
            <w:tr w:rsidR="008059BE" w:rsidRPr="00311ECA">
              <w:tc>
                <w:tcPr>
                  <w:tcW w:w="423" w:type="dxa"/>
                  <w:shd w:val="clear" w:color="auto" w:fill="FFFFFF"/>
                </w:tcPr>
                <w:p w:rsidR="008059BE" w:rsidRPr="00311ECA" w:rsidRDefault="008059BE" w:rsidP="00681E45">
                  <w:pPr>
                    <w:spacing w:after="0"/>
                    <w:rPr>
                      <w:sz w:val="22"/>
                      <w:szCs w:val="22"/>
                      <w:lang w:val="en-GB"/>
                    </w:rPr>
                  </w:pPr>
                </w:p>
              </w:tc>
              <w:tc>
                <w:tcPr>
                  <w:tcW w:w="8169" w:type="dxa"/>
                </w:tcPr>
                <w:p w:rsidR="008059BE" w:rsidRPr="00311ECA" w:rsidRDefault="008059BE" w:rsidP="00681E45">
                  <w:pPr>
                    <w:spacing w:after="0"/>
                    <w:rPr>
                      <w:sz w:val="22"/>
                      <w:szCs w:val="22"/>
                      <w:lang w:val="en-GB"/>
                    </w:rPr>
                  </w:pPr>
                  <w:r>
                    <w:rPr>
                      <w:sz w:val="22"/>
                      <w:szCs w:val="22"/>
                      <w:lang w:val="en-GB"/>
                    </w:rPr>
                    <w:t>Yes</w:t>
                  </w:r>
                </w:p>
              </w:tc>
            </w:tr>
            <w:tr w:rsidR="008059BE" w:rsidRPr="00311ECA">
              <w:tc>
                <w:tcPr>
                  <w:tcW w:w="423" w:type="dxa"/>
                  <w:shd w:val="clear" w:color="auto" w:fill="FFFFFF"/>
                </w:tcPr>
                <w:p w:rsidR="008059BE" w:rsidRPr="00311ECA" w:rsidRDefault="008059BE" w:rsidP="00681E45">
                  <w:pPr>
                    <w:spacing w:after="0"/>
                    <w:rPr>
                      <w:sz w:val="22"/>
                      <w:szCs w:val="22"/>
                      <w:lang w:val="en-GB"/>
                    </w:rPr>
                  </w:pPr>
                </w:p>
              </w:tc>
              <w:tc>
                <w:tcPr>
                  <w:tcW w:w="8169" w:type="dxa"/>
                </w:tcPr>
                <w:p w:rsidR="008059BE" w:rsidRPr="00311ECA" w:rsidRDefault="008059BE" w:rsidP="00681E45">
                  <w:pPr>
                    <w:spacing w:after="0"/>
                    <w:rPr>
                      <w:sz w:val="22"/>
                      <w:szCs w:val="22"/>
                      <w:lang w:val="en-GB"/>
                    </w:rPr>
                  </w:pPr>
                  <w:r>
                    <w:rPr>
                      <w:sz w:val="22"/>
                      <w:szCs w:val="22"/>
                      <w:lang w:val="en-GB"/>
                    </w:rPr>
                    <w:t>Not yet</w:t>
                  </w:r>
                </w:p>
              </w:tc>
            </w:tr>
            <w:tr w:rsidR="008059BE" w:rsidRPr="00311ECA">
              <w:tc>
                <w:tcPr>
                  <w:tcW w:w="423" w:type="dxa"/>
                  <w:shd w:val="clear" w:color="auto" w:fill="FFFFFF"/>
                </w:tcPr>
                <w:p w:rsidR="008059BE" w:rsidRPr="00311ECA" w:rsidRDefault="008059BE" w:rsidP="00681E45">
                  <w:pPr>
                    <w:spacing w:after="0"/>
                    <w:rPr>
                      <w:sz w:val="22"/>
                      <w:szCs w:val="22"/>
                      <w:lang w:val="en-GB"/>
                    </w:rPr>
                  </w:pPr>
                </w:p>
              </w:tc>
              <w:tc>
                <w:tcPr>
                  <w:tcW w:w="8169" w:type="dxa"/>
                </w:tcPr>
                <w:p w:rsidR="008059BE" w:rsidRPr="00311ECA" w:rsidRDefault="008059BE" w:rsidP="00681E45">
                  <w:pPr>
                    <w:spacing w:after="0"/>
                    <w:rPr>
                      <w:sz w:val="22"/>
                      <w:szCs w:val="22"/>
                      <w:lang w:val="en-GB"/>
                    </w:rPr>
                  </w:pPr>
                  <w:r>
                    <w:rPr>
                      <w:sz w:val="22"/>
                      <w:szCs w:val="22"/>
                      <w:lang w:val="en-GB"/>
                    </w:rPr>
                    <w:t>No, it is not planned</w:t>
                  </w:r>
                </w:p>
              </w:tc>
            </w:tr>
          </w:tbl>
          <w:p w:rsidR="008059BE" w:rsidRPr="00DB52FD" w:rsidRDefault="008059BE" w:rsidP="00681E45">
            <w:pPr>
              <w:spacing w:after="0"/>
              <w:rPr>
                <w:sz w:val="22"/>
                <w:szCs w:val="22"/>
                <w:lang w:val="en-GB"/>
              </w:rPr>
            </w:pPr>
            <w:r>
              <w:rPr>
                <w:sz w:val="22"/>
                <w:szCs w:val="22"/>
                <w:lang w:val="en-GB"/>
              </w:rPr>
              <w:t xml:space="preserve">  </w:t>
            </w:r>
          </w:p>
        </w:tc>
      </w:tr>
      <w:tr w:rsidR="008059BE" w:rsidRPr="00BD3886">
        <w:trPr>
          <w:cantSplit/>
        </w:trPr>
        <w:tc>
          <w:tcPr>
            <w:tcW w:w="423" w:type="dxa"/>
            <w:shd w:val="clear" w:color="auto" w:fill="F3F3F3"/>
          </w:tcPr>
          <w:p w:rsidR="008059BE" w:rsidRPr="009F2196" w:rsidRDefault="008059BE" w:rsidP="00681E45">
            <w:pPr>
              <w:spacing w:after="0"/>
              <w:rPr>
                <w:b/>
                <w:sz w:val="22"/>
                <w:szCs w:val="22"/>
                <w:lang w:val="en-GB"/>
              </w:rPr>
            </w:pPr>
            <w:r w:rsidRPr="009F2196">
              <w:rPr>
                <w:b/>
                <w:sz w:val="22"/>
                <w:szCs w:val="22"/>
                <w:lang w:val="en-GB"/>
              </w:rPr>
              <w:t>1</w:t>
            </w:r>
            <w:r>
              <w:rPr>
                <w:b/>
                <w:sz w:val="22"/>
                <w:szCs w:val="22"/>
                <w:lang w:val="en-GB"/>
              </w:rPr>
              <w:t>0</w:t>
            </w:r>
          </w:p>
        </w:tc>
        <w:tc>
          <w:tcPr>
            <w:tcW w:w="8818" w:type="dxa"/>
            <w:shd w:val="clear" w:color="auto" w:fill="F3F3F3"/>
          </w:tcPr>
          <w:p w:rsidR="008059BE" w:rsidRPr="00311ECA" w:rsidRDefault="008059BE" w:rsidP="00681E45">
            <w:pPr>
              <w:spacing w:after="0"/>
              <w:rPr>
                <w:b/>
                <w:sz w:val="22"/>
                <w:szCs w:val="22"/>
                <w:lang w:val="en-GB"/>
              </w:rPr>
            </w:pPr>
            <w:r w:rsidRPr="006D0ABC">
              <w:rPr>
                <w:b/>
                <w:sz w:val="22"/>
                <w:szCs w:val="22"/>
                <w:lang w:val="en-GB"/>
              </w:rPr>
              <w:t>Is there any joint follow-up to the Codex meetings with other partners in the National Codex Committee?</w:t>
            </w:r>
            <w:r>
              <w:rPr>
                <w:b/>
                <w:sz w:val="22"/>
                <w:szCs w:val="22"/>
                <w:lang w:val="en-GB"/>
              </w:rPr>
              <w:t xml:space="preserve"> </w:t>
            </w:r>
            <w:r w:rsidRPr="00DB52FD">
              <w:rPr>
                <w:sz w:val="22"/>
                <w:szCs w:val="22"/>
                <w:lang w:val="en-GB"/>
              </w:rPr>
              <w:t>(</w:t>
            </w:r>
            <w:r>
              <w:rPr>
                <w:sz w:val="22"/>
                <w:szCs w:val="22"/>
                <w:lang w:val="en-GB"/>
              </w:rPr>
              <w:t>Tick one</w:t>
            </w:r>
            <w:r w:rsidRPr="00DB52FD">
              <w:rPr>
                <w:sz w:val="22"/>
                <w:szCs w:val="22"/>
                <w:lang w:val="en-GB"/>
              </w:rPr>
              <w:t>)</w:t>
            </w:r>
          </w:p>
          <w:p w:rsidR="008059BE" w:rsidRDefault="008059BE" w:rsidP="00681E45">
            <w:pPr>
              <w:spacing w:after="0"/>
              <w:rPr>
                <w:sz w:val="22"/>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3"/>
              <w:gridCol w:w="8169"/>
            </w:tblGrid>
            <w:tr w:rsidR="008059BE" w:rsidRPr="00311ECA">
              <w:tc>
                <w:tcPr>
                  <w:tcW w:w="423" w:type="dxa"/>
                  <w:shd w:val="clear" w:color="auto" w:fill="FFFFFF"/>
                </w:tcPr>
                <w:p w:rsidR="008059BE" w:rsidRPr="00311ECA" w:rsidRDefault="008059BE" w:rsidP="00681E45">
                  <w:pPr>
                    <w:spacing w:after="0"/>
                    <w:rPr>
                      <w:sz w:val="22"/>
                      <w:szCs w:val="22"/>
                      <w:lang w:val="en-GB"/>
                    </w:rPr>
                  </w:pPr>
                </w:p>
              </w:tc>
              <w:tc>
                <w:tcPr>
                  <w:tcW w:w="8169" w:type="dxa"/>
                </w:tcPr>
                <w:p w:rsidR="008059BE" w:rsidRPr="00311ECA" w:rsidRDefault="008059BE" w:rsidP="00681E45">
                  <w:pPr>
                    <w:spacing w:after="0"/>
                    <w:rPr>
                      <w:sz w:val="22"/>
                      <w:szCs w:val="22"/>
                      <w:lang w:val="en-GB"/>
                    </w:rPr>
                  </w:pPr>
                  <w:r>
                    <w:rPr>
                      <w:sz w:val="22"/>
                      <w:szCs w:val="22"/>
                      <w:lang w:val="en-GB"/>
                    </w:rPr>
                    <w:t>Yes</w:t>
                  </w:r>
                </w:p>
              </w:tc>
            </w:tr>
            <w:tr w:rsidR="008059BE" w:rsidRPr="00311ECA">
              <w:tc>
                <w:tcPr>
                  <w:tcW w:w="423" w:type="dxa"/>
                  <w:shd w:val="clear" w:color="auto" w:fill="FFFFFF"/>
                </w:tcPr>
                <w:p w:rsidR="008059BE" w:rsidRPr="00311ECA" w:rsidRDefault="008059BE" w:rsidP="00681E45">
                  <w:pPr>
                    <w:spacing w:after="0"/>
                    <w:rPr>
                      <w:sz w:val="22"/>
                      <w:szCs w:val="22"/>
                      <w:lang w:val="en-GB"/>
                    </w:rPr>
                  </w:pPr>
                </w:p>
              </w:tc>
              <w:tc>
                <w:tcPr>
                  <w:tcW w:w="8169" w:type="dxa"/>
                </w:tcPr>
                <w:p w:rsidR="008059BE" w:rsidRPr="00311ECA" w:rsidRDefault="008059BE" w:rsidP="00681E45">
                  <w:pPr>
                    <w:spacing w:after="0"/>
                    <w:rPr>
                      <w:sz w:val="22"/>
                      <w:szCs w:val="22"/>
                      <w:lang w:val="en-GB"/>
                    </w:rPr>
                  </w:pPr>
                  <w:r>
                    <w:rPr>
                      <w:sz w:val="22"/>
                      <w:szCs w:val="22"/>
                      <w:lang w:val="en-GB"/>
                    </w:rPr>
                    <w:t>No</w:t>
                  </w:r>
                </w:p>
              </w:tc>
            </w:tr>
          </w:tbl>
          <w:p w:rsidR="008059BE" w:rsidRDefault="008059BE" w:rsidP="00681E45">
            <w:pPr>
              <w:spacing w:after="0"/>
              <w:rPr>
                <w:sz w:val="22"/>
                <w:szCs w:val="22"/>
                <w:lang w:val="en-GB"/>
              </w:rPr>
            </w:pPr>
          </w:p>
          <w:p w:rsidR="008059BE" w:rsidRDefault="008059BE" w:rsidP="00681E45">
            <w:pPr>
              <w:spacing w:after="0"/>
              <w:rPr>
                <w:sz w:val="22"/>
                <w:szCs w:val="22"/>
                <w:lang w:val="en-GB"/>
              </w:rPr>
            </w:pPr>
            <w:r>
              <w:rPr>
                <w:sz w:val="22"/>
                <w:szCs w:val="22"/>
                <w:lang w:val="en-GB"/>
              </w:rPr>
              <w:t>If yes, please describe.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87"/>
            </w:tblGrid>
            <w:tr w:rsidR="008059BE" w:rsidRPr="00311ECA">
              <w:tc>
                <w:tcPr>
                  <w:tcW w:w="8587" w:type="dxa"/>
                  <w:shd w:val="clear" w:color="auto" w:fill="FFFFFF"/>
                </w:tcPr>
                <w:p w:rsidR="008059BE" w:rsidRPr="00311ECA" w:rsidRDefault="008059BE" w:rsidP="00681E45">
                  <w:pPr>
                    <w:spacing w:after="0"/>
                    <w:rPr>
                      <w:sz w:val="22"/>
                      <w:szCs w:val="22"/>
                      <w:lang w:val="en-GB"/>
                    </w:rPr>
                  </w:pPr>
                </w:p>
                <w:p w:rsidR="008059BE" w:rsidRPr="00311ECA" w:rsidRDefault="008059BE" w:rsidP="00681E45">
                  <w:pPr>
                    <w:spacing w:after="0"/>
                    <w:rPr>
                      <w:sz w:val="22"/>
                      <w:szCs w:val="22"/>
                      <w:lang w:val="en-GB"/>
                    </w:rPr>
                  </w:pPr>
                </w:p>
              </w:tc>
            </w:tr>
          </w:tbl>
          <w:p w:rsidR="008059BE" w:rsidRPr="00DB52FD" w:rsidRDefault="008059BE" w:rsidP="00681E45">
            <w:pPr>
              <w:spacing w:after="0"/>
              <w:rPr>
                <w:sz w:val="22"/>
                <w:szCs w:val="22"/>
                <w:lang w:val="en-GB"/>
              </w:rPr>
            </w:pPr>
            <w:r>
              <w:rPr>
                <w:sz w:val="22"/>
                <w:szCs w:val="22"/>
                <w:lang w:val="en-GB"/>
              </w:rPr>
              <w:t xml:space="preserve"> </w:t>
            </w:r>
          </w:p>
        </w:tc>
      </w:tr>
      <w:tr w:rsidR="008059BE" w:rsidRPr="00BD3886">
        <w:trPr>
          <w:cantSplit/>
        </w:trPr>
        <w:tc>
          <w:tcPr>
            <w:tcW w:w="423" w:type="dxa"/>
            <w:shd w:val="clear" w:color="auto" w:fill="F3F3F3"/>
          </w:tcPr>
          <w:p w:rsidR="008059BE" w:rsidRPr="009F2196" w:rsidRDefault="008059BE" w:rsidP="00681E45">
            <w:pPr>
              <w:spacing w:after="0"/>
              <w:rPr>
                <w:b/>
                <w:sz w:val="22"/>
                <w:szCs w:val="22"/>
                <w:lang w:val="en-GB"/>
              </w:rPr>
            </w:pPr>
            <w:r w:rsidRPr="009F2196">
              <w:rPr>
                <w:b/>
                <w:sz w:val="22"/>
                <w:szCs w:val="22"/>
                <w:lang w:val="en-GB"/>
              </w:rPr>
              <w:t>11</w:t>
            </w:r>
          </w:p>
        </w:tc>
        <w:tc>
          <w:tcPr>
            <w:tcW w:w="8818" w:type="dxa"/>
            <w:shd w:val="clear" w:color="auto" w:fill="F3F3F3"/>
          </w:tcPr>
          <w:p w:rsidR="008059BE" w:rsidRDefault="008059BE" w:rsidP="00681E45">
            <w:pPr>
              <w:spacing w:after="0"/>
              <w:rPr>
                <w:sz w:val="22"/>
                <w:szCs w:val="22"/>
                <w:lang w:val="en-GB"/>
              </w:rPr>
            </w:pPr>
            <w:r w:rsidRPr="00EB5B98">
              <w:rPr>
                <w:b/>
                <w:sz w:val="22"/>
                <w:szCs w:val="22"/>
                <w:lang w:val="en-GB"/>
              </w:rPr>
              <w:t>What are, in your opinion, the greatest obstacles to more effective Codex work in your country?</w:t>
            </w:r>
            <w:r w:rsidRPr="00DB52FD">
              <w:rPr>
                <w:sz w:val="22"/>
                <w:szCs w:val="22"/>
                <w:lang w:val="en-GB"/>
              </w:rPr>
              <w:t xml:space="preserve"> (Rank or tick one/several)</w:t>
            </w:r>
          </w:p>
          <w:p w:rsidR="008059BE" w:rsidRPr="00DB52FD" w:rsidRDefault="008059BE" w:rsidP="00681E45">
            <w:pPr>
              <w:spacing w:after="0"/>
              <w:rPr>
                <w:sz w:val="22"/>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3"/>
              <w:gridCol w:w="8169"/>
            </w:tblGrid>
            <w:tr w:rsidR="008059BE" w:rsidRPr="00311ECA">
              <w:tc>
                <w:tcPr>
                  <w:tcW w:w="423" w:type="dxa"/>
                  <w:shd w:val="clear" w:color="auto" w:fill="FFFFFF"/>
                </w:tcPr>
                <w:p w:rsidR="008059BE" w:rsidRPr="00311ECA" w:rsidRDefault="008059BE" w:rsidP="00681E45">
                  <w:pPr>
                    <w:spacing w:after="0"/>
                    <w:rPr>
                      <w:sz w:val="22"/>
                      <w:szCs w:val="22"/>
                      <w:lang w:val="en-GB"/>
                    </w:rPr>
                  </w:pPr>
                </w:p>
              </w:tc>
              <w:tc>
                <w:tcPr>
                  <w:tcW w:w="8169" w:type="dxa"/>
                </w:tcPr>
                <w:p w:rsidR="008059BE" w:rsidRPr="00311ECA" w:rsidRDefault="008059BE" w:rsidP="00681E45">
                  <w:pPr>
                    <w:spacing w:after="0"/>
                    <w:rPr>
                      <w:sz w:val="22"/>
                      <w:szCs w:val="22"/>
                      <w:lang w:val="en-GB"/>
                    </w:rPr>
                  </w:pPr>
                  <w:r w:rsidRPr="00311ECA">
                    <w:rPr>
                      <w:sz w:val="22"/>
                      <w:szCs w:val="22"/>
                      <w:lang w:val="en-GB"/>
                    </w:rPr>
                    <w:t>Political will and leadership</w:t>
                  </w:r>
                </w:p>
              </w:tc>
            </w:tr>
            <w:tr w:rsidR="008059BE" w:rsidRPr="00311ECA">
              <w:tc>
                <w:tcPr>
                  <w:tcW w:w="423" w:type="dxa"/>
                  <w:shd w:val="clear" w:color="auto" w:fill="FFFFFF"/>
                </w:tcPr>
                <w:p w:rsidR="008059BE" w:rsidRPr="00311ECA" w:rsidRDefault="008059BE" w:rsidP="00681E45">
                  <w:pPr>
                    <w:spacing w:after="0"/>
                    <w:rPr>
                      <w:sz w:val="22"/>
                      <w:szCs w:val="22"/>
                      <w:lang w:val="en-GB"/>
                    </w:rPr>
                  </w:pPr>
                </w:p>
              </w:tc>
              <w:tc>
                <w:tcPr>
                  <w:tcW w:w="8169" w:type="dxa"/>
                </w:tcPr>
                <w:p w:rsidR="008059BE" w:rsidRPr="00311ECA" w:rsidRDefault="008059BE" w:rsidP="00681E45">
                  <w:pPr>
                    <w:spacing w:after="0"/>
                    <w:rPr>
                      <w:sz w:val="22"/>
                      <w:szCs w:val="22"/>
                      <w:lang w:val="en-GB"/>
                    </w:rPr>
                  </w:pPr>
                  <w:r w:rsidRPr="00311ECA">
                    <w:rPr>
                      <w:sz w:val="22"/>
                      <w:szCs w:val="22"/>
                      <w:lang w:val="en-GB"/>
                    </w:rPr>
                    <w:t>Policy development</w:t>
                  </w:r>
                </w:p>
              </w:tc>
            </w:tr>
            <w:tr w:rsidR="008059BE" w:rsidRPr="00311ECA">
              <w:tc>
                <w:tcPr>
                  <w:tcW w:w="423" w:type="dxa"/>
                  <w:shd w:val="clear" w:color="auto" w:fill="FFFFFF"/>
                </w:tcPr>
                <w:p w:rsidR="008059BE" w:rsidRPr="00311ECA" w:rsidRDefault="008059BE" w:rsidP="00681E45">
                  <w:pPr>
                    <w:spacing w:after="0"/>
                    <w:rPr>
                      <w:sz w:val="22"/>
                      <w:szCs w:val="22"/>
                      <w:lang w:val="en-GB"/>
                    </w:rPr>
                  </w:pPr>
                </w:p>
              </w:tc>
              <w:tc>
                <w:tcPr>
                  <w:tcW w:w="8169" w:type="dxa"/>
                </w:tcPr>
                <w:p w:rsidR="008059BE" w:rsidRPr="00311ECA" w:rsidRDefault="008059BE" w:rsidP="00681E45">
                  <w:pPr>
                    <w:spacing w:after="0"/>
                    <w:rPr>
                      <w:sz w:val="22"/>
                      <w:szCs w:val="22"/>
                      <w:lang w:val="en-GB"/>
                    </w:rPr>
                  </w:pPr>
                  <w:r w:rsidRPr="00311ECA">
                    <w:rPr>
                      <w:sz w:val="22"/>
                      <w:szCs w:val="22"/>
                      <w:lang w:val="en-GB"/>
                    </w:rPr>
                    <w:t>Institutions</w:t>
                  </w:r>
                </w:p>
              </w:tc>
            </w:tr>
            <w:tr w:rsidR="008059BE" w:rsidRPr="00311ECA">
              <w:tc>
                <w:tcPr>
                  <w:tcW w:w="423" w:type="dxa"/>
                  <w:shd w:val="clear" w:color="auto" w:fill="FFFFFF"/>
                </w:tcPr>
                <w:p w:rsidR="008059BE" w:rsidRPr="00311ECA" w:rsidRDefault="008059BE" w:rsidP="00681E45">
                  <w:pPr>
                    <w:spacing w:after="0"/>
                    <w:rPr>
                      <w:sz w:val="22"/>
                      <w:szCs w:val="22"/>
                      <w:lang w:val="en-GB"/>
                    </w:rPr>
                  </w:pPr>
                </w:p>
              </w:tc>
              <w:tc>
                <w:tcPr>
                  <w:tcW w:w="8169" w:type="dxa"/>
                </w:tcPr>
                <w:p w:rsidR="008059BE" w:rsidRPr="00311ECA" w:rsidRDefault="008059BE" w:rsidP="00681E45">
                  <w:pPr>
                    <w:spacing w:after="0"/>
                    <w:rPr>
                      <w:sz w:val="22"/>
                      <w:szCs w:val="22"/>
                      <w:lang w:val="en-GB"/>
                    </w:rPr>
                  </w:pPr>
                  <w:r w:rsidRPr="00311ECA">
                    <w:rPr>
                      <w:sz w:val="22"/>
                      <w:szCs w:val="22"/>
                      <w:lang w:val="en-GB"/>
                    </w:rPr>
                    <w:t>Building networks between national institutions</w:t>
                  </w:r>
                </w:p>
              </w:tc>
            </w:tr>
            <w:tr w:rsidR="008059BE" w:rsidRPr="00311ECA">
              <w:tc>
                <w:tcPr>
                  <w:tcW w:w="423" w:type="dxa"/>
                  <w:shd w:val="clear" w:color="auto" w:fill="FFFFFF"/>
                </w:tcPr>
                <w:p w:rsidR="008059BE" w:rsidRPr="00311ECA" w:rsidRDefault="008059BE" w:rsidP="00681E45">
                  <w:pPr>
                    <w:spacing w:after="0"/>
                    <w:rPr>
                      <w:sz w:val="22"/>
                      <w:szCs w:val="22"/>
                      <w:lang w:val="en-GB"/>
                    </w:rPr>
                  </w:pPr>
                </w:p>
              </w:tc>
              <w:tc>
                <w:tcPr>
                  <w:tcW w:w="8169" w:type="dxa"/>
                </w:tcPr>
                <w:p w:rsidR="008059BE" w:rsidRPr="00311ECA" w:rsidRDefault="008059BE" w:rsidP="00681E45">
                  <w:pPr>
                    <w:spacing w:after="0"/>
                    <w:rPr>
                      <w:sz w:val="22"/>
                      <w:szCs w:val="22"/>
                      <w:lang w:val="en-GB"/>
                    </w:rPr>
                  </w:pPr>
                  <w:r w:rsidRPr="00311ECA">
                    <w:rPr>
                      <w:sz w:val="22"/>
                      <w:szCs w:val="22"/>
                      <w:lang w:val="en-GB"/>
                    </w:rPr>
                    <w:t>Providing financial resources for national institutions</w:t>
                  </w:r>
                </w:p>
              </w:tc>
            </w:tr>
            <w:tr w:rsidR="008059BE" w:rsidRPr="00311ECA">
              <w:tc>
                <w:tcPr>
                  <w:tcW w:w="423" w:type="dxa"/>
                  <w:shd w:val="clear" w:color="auto" w:fill="FFFFFF"/>
                </w:tcPr>
                <w:p w:rsidR="008059BE" w:rsidRPr="00311ECA" w:rsidRDefault="008059BE" w:rsidP="00681E45">
                  <w:pPr>
                    <w:spacing w:after="0"/>
                    <w:rPr>
                      <w:sz w:val="22"/>
                      <w:szCs w:val="22"/>
                      <w:lang w:val="en-GB"/>
                    </w:rPr>
                  </w:pPr>
                </w:p>
              </w:tc>
              <w:tc>
                <w:tcPr>
                  <w:tcW w:w="8169" w:type="dxa"/>
                </w:tcPr>
                <w:p w:rsidR="008059BE" w:rsidRPr="00311ECA" w:rsidRDefault="008059BE" w:rsidP="00681E45">
                  <w:pPr>
                    <w:spacing w:after="0"/>
                    <w:rPr>
                      <w:sz w:val="22"/>
                      <w:szCs w:val="22"/>
                      <w:lang w:val="en-GB"/>
                    </w:rPr>
                  </w:pPr>
                  <w:r w:rsidRPr="00311ECA">
                    <w:rPr>
                      <w:sz w:val="22"/>
                      <w:szCs w:val="22"/>
                      <w:lang w:val="en-GB"/>
                    </w:rPr>
                    <w:t>Technical/scientific capacity</w:t>
                  </w:r>
                </w:p>
              </w:tc>
            </w:tr>
            <w:tr w:rsidR="008059BE" w:rsidRPr="00311ECA">
              <w:tc>
                <w:tcPr>
                  <w:tcW w:w="423" w:type="dxa"/>
                  <w:shd w:val="clear" w:color="auto" w:fill="FFFFFF"/>
                </w:tcPr>
                <w:p w:rsidR="008059BE" w:rsidRPr="00311ECA" w:rsidRDefault="008059BE" w:rsidP="00681E45">
                  <w:pPr>
                    <w:spacing w:after="0"/>
                    <w:rPr>
                      <w:sz w:val="22"/>
                      <w:szCs w:val="22"/>
                      <w:lang w:val="en-GB"/>
                    </w:rPr>
                  </w:pPr>
                </w:p>
              </w:tc>
              <w:tc>
                <w:tcPr>
                  <w:tcW w:w="8169" w:type="dxa"/>
                </w:tcPr>
                <w:p w:rsidR="008059BE" w:rsidRPr="00311ECA" w:rsidRDefault="008059BE" w:rsidP="00681E45">
                  <w:pPr>
                    <w:spacing w:after="0"/>
                    <w:rPr>
                      <w:sz w:val="22"/>
                      <w:szCs w:val="22"/>
                      <w:lang w:val="en-GB"/>
                    </w:rPr>
                  </w:pPr>
                  <w:r w:rsidRPr="00311ECA">
                    <w:rPr>
                      <w:sz w:val="22"/>
                      <w:szCs w:val="22"/>
                      <w:lang w:val="en-GB"/>
                    </w:rPr>
                    <w:t>Reaching out to companies</w:t>
                  </w:r>
                </w:p>
              </w:tc>
            </w:tr>
            <w:tr w:rsidR="008059BE" w:rsidRPr="00311ECA">
              <w:tc>
                <w:tcPr>
                  <w:tcW w:w="423" w:type="dxa"/>
                  <w:shd w:val="clear" w:color="auto" w:fill="FFFFFF"/>
                </w:tcPr>
                <w:p w:rsidR="008059BE" w:rsidRPr="00311ECA" w:rsidRDefault="008059BE" w:rsidP="00681E45">
                  <w:pPr>
                    <w:spacing w:after="0"/>
                    <w:rPr>
                      <w:sz w:val="22"/>
                      <w:szCs w:val="22"/>
                      <w:lang w:val="en-GB"/>
                    </w:rPr>
                  </w:pPr>
                </w:p>
              </w:tc>
              <w:tc>
                <w:tcPr>
                  <w:tcW w:w="8169" w:type="dxa"/>
                </w:tcPr>
                <w:p w:rsidR="008059BE" w:rsidRPr="00311ECA" w:rsidRDefault="008059BE" w:rsidP="00681E45">
                  <w:pPr>
                    <w:spacing w:after="0"/>
                    <w:rPr>
                      <w:sz w:val="22"/>
                      <w:szCs w:val="22"/>
                      <w:lang w:val="en-GB"/>
                    </w:rPr>
                  </w:pPr>
                  <w:r w:rsidRPr="00311ECA">
                    <w:rPr>
                      <w:sz w:val="22"/>
                      <w:szCs w:val="22"/>
                      <w:lang w:val="en-GB"/>
                    </w:rPr>
                    <w:t>Support of the public at large</w:t>
                  </w:r>
                </w:p>
              </w:tc>
            </w:tr>
          </w:tbl>
          <w:p w:rsidR="008059BE" w:rsidRDefault="008059BE" w:rsidP="00681E45">
            <w:pPr>
              <w:spacing w:after="0"/>
              <w:rPr>
                <w:sz w:val="22"/>
                <w:szCs w:val="22"/>
                <w:lang w:val="en-GB"/>
              </w:rPr>
            </w:pPr>
          </w:p>
          <w:p w:rsidR="008059BE" w:rsidRPr="00DB52FD" w:rsidRDefault="008059BE" w:rsidP="00681E45">
            <w:pPr>
              <w:spacing w:after="0"/>
              <w:rPr>
                <w:sz w:val="22"/>
                <w:szCs w:val="22"/>
                <w:lang w:val="en-GB"/>
              </w:rPr>
            </w:pPr>
            <w:r w:rsidRPr="00DB52FD">
              <w:rPr>
                <w:sz w:val="22"/>
                <w:szCs w:val="22"/>
                <w:lang w:val="en-GB"/>
              </w:rPr>
              <w:t>Other (please specify)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87"/>
            </w:tblGrid>
            <w:tr w:rsidR="008059BE" w:rsidRPr="00311ECA">
              <w:tc>
                <w:tcPr>
                  <w:tcW w:w="8587" w:type="dxa"/>
                  <w:shd w:val="clear" w:color="auto" w:fill="FFFFFF"/>
                </w:tcPr>
                <w:p w:rsidR="008059BE" w:rsidRPr="00311ECA" w:rsidRDefault="008059BE" w:rsidP="00681E45">
                  <w:pPr>
                    <w:spacing w:after="0"/>
                    <w:rPr>
                      <w:sz w:val="22"/>
                      <w:szCs w:val="22"/>
                      <w:lang w:val="en-GB"/>
                    </w:rPr>
                  </w:pPr>
                </w:p>
                <w:p w:rsidR="008059BE" w:rsidRPr="00311ECA" w:rsidRDefault="008059BE" w:rsidP="00681E45">
                  <w:pPr>
                    <w:spacing w:after="0"/>
                    <w:rPr>
                      <w:sz w:val="22"/>
                      <w:szCs w:val="22"/>
                      <w:lang w:val="en-GB"/>
                    </w:rPr>
                  </w:pPr>
                </w:p>
              </w:tc>
            </w:tr>
          </w:tbl>
          <w:p w:rsidR="008059BE" w:rsidRPr="00DB52FD" w:rsidRDefault="008059BE" w:rsidP="00681E45">
            <w:pPr>
              <w:spacing w:after="0"/>
              <w:rPr>
                <w:sz w:val="22"/>
                <w:szCs w:val="22"/>
                <w:lang w:val="en-GB"/>
              </w:rPr>
            </w:pPr>
            <w:r>
              <w:rPr>
                <w:sz w:val="22"/>
                <w:szCs w:val="22"/>
                <w:lang w:val="en-GB"/>
              </w:rPr>
              <w:t xml:space="preserve"> </w:t>
            </w:r>
          </w:p>
        </w:tc>
      </w:tr>
      <w:tr w:rsidR="008059BE" w:rsidRPr="00BD3886">
        <w:trPr>
          <w:cantSplit/>
        </w:trPr>
        <w:tc>
          <w:tcPr>
            <w:tcW w:w="423" w:type="dxa"/>
            <w:shd w:val="clear" w:color="auto" w:fill="F3F3F3"/>
          </w:tcPr>
          <w:p w:rsidR="008059BE" w:rsidRPr="009F2196" w:rsidRDefault="008059BE" w:rsidP="00681E45">
            <w:pPr>
              <w:spacing w:after="0"/>
              <w:rPr>
                <w:b/>
                <w:sz w:val="22"/>
                <w:szCs w:val="22"/>
                <w:lang w:val="en-GB"/>
              </w:rPr>
            </w:pPr>
            <w:r w:rsidRPr="009F2196">
              <w:rPr>
                <w:b/>
                <w:sz w:val="22"/>
                <w:szCs w:val="22"/>
                <w:lang w:val="en-GB"/>
              </w:rPr>
              <w:lastRenderedPageBreak/>
              <w:t>1</w:t>
            </w:r>
            <w:r>
              <w:rPr>
                <w:b/>
                <w:sz w:val="22"/>
                <w:szCs w:val="22"/>
                <w:lang w:val="en-GB"/>
              </w:rPr>
              <w:t>2</w:t>
            </w:r>
          </w:p>
        </w:tc>
        <w:tc>
          <w:tcPr>
            <w:tcW w:w="8818" w:type="dxa"/>
            <w:shd w:val="clear" w:color="auto" w:fill="F3F3F3"/>
          </w:tcPr>
          <w:p w:rsidR="008059BE" w:rsidRPr="00311ECA" w:rsidRDefault="008059BE" w:rsidP="00681E45">
            <w:pPr>
              <w:spacing w:after="0"/>
              <w:rPr>
                <w:b/>
                <w:sz w:val="22"/>
                <w:szCs w:val="22"/>
                <w:lang w:val="en-GB"/>
              </w:rPr>
            </w:pPr>
            <w:r w:rsidRPr="00452C97">
              <w:rPr>
                <w:b/>
                <w:sz w:val="22"/>
                <w:szCs w:val="22"/>
                <w:lang w:val="en-GB"/>
              </w:rPr>
              <w:t>Do you expect to take part in future meetings of the Codex committees that you have</w:t>
            </w:r>
            <w:r>
              <w:rPr>
                <w:b/>
                <w:sz w:val="22"/>
                <w:szCs w:val="22"/>
                <w:lang w:val="en-GB"/>
              </w:rPr>
              <w:t xml:space="preserve"> attended</w:t>
            </w:r>
            <w:r w:rsidRPr="00311ECA">
              <w:rPr>
                <w:b/>
                <w:sz w:val="22"/>
                <w:szCs w:val="22"/>
                <w:lang w:val="en-GB"/>
              </w:rPr>
              <w:t>?</w:t>
            </w:r>
            <w:r>
              <w:rPr>
                <w:b/>
                <w:sz w:val="22"/>
                <w:szCs w:val="22"/>
                <w:lang w:val="en-GB"/>
              </w:rPr>
              <w:t xml:space="preserve"> </w:t>
            </w:r>
            <w:r w:rsidRPr="00DB5D59">
              <w:rPr>
                <w:sz w:val="22"/>
                <w:szCs w:val="22"/>
                <w:lang w:val="en-GB"/>
              </w:rPr>
              <w:t>(Tick one)</w:t>
            </w:r>
          </w:p>
          <w:p w:rsidR="008059BE" w:rsidRPr="00DB52FD" w:rsidRDefault="008059BE" w:rsidP="00681E45">
            <w:pPr>
              <w:spacing w:after="0"/>
              <w:rPr>
                <w:sz w:val="22"/>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3"/>
              <w:gridCol w:w="8169"/>
            </w:tblGrid>
            <w:tr w:rsidR="008059BE" w:rsidRPr="00311ECA">
              <w:tc>
                <w:tcPr>
                  <w:tcW w:w="423" w:type="dxa"/>
                  <w:shd w:val="clear" w:color="auto" w:fill="FFFFFF"/>
                </w:tcPr>
                <w:p w:rsidR="008059BE" w:rsidRPr="00311ECA" w:rsidRDefault="008059BE" w:rsidP="00681E45">
                  <w:pPr>
                    <w:spacing w:after="0"/>
                    <w:rPr>
                      <w:sz w:val="22"/>
                      <w:szCs w:val="22"/>
                      <w:lang w:val="en-GB"/>
                    </w:rPr>
                  </w:pPr>
                </w:p>
              </w:tc>
              <w:tc>
                <w:tcPr>
                  <w:tcW w:w="8169" w:type="dxa"/>
                </w:tcPr>
                <w:p w:rsidR="008059BE" w:rsidRPr="00311ECA" w:rsidRDefault="008059BE" w:rsidP="00681E45">
                  <w:pPr>
                    <w:spacing w:after="0"/>
                    <w:rPr>
                      <w:sz w:val="22"/>
                      <w:szCs w:val="22"/>
                      <w:lang w:val="en-GB"/>
                    </w:rPr>
                  </w:pPr>
                  <w:r>
                    <w:rPr>
                      <w:sz w:val="22"/>
                      <w:szCs w:val="22"/>
                      <w:lang w:val="en-GB"/>
                    </w:rPr>
                    <w:t>Yes</w:t>
                  </w:r>
                </w:p>
              </w:tc>
            </w:tr>
            <w:tr w:rsidR="008059BE" w:rsidRPr="00311ECA">
              <w:tc>
                <w:tcPr>
                  <w:tcW w:w="423" w:type="dxa"/>
                  <w:shd w:val="clear" w:color="auto" w:fill="FFFFFF"/>
                </w:tcPr>
                <w:p w:rsidR="008059BE" w:rsidRPr="00311ECA" w:rsidRDefault="008059BE" w:rsidP="00681E45">
                  <w:pPr>
                    <w:spacing w:after="0"/>
                    <w:rPr>
                      <w:sz w:val="22"/>
                      <w:szCs w:val="22"/>
                      <w:lang w:val="en-GB"/>
                    </w:rPr>
                  </w:pPr>
                </w:p>
              </w:tc>
              <w:tc>
                <w:tcPr>
                  <w:tcW w:w="8169" w:type="dxa"/>
                </w:tcPr>
                <w:p w:rsidR="008059BE" w:rsidRPr="00311ECA" w:rsidRDefault="008059BE" w:rsidP="00681E45">
                  <w:pPr>
                    <w:spacing w:after="0"/>
                    <w:rPr>
                      <w:sz w:val="22"/>
                      <w:szCs w:val="22"/>
                      <w:lang w:val="en-GB"/>
                    </w:rPr>
                  </w:pPr>
                  <w:r>
                    <w:rPr>
                      <w:sz w:val="22"/>
                      <w:szCs w:val="22"/>
                      <w:lang w:val="en-GB"/>
                    </w:rPr>
                    <w:t>Maybe</w:t>
                  </w:r>
                </w:p>
              </w:tc>
            </w:tr>
            <w:tr w:rsidR="008059BE" w:rsidRPr="00311ECA">
              <w:tc>
                <w:tcPr>
                  <w:tcW w:w="423" w:type="dxa"/>
                  <w:shd w:val="clear" w:color="auto" w:fill="FFFFFF"/>
                </w:tcPr>
                <w:p w:rsidR="008059BE" w:rsidRPr="00311ECA" w:rsidRDefault="008059BE" w:rsidP="00681E45">
                  <w:pPr>
                    <w:spacing w:after="0"/>
                    <w:rPr>
                      <w:sz w:val="22"/>
                      <w:szCs w:val="22"/>
                      <w:lang w:val="en-GB"/>
                    </w:rPr>
                  </w:pPr>
                </w:p>
              </w:tc>
              <w:tc>
                <w:tcPr>
                  <w:tcW w:w="8169" w:type="dxa"/>
                </w:tcPr>
                <w:p w:rsidR="008059BE" w:rsidRPr="00311ECA" w:rsidRDefault="008059BE" w:rsidP="00681E45">
                  <w:pPr>
                    <w:spacing w:after="0"/>
                    <w:rPr>
                      <w:sz w:val="22"/>
                      <w:szCs w:val="22"/>
                      <w:lang w:val="en-GB"/>
                    </w:rPr>
                  </w:pPr>
                  <w:r>
                    <w:rPr>
                      <w:sz w:val="22"/>
                      <w:szCs w:val="22"/>
                      <w:lang w:val="en-GB"/>
                    </w:rPr>
                    <w:t>No</w:t>
                  </w:r>
                </w:p>
              </w:tc>
            </w:tr>
          </w:tbl>
          <w:p w:rsidR="008059BE" w:rsidRPr="00DB52FD" w:rsidRDefault="008059BE" w:rsidP="00681E45">
            <w:pPr>
              <w:spacing w:after="0"/>
              <w:rPr>
                <w:sz w:val="22"/>
                <w:szCs w:val="22"/>
                <w:lang w:val="en-GB"/>
              </w:rPr>
            </w:pPr>
          </w:p>
          <w:p w:rsidR="008059BE" w:rsidRDefault="008059BE" w:rsidP="00681E45">
            <w:pPr>
              <w:spacing w:after="0"/>
              <w:rPr>
                <w:sz w:val="22"/>
                <w:szCs w:val="22"/>
                <w:lang w:val="en-GB"/>
              </w:rPr>
            </w:pPr>
            <w:r>
              <w:rPr>
                <w:sz w:val="22"/>
                <w:szCs w:val="22"/>
                <w:lang w:val="en-GB"/>
              </w:rPr>
              <w:t>If no, why not?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87"/>
            </w:tblGrid>
            <w:tr w:rsidR="008059BE" w:rsidRPr="00311ECA">
              <w:tc>
                <w:tcPr>
                  <w:tcW w:w="8587" w:type="dxa"/>
                  <w:shd w:val="clear" w:color="auto" w:fill="FFFFFF"/>
                </w:tcPr>
                <w:p w:rsidR="008059BE" w:rsidRPr="00311ECA" w:rsidRDefault="008059BE" w:rsidP="00681E45">
                  <w:pPr>
                    <w:spacing w:after="0"/>
                    <w:rPr>
                      <w:sz w:val="22"/>
                      <w:szCs w:val="22"/>
                      <w:lang w:val="en-GB"/>
                    </w:rPr>
                  </w:pPr>
                </w:p>
                <w:p w:rsidR="008059BE" w:rsidRPr="00311ECA" w:rsidRDefault="008059BE" w:rsidP="00681E45">
                  <w:pPr>
                    <w:spacing w:after="0"/>
                    <w:rPr>
                      <w:sz w:val="22"/>
                      <w:szCs w:val="22"/>
                      <w:lang w:val="en-GB"/>
                    </w:rPr>
                  </w:pPr>
                </w:p>
              </w:tc>
            </w:tr>
          </w:tbl>
          <w:p w:rsidR="008059BE" w:rsidRPr="00DB52FD" w:rsidRDefault="008059BE" w:rsidP="00681E45">
            <w:pPr>
              <w:spacing w:after="0"/>
              <w:rPr>
                <w:sz w:val="22"/>
                <w:szCs w:val="22"/>
                <w:lang w:val="en-GB"/>
              </w:rPr>
            </w:pPr>
            <w:r>
              <w:rPr>
                <w:sz w:val="22"/>
                <w:szCs w:val="22"/>
                <w:lang w:val="en-GB"/>
              </w:rPr>
              <w:t xml:space="preserve"> </w:t>
            </w:r>
          </w:p>
        </w:tc>
      </w:tr>
      <w:tr w:rsidR="008059BE" w:rsidRPr="00BD3886">
        <w:trPr>
          <w:cantSplit/>
        </w:trPr>
        <w:tc>
          <w:tcPr>
            <w:tcW w:w="423" w:type="dxa"/>
            <w:shd w:val="clear" w:color="auto" w:fill="F3F3F3"/>
          </w:tcPr>
          <w:p w:rsidR="008059BE" w:rsidRPr="009F2196" w:rsidRDefault="008059BE" w:rsidP="00681E45">
            <w:pPr>
              <w:spacing w:after="0"/>
              <w:rPr>
                <w:b/>
                <w:sz w:val="22"/>
                <w:szCs w:val="22"/>
                <w:lang w:val="en-GB"/>
              </w:rPr>
            </w:pPr>
            <w:r w:rsidRPr="009F2196">
              <w:rPr>
                <w:b/>
                <w:sz w:val="22"/>
                <w:szCs w:val="22"/>
                <w:lang w:val="en-GB"/>
              </w:rPr>
              <w:t>1</w:t>
            </w:r>
            <w:r>
              <w:rPr>
                <w:b/>
                <w:sz w:val="22"/>
                <w:szCs w:val="22"/>
                <w:lang w:val="en-GB"/>
              </w:rPr>
              <w:t>3</w:t>
            </w:r>
          </w:p>
        </w:tc>
        <w:tc>
          <w:tcPr>
            <w:tcW w:w="8818" w:type="dxa"/>
            <w:shd w:val="clear" w:color="auto" w:fill="F3F3F3"/>
          </w:tcPr>
          <w:p w:rsidR="008059BE" w:rsidRDefault="008059BE" w:rsidP="00681E45">
            <w:pPr>
              <w:spacing w:after="0"/>
              <w:rPr>
                <w:b/>
                <w:sz w:val="22"/>
                <w:szCs w:val="22"/>
                <w:lang w:val="en-GB"/>
              </w:rPr>
            </w:pPr>
            <w:r w:rsidRPr="00452C97">
              <w:rPr>
                <w:b/>
                <w:sz w:val="22"/>
                <w:szCs w:val="22"/>
                <w:lang w:val="en-GB"/>
              </w:rPr>
              <w:t>What could be done to make your participation in Codex co</w:t>
            </w:r>
            <w:r>
              <w:rPr>
                <w:b/>
                <w:sz w:val="22"/>
                <w:szCs w:val="22"/>
                <w:lang w:val="en-GB"/>
              </w:rPr>
              <w:t>mmittee meetings more effective</w:t>
            </w:r>
            <w:r w:rsidRPr="00311ECA">
              <w:rPr>
                <w:b/>
                <w:sz w:val="22"/>
                <w:szCs w:val="22"/>
                <w:lang w:val="en-GB"/>
              </w:rPr>
              <w:t>?</w:t>
            </w:r>
          </w:p>
          <w:p w:rsidR="008059BE" w:rsidRDefault="008059BE" w:rsidP="00681E45">
            <w:pPr>
              <w:spacing w:after="0"/>
              <w:rPr>
                <w:b/>
                <w:sz w:val="22"/>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87"/>
            </w:tblGrid>
            <w:tr w:rsidR="008059BE" w:rsidRPr="001401F3">
              <w:tc>
                <w:tcPr>
                  <w:tcW w:w="8587" w:type="dxa"/>
                  <w:shd w:val="clear" w:color="auto" w:fill="FFFFFF"/>
                </w:tcPr>
                <w:p w:rsidR="008059BE" w:rsidRPr="001401F3" w:rsidRDefault="008059BE" w:rsidP="00681E45">
                  <w:pPr>
                    <w:spacing w:after="0"/>
                    <w:rPr>
                      <w:b/>
                      <w:sz w:val="22"/>
                      <w:szCs w:val="22"/>
                      <w:lang w:val="en-GB"/>
                    </w:rPr>
                  </w:pPr>
                </w:p>
                <w:p w:rsidR="008059BE" w:rsidRPr="001401F3" w:rsidRDefault="008059BE" w:rsidP="00681E45">
                  <w:pPr>
                    <w:spacing w:after="0"/>
                    <w:rPr>
                      <w:b/>
                      <w:sz w:val="22"/>
                      <w:szCs w:val="22"/>
                      <w:lang w:val="en-GB"/>
                    </w:rPr>
                  </w:pPr>
                </w:p>
              </w:tc>
            </w:tr>
          </w:tbl>
          <w:p w:rsidR="008059BE" w:rsidRPr="00DB52FD" w:rsidRDefault="008059BE" w:rsidP="00681E45">
            <w:pPr>
              <w:spacing w:after="0"/>
              <w:rPr>
                <w:sz w:val="22"/>
                <w:szCs w:val="22"/>
                <w:lang w:val="en-GB"/>
              </w:rPr>
            </w:pPr>
            <w:r>
              <w:rPr>
                <w:sz w:val="22"/>
                <w:szCs w:val="22"/>
                <w:lang w:val="en-GB"/>
              </w:rPr>
              <w:t xml:space="preserve"> </w:t>
            </w:r>
          </w:p>
        </w:tc>
      </w:tr>
      <w:tr w:rsidR="008059BE" w:rsidRPr="00BD3886">
        <w:trPr>
          <w:cantSplit/>
        </w:trPr>
        <w:tc>
          <w:tcPr>
            <w:tcW w:w="423" w:type="dxa"/>
            <w:shd w:val="clear" w:color="auto" w:fill="F3F3F3"/>
          </w:tcPr>
          <w:p w:rsidR="008059BE" w:rsidRPr="009F2196" w:rsidRDefault="008059BE" w:rsidP="00681E45">
            <w:pPr>
              <w:spacing w:after="0"/>
              <w:rPr>
                <w:b/>
                <w:sz w:val="22"/>
                <w:szCs w:val="22"/>
                <w:lang w:val="en-GB"/>
              </w:rPr>
            </w:pPr>
            <w:r>
              <w:rPr>
                <w:b/>
                <w:sz w:val="22"/>
                <w:szCs w:val="22"/>
                <w:lang w:val="en-GB"/>
              </w:rPr>
              <w:t>14</w:t>
            </w:r>
          </w:p>
        </w:tc>
        <w:tc>
          <w:tcPr>
            <w:tcW w:w="8818" w:type="dxa"/>
            <w:shd w:val="clear" w:color="auto" w:fill="F3F3F3"/>
          </w:tcPr>
          <w:p w:rsidR="008059BE" w:rsidRPr="00311ECA" w:rsidRDefault="008059BE" w:rsidP="00681E45">
            <w:pPr>
              <w:spacing w:after="0"/>
              <w:rPr>
                <w:b/>
                <w:sz w:val="22"/>
                <w:szCs w:val="22"/>
                <w:lang w:val="en-GB"/>
              </w:rPr>
            </w:pPr>
            <w:r>
              <w:rPr>
                <w:b/>
                <w:sz w:val="22"/>
                <w:szCs w:val="22"/>
                <w:lang w:val="en-GB"/>
              </w:rPr>
              <w:t>Do</w:t>
            </w:r>
            <w:r w:rsidRPr="00311ECA">
              <w:rPr>
                <w:b/>
                <w:sz w:val="22"/>
                <w:szCs w:val="22"/>
                <w:lang w:val="en-GB"/>
              </w:rPr>
              <w:t xml:space="preserve"> you have other comments or suggestions?</w:t>
            </w:r>
          </w:p>
          <w:p w:rsidR="008059BE" w:rsidRPr="00DB52FD" w:rsidRDefault="008059BE" w:rsidP="00681E45">
            <w:pPr>
              <w:spacing w:after="0"/>
              <w:rPr>
                <w:sz w:val="22"/>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87"/>
            </w:tblGrid>
            <w:tr w:rsidR="008059BE" w:rsidRPr="00311ECA">
              <w:tc>
                <w:tcPr>
                  <w:tcW w:w="8587" w:type="dxa"/>
                  <w:shd w:val="clear" w:color="auto" w:fill="FFFFFF"/>
                </w:tcPr>
                <w:p w:rsidR="008059BE" w:rsidRPr="00311ECA" w:rsidRDefault="008059BE" w:rsidP="00681E45">
                  <w:pPr>
                    <w:spacing w:after="0"/>
                    <w:rPr>
                      <w:sz w:val="22"/>
                      <w:szCs w:val="22"/>
                      <w:lang w:val="en-GB"/>
                    </w:rPr>
                  </w:pPr>
                </w:p>
                <w:p w:rsidR="008059BE" w:rsidRPr="00311ECA" w:rsidRDefault="008059BE" w:rsidP="00681E45">
                  <w:pPr>
                    <w:spacing w:after="0"/>
                    <w:rPr>
                      <w:sz w:val="22"/>
                      <w:szCs w:val="22"/>
                      <w:lang w:val="en-GB"/>
                    </w:rPr>
                  </w:pPr>
                </w:p>
                <w:p w:rsidR="008059BE" w:rsidRPr="00311ECA" w:rsidRDefault="008059BE" w:rsidP="00681E45">
                  <w:pPr>
                    <w:spacing w:after="0"/>
                    <w:rPr>
                      <w:sz w:val="22"/>
                      <w:szCs w:val="22"/>
                      <w:lang w:val="en-GB"/>
                    </w:rPr>
                  </w:pPr>
                </w:p>
              </w:tc>
            </w:tr>
          </w:tbl>
          <w:p w:rsidR="008059BE" w:rsidRPr="00DB52FD" w:rsidRDefault="008059BE" w:rsidP="00681E45">
            <w:pPr>
              <w:spacing w:after="0"/>
              <w:rPr>
                <w:sz w:val="22"/>
                <w:szCs w:val="22"/>
                <w:lang w:val="en-GB"/>
              </w:rPr>
            </w:pPr>
            <w:r>
              <w:rPr>
                <w:sz w:val="22"/>
                <w:szCs w:val="22"/>
                <w:lang w:val="en-GB"/>
              </w:rPr>
              <w:t xml:space="preserve"> </w:t>
            </w:r>
          </w:p>
        </w:tc>
      </w:tr>
    </w:tbl>
    <w:p w:rsidR="008059BE" w:rsidRDefault="008059BE" w:rsidP="008059BE">
      <w:pPr>
        <w:rPr>
          <w:lang w:val="en-GB"/>
        </w:rPr>
      </w:pPr>
    </w:p>
    <w:p w:rsidR="008059BE" w:rsidRDefault="005D6547" w:rsidP="00FF23A7">
      <w:pPr>
        <w:spacing w:after="0"/>
        <w:rPr>
          <w:rFonts w:asciiTheme="majorHAnsi" w:hAnsiTheme="majorHAnsi" w:cstheme="majorHAnsi"/>
          <w:b/>
          <w:color w:val="4F81BD" w:themeColor="accent1"/>
          <w:sz w:val="28"/>
          <w:szCs w:val="28"/>
        </w:rPr>
      </w:pPr>
      <w:r w:rsidRPr="008059BE">
        <w:rPr>
          <w:rFonts w:asciiTheme="majorHAnsi" w:hAnsiTheme="majorHAnsi" w:cstheme="majorHAnsi"/>
          <w:b/>
          <w:color w:val="4F81BD" w:themeColor="accent1"/>
          <w:sz w:val="28"/>
          <w:szCs w:val="28"/>
        </w:rPr>
        <w:t>Survey - Codex contact points</w:t>
      </w:r>
    </w:p>
    <w:p w:rsidR="008059BE" w:rsidRPr="008059BE" w:rsidRDefault="008059BE" w:rsidP="00FF23A7">
      <w:pPr>
        <w:spacing w:after="0"/>
        <w:rPr>
          <w:rFonts w:asciiTheme="majorHAnsi" w:hAnsiTheme="majorHAnsi" w:cstheme="majorHAnsi"/>
          <w:b/>
          <w:color w:val="4F81BD" w:themeColor="accent1"/>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0BF" w:firstRow="1" w:lastRow="0" w:firstColumn="1" w:lastColumn="0" w:noHBand="0" w:noVBand="0"/>
      </w:tblPr>
      <w:tblGrid>
        <w:gridCol w:w="423"/>
        <w:gridCol w:w="8818"/>
      </w:tblGrid>
      <w:tr w:rsidR="008059BE" w:rsidRPr="00BD3886">
        <w:trPr>
          <w:cantSplit/>
        </w:trPr>
        <w:tc>
          <w:tcPr>
            <w:tcW w:w="423" w:type="dxa"/>
            <w:shd w:val="clear" w:color="auto" w:fill="F3F3F3"/>
          </w:tcPr>
          <w:p w:rsidR="008059BE" w:rsidRPr="009F2196" w:rsidRDefault="008059BE" w:rsidP="00681E45">
            <w:pPr>
              <w:spacing w:after="0"/>
              <w:rPr>
                <w:b/>
                <w:sz w:val="22"/>
                <w:szCs w:val="22"/>
                <w:lang w:val="en-GB"/>
              </w:rPr>
            </w:pPr>
            <w:r w:rsidRPr="009F2196">
              <w:rPr>
                <w:b/>
                <w:sz w:val="22"/>
                <w:szCs w:val="22"/>
                <w:lang w:val="en-GB"/>
              </w:rPr>
              <w:t>1</w:t>
            </w:r>
          </w:p>
        </w:tc>
        <w:tc>
          <w:tcPr>
            <w:tcW w:w="8818" w:type="dxa"/>
            <w:shd w:val="clear" w:color="auto" w:fill="F3F3F3"/>
          </w:tcPr>
          <w:p w:rsidR="008059BE" w:rsidRPr="00743527" w:rsidRDefault="008059BE" w:rsidP="00681E45">
            <w:pPr>
              <w:spacing w:after="0"/>
              <w:outlineLvl w:val="2"/>
              <w:rPr>
                <w:b/>
                <w:bCs/>
                <w:sz w:val="22"/>
                <w:szCs w:val="22"/>
                <w:lang w:val="en-US"/>
              </w:rPr>
            </w:pPr>
            <w:r w:rsidRPr="00743527">
              <w:rPr>
                <w:b/>
                <w:bCs/>
                <w:sz w:val="22"/>
                <w:szCs w:val="22"/>
                <w:lang w:val="en-US"/>
              </w:rPr>
              <w:t>Which country do you represent?</w:t>
            </w:r>
          </w:p>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8602"/>
            </w:tblGrid>
            <w:tr w:rsidR="008059BE" w:rsidRPr="00743527">
              <w:trPr>
                <w:tblCellSpacing w:w="0" w:type="dxa"/>
              </w:trPr>
              <w:tc>
                <w:tcPr>
                  <w:tcW w:w="1000" w:type="pct"/>
                  <w:vAlign w:val="center"/>
                </w:tcPr>
                <w:p w:rsidR="008059BE" w:rsidRPr="009F2196" w:rsidRDefault="008059BE" w:rsidP="00681E45">
                  <w:pPr>
                    <w:spacing w:after="0"/>
                    <w:rPr>
                      <w:bCs/>
                      <w:sz w:val="22"/>
                      <w:szCs w:val="22"/>
                    </w:rPr>
                  </w:pPr>
                  <w:r w:rsidRPr="009F2196">
                    <w:rPr>
                      <w:bCs/>
                      <w:sz w:val="22"/>
                      <w:szCs w:val="22"/>
                    </w:rPr>
                    <w:t xml:space="preserve">Country: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3866"/>
                  </w:tblGrid>
                  <w:tr w:rsidR="008059BE" w:rsidRPr="00311ECA">
                    <w:trPr>
                      <w:trHeight w:val="270"/>
                    </w:trPr>
                    <w:tc>
                      <w:tcPr>
                        <w:tcW w:w="3866" w:type="dxa"/>
                        <w:shd w:val="clear" w:color="auto" w:fill="FFFFFF"/>
                      </w:tcPr>
                      <w:p w:rsidR="008059BE" w:rsidRPr="00311ECA" w:rsidRDefault="008059BE" w:rsidP="00681E45">
                        <w:pPr>
                          <w:spacing w:after="0"/>
                          <w:rPr>
                            <w:b/>
                            <w:bCs/>
                            <w:sz w:val="22"/>
                            <w:szCs w:val="22"/>
                          </w:rPr>
                        </w:pPr>
                      </w:p>
                    </w:tc>
                  </w:tr>
                </w:tbl>
                <w:p w:rsidR="008059BE" w:rsidRPr="00743527" w:rsidRDefault="008059BE" w:rsidP="00681E45">
                  <w:pPr>
                    <w:spacing w:after="0"/>
                    <w:rPr>
                      <w:b/>
                      <w:bCs/>
                      <w:sz w:val="22"/>
                      <w:szCs w:val="22"/>
                    </w:rPr>
                  </w:pPr>
                </w:p>
              </w:tc>
            </w:tr>
          </w:tbl>
          <w:p w:rsidR="008059BE" w:rsidRPr="00DB52FD" w:rsidRDefault="008059BE" w:rsidP="00681E45">
            <w:pPr>
              <w:spacing w:after="0"/>
              <w:rPr>
                <w:sz w:val="22"/>
                <w:szCs w:val="22"/>
                <w:lang w:val="en-GB"/>
              </w:rPr>
            </w:pPr>
            <w:r>
              <w:rPr>
                <w:sz w:val="22"/>
                <w:szCs w:val="22"/>
                <w:lang w:val="en-GB"/>
              </w:rPr>
              <w:t xml:space="preserve"> </w:t>
            </w:r>
          </w:p>
        </w:tc>
      </w:tr>
      <w:tr w:rsidR="008059BE" w:rsidRPr="00BD3886">
        <w:trPr>
          <w:cantSplit/>
        </w:trPr>
        <w:tc>
          <w:tcPr>
            <w:tcW w:w="423" w:type="dxa"/>
            <w:shd w:val="clear" w:color="auto" w:fill="F3F3F3"/>
          </w:tcPr>
          <w:p w:rsidR="008059BE" w:rsidRPr="009F2196" w:rsidRDefault="008059BE" w:rsidP="00681E45">
            <w:pPr>
              <w:spacing w:after="0"/>
              <w:rPr>
                <w:b/>
                <w:sz w:val="22"/>
                <w:szCs w:val="22"/>
                <w:lang w:val="en-GB"/>
              </w:rPr>
            </w:pPr>
            <w:r w:rsidRPr="009F2196">
              <w:rPr>
                <w:b/>
                <w:sz w:val="22"/>
                <w:szCs w:val="22"/>
                <w:lang w:val="en-GB"/>
              </w:rPr>
              <w:lastRenderedPageBreak/>
              <w:t>2</w:t>
            </w:r>
          </w:p>
        </w:tc>
        <w:tc>
          <w:tcPr>
            <w:tcW w:w="8818" w:type="dxa"/>
            <w:shd w:val="clear" w:color="auto" w:fill="F3F3F3"/>
          </w:tcPr>
          <w:p w:rsidR="008059BE" w:rsidRDefault="008059BE" w:rsidP="00681E45">
            <w:pPr>
              <w:spacing w:after="0"/>
              <w:rPr>
                <w:b/>
                <w:sz w:val="22"/>
                <w:szCs w:val="22"/>
                <w:lang w:val="en-GB"/>
              </w:rPr>
            </w:pPr>
            <w:r w:rsidRPr="00DB52FD">
              <w:rPr>
                <w:b/>
                <w:sz w:val="22"/>
                <w:szCs w:val="22"/>
                <w:lang w:val="en-GB"/>
              </w:rPr>
              <w:t xml:space="preserve">Which are the most important Codex committees for your country? </w:t>
            </w:r>
            <w:r w:rsidRPr="00DB52FD">
              <w:rPr>
                <w:sz w:val="22"/>
                <w:szCs w:val="22"/>
                <w:lang w:val="en-GB"/>
              </w:rPr>
              <w:t>(Rank or tick one/several)</w:t>
            </w:r>
          </w:p>
          <w:p w:rsidR="008059BE" w:rsidRPr="00DB52FD" w:rsidRDefault="008059BE" w:rsidP="00681E45">
            <w:pPr>
              <w:spacing w:after="0"/>
              <w:rPr>
                <w:b/>
                <w:sz w:val="22"/>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3"/>
              <w:gridCol w:w="8080"/>
            </w:tblGrid>
            <w:tr w:rsidR="008059BE" w:rsidRPr="00311ECA">
              <w:tc>
                <w:tcPr>
                  <w:tcW w:w="423" w:type="dxa"/>
                  <w:shd w:val="clear" w:color="auto" w:fill="FFFFFF"/>
                </w:tcPr>
                <w:p w:rsidR="008059BE" w:rsidRPr="00311ECA" w:rsidRDefault="008059BE" w:rsidP="00681E45">
                  <w:pPr>
                    <w:spacing w:after="0"/>
                    <w:rPr>
                      <w:sz w:val="22"/>
                      <w:szCs w:val="22"/>
                      <w:lang w:val="en-US"/>
                    </w:rPr>
                  </w:pPr>
                </w:p>
              </w:tc>
              <w:tc>
                <w:tcPr>
                  <w:tcW w:w="8080" w:type="dxa"/>
                </w:tcPr>
                <w:p w:rsidR="008059BE" w:rsidRPr="00311ECA" w:rsidRDefault="008059BE" w:rsidP="00681E45">
                  <w:pPr>
                    <w:spacing w:after="0"/>
                    <w:rPr>
                      <w:sz w:val="22"/>
                      <w:szCs w:val="22"/>
                      <w:lang w:val="en-US"/>
                    </w:rPr>
                  </w:pPr>
                  <w:r w:rsidRPr="00311ECA">
                    <w:rPr>
                      <w:sz w:val="22"/>
                      <w:szCs w:val="22"/>
                      <w:lang w:val="en-US"/>
                    </w:rPr>
                    <w:t xml:space="preserve">1. Ad hoc Codex Intergovernmental Task Force on Antimicrobial Resistance </w:t>
                  </w:r>
                </w:p>
              </w:tc>
            </w:tr>
            <w:tr w:rsidR="008059BE" w:rsidRPr="00311ECA">
              <w:tc>
                <w:tcPr>
                  <w:tcW w:w="423" w:type="dxa"/>
                  <w:shd w:val="clear" w:color="auto" w:fill="FFFFFF"/>
                </w:tcPr>
                <w:p w:rsidR="008059BE" w:rsidRPr="00311ECA" w:rsidRDefault="008059BE" w:rsidP="00681E45">
                  <w:pPr>
                    <w:spacing w:after="0"/>
                    <w:rPr>
                      <w:sz w:val="22"/>
                      <w:szCs w:val="22"/>
                      <w:lang w:val="en-US"/>
                    </w:rPr>
                  </w:pPr>
                </w:p>
              </w:tc>
              <w:tc>
                <w:tcPr>
                  <w:tcW w:w="8080" w:type="dxa"/>
                </w:tcPr>
                <w:p w:rsidR="008059BE" w:rsidRPr="00311ECA" w:rsidRDefault="008059BE" w:rsidP="00681E45">
                  <w:pPr>
                    <w:spacing w:after="0"/>
                    <w:rPr>
                      <w:sz w:val="22"/>
                      <w:szCs w:val="22"/>
                      <w:lang w:val="en-US"/>
                    </w:rPr>
                  </w:pPr>
                  <w:r w:rsidRPr="00311ECA">
                    <w:rPr>
                      <w:sz w:val="22"/>
                      <w:szCs w:val="22"/>
                      <w:lang w:val="en-US"/>
                    </w:rPr>
                    <w:t xml:space="preserve">2. Codex Alimentarius Commission </w:t>
                  </w:r>
                </w:p>
              </w:tc>
            </w:tr>
            <w:tr w:rsidR="008059BE" w:rsidRPr="00311ECA">
              <w:tc>
                <w:tcPr>
                  <w:tcW w:w="423" w:type="dxa"/>
                  <w:shd w:val="clear" w:color="auto" w:fill="FFFFFF"/>
                </w:tcPr>
                <w:p w:rsidR="008059BE" w:rsidRPr="00311ECA" w:rsidRDefault="008059BE" w:rsidP="00681E45">
                  <w:pPr>
                    <w:spacing w:after="0"/>
                    <w:rPr>
                      <w:sz w:val="22"/>
                      <w:szCs w:val="22"/>
                      <w:lang w:val="en-US"/>
                    </w:rPr>
                  </w:pPr>
                </w:p>
              </w:tc>
              <w:tc>
                <w:tcPr>
                  <w:tcW w:w="8080" w:type="dxa"/>
                </w:tcPr>
                <w:p w:rsidR="008059BE" w:rsidRPr="00311ECA" w:rsidRDefault="008059BE" w:rsidP="00681E45">
                  <w:pPr>
                    <w:spacing w:after="0"/>
                    <w:rPr>
                      <w:sz w:val="22"/>
                      <w:szCs w:val="22"/>
                      <w:lang w:val="en-US"/>
                    </w:rPr>
                  </w:pPr>
                  <w:r w:rsidRPr="00311ECA">
                    <w:rPr>
                      <w:sz w:val="22"/>
                      <w:szCs w:val="22"/>
                      <w:lang w:val="en-US"/>
                    </w:rPr>
                    <w:t xml:space="preserve">3. Codex Committee on Contaminants in Foods </w:t>
                  </w:r>
                </w:p>
              </w:tc>
            </w:tr>
            <w:tr w:rsidR="008059BE" w:rsidRPr="00311ECA">
              <w:tc>
                <w:tcPr>
                  <w:tcW w:w="423" w:type="dxa"/>
                  <w:shd w:val="clear" w:color="auto" w:fill="FFFFFF"/>
                </w:tcPr>
                <w:p w:rsidR="008059BE" w:rsidRPr="00311ECA" w:rsidRDefault="008059BE" w:rsidP="00681E45">
                  <w:pPr>
                    <w:spacing w:after="0"/>
                    <w:rPr>
                      <w:sz w:val="22"/>
                      <w:szCs w:val="22"/>
                      <w:lang w:val="en-US"/>
                    </w:rPr>
                  </w:pPr>
                </w:p>
              </w:tc>
              <w:tc>
                <w:tcPr>
                  <w:tcW w:w="8080" w:type="dxa"/>
                </w:tcPr>
                <w:p w:rsidR="008059BE" w:rsidRPr="00311ECA" w:rsidRDefault="008059BE" w:rsidP="00681E45">
                  <w:pPr>
                    <w:spacing w:after="0"/>
                    <w:rPr>
                      <w:sz w:val="22"/>
                      <w:szCs w:val="22"/>
                      <w:lang w:val="en-US"/>
                    </w:rPr>
                  </w:pPr>
                  <w:r w:rsidRPr="00311ECA">
                    <w:rPr>
                      <w:sz w:val="22"/>
                      <w:szCs w:val="22"/>
                      <w:lang w:val="en-US"/>
                    </w:rPr>
                    <w:t xml:space="preserve">4. Codex Committee on Fats and Oils </w:t>
                  </w:r>
                </w:p>
              </w:tc>
            </w:tr>
            <w:tr w:rsidR="008059BE" w:rsidRPr="00311ECA">
              <w:tc>
                <w:tcPr>
                  <w:tcW w:w="423" w:type="dxa"/>
                  <w:shd w:val="clear" w:color="auto" w:fill="FFFFFF"/>
                </w:tcPr>
                <w:p w:rsidR="008059BE" w:rsidRPr="00311ECA" w:rsidRDefault="008059BE" w:rsidP="00681E45">
                  <w:pPr>
                    <w:spacing w:after="0"/>
                    <w:rPr>
                      <w:sz w:val="22"/>
                      <w:szCs w:val="22"/>
                      <w:lang w:val="en-US"/>
                    </w:rPr>
                  </w:pPr>
                </w:p>
              </w:tc>
              <w:tc>
                <w:tcPr>
                  <w:tcW w:w="8080" w:type="dxa"/>
                </w:tcPr>
                <w:p w:rsidR="008059BE" w:rsidRPr="00311ECA" w:rsidRDefault="008059BE" w:rsidP="00681E45">
                  <w:pPr>
                    <w:spacing w:after="0"/>
                    <w:rPr>
                      <w:sz w:val="22"/>
                      <w:szCs w:val="22"/>
                      <w:lang w:val="en-US"/>
                    </w:rPr>
                  </w:pPr>
                  <w:r w:rsidRPr="00311ECA">
                    <w:rPr>
                      <w:sz w:val="22"/>
                      <w:szCs w:val="22"/>
                      <w:lang w:val="en-US"/>
                    </w:rPr>
                    <w:t xml:space="preserve">5. Codex Committee on Fish and Fishery Products </w:t>
                  </w:r>
                </w:p>
              </w:tc>
            </w:tr>
            <w:tr w:rsidR="008059BE" w:rsidRPr="00311ECA">
              <w:tc>
                <w:tcPr>
                  <w:tcW w:w="423" w:type="dxa"/>
                  <w:shd w:val="clear" w:color="auto" w:fill="FFFFFF"/>
                </w:tcPr>
                <w:p w:rsidR="008059BE" w:rsidRPr="00311ECA" w:rsidRDefault="008059BE" w:rsidP="00681E45">
                  <w:pPr>
                    <w:spacing w:after="0"/>
                    <w:rPr>
                      <w:sz w:val="22"/>
                      <w:szCs w:val="22"/>
                      <w:lang w:val="en-US"/>
                    </w:rPr>
                  </w:pPr>
                </w:p>
              </w:tc>
              <w:tc>
                <w:tcPr>
                  <w:tcW w:w="8080" w:type="dxa"/>
                </w:tcPr>
                <w:p w:rsidR="008059BE" w:rsidRPr="00311ECA" w:rsidRDefault="008059BE" w:rsidP="00681E45">
                  <w:pPr>
                    <w:spacing w:after="0"/>
                    <w:rPr>
                      <w:sz w:val="22"/>
                      <w:szCs w:val="22"/>
                      <w:lang w:val="en-US"/>
                    </w:rPr>
                  </w:pPr>
                  <w:r w:rsidRPr="00311ECA">
                    <w:rPr>
                      <w:sz w:val="22"/>
                      <w:szCs w:val="22"/>
                      <w:lang w:val="en-US"/>
                    </w:rPr>
                    <w:t xml:space="preserve">6. Codex Committee on Food Additives </w:t>
                  </w:r>
                </w:p>
              </w:tc>
            </w:tr>
            <w:tr w:rsidR="008059BE" w:rsidRPr="00311ECA">
              <w:tc>
                <w:tcPr>
                  <w:tcW w:w="423" w:type="dxa"/>
                  <w:shd w:val="clear" w:color="auto" w:fill="FFFFFF"/>
                </w:tcPr>
                <w:p w:rsidR="008059BE" w:rsidRPr="00311ECA" w:rsidRDefault="008059BE" w:rsidP="00681E45">
                  <w:pPr>
                    <w:spacing w:after="0"/>
                    <w:rPr>
                      <w:sz w:val="22"/>
                      <w:szCs w:val="22"/>
                      <w:lang w:val="en-US"/>
                    </w:rPr>
                  </w:pPr>
                </w:p>
              </w:tc>
              <w:tc>
                <w:tcPr>
                  <w:tcW w:w="8080" w:type="dxa"/>
                </w:tcPr>
                <w:p w:rsidR="008059BE" w:rsidRPr="00311ECA" w:rsidRDefault="008059BE" w:rsidP="00681E45">
                  <w:pPr>
                    <w:spacing w:after="0"/>
                    <w:rPr>
                      <w:sz w:val="22"/>
                      <w:szCs w:val="22"/>
                      <w:lang w:val="en-US"/>
                    </w:rPr>
                  </w:pPr>
                  <w:r w:rsidRPr="00311ECA">
                    <w:rPr>
                      <w:sz w:val="22"/>
                      <w:szCs w:val="22"/>
                      <w:lang w:val="en-US"/>
                    </w:rPr>
                    <w:t xml:space="preserve">7. Codex Committee on Food Hygiene </w:t>
                  </w:r>
                </w:p>
              </w:tc>
            </w:tr>
            <w:tr w:rsidR="008059BE" w:rsidRPr="00311ECA">
              <w:tc>
                <w:tcPr>
                  <w:tcW w:w="423" w:type="dxa"/>
                  <w:shd w:val="clear" w:color="auto" w:fill="FFFFFF"/>
                </w:tcPr>
                <w:p w:rsidR="008059BE" w:rsidRPr="00311ECA" w:rsidRDefault="008059BE" w:rsidP="00681E45">
                  <w:pPr>
                    <w:spacing w:after="0"/>
                    <w:rPr>
                      <w:sz w:val="22"/>
                      <w:szCs w:val="22"/>
                      <w:lang w:val="en-US"/>
                    </w:rPr>
                  </w:pPr>
                </w:p>
              </w:tc>
              <w:tc>
                <w:tcPr>
                  <w:tcW w:w="8080" w:type="dxa"/>
                </w:tcPr>
                <w:p w:rsidR="008059BE" w:rsidRPr="00311ECA" w:rsidRDefault="008059BE" w:rsidP="00681E45">
                  <w:pPr>
                    <w:spacing w:after="0"/>
                    <w:rPr>
                      <w:sz w:val="22"/>
                      <w:szCs w:val="22"/>
                      <w:lang w:val="en-US"/>
                    </w:rPr>
                  </w:pPr>
                  <w:r w:rsidRPr="00311ECA">
                    <w:rPr>
                      <w:sz w:val="22"/>
                      <w:szCs w:val="22"/>
                      <w:lang w:val="en-US"/>
                    </w:rPr>
                    <w:t>8. Codex Committee on Food Import and Export Inspection and Certification Systems</w:t>
                  </w:r>
                </w:p>
              </w:tc>
            </w:tr>
            <w:tr w:rsidR="008059BE" w:rsidRPr="00311ECA">
              <w:tc>
                <w:tcPr>
                  <w:tcW w:w="423" w:type="dxa"/>
                  <w:shd w:val="clear" w:color="auto" w:fill="FFFFFF"/>
                </w:tcPr>
                <w:p w:rsidR="008059BE" w:rsidRPr="00311ECA" w:rsidRDefault="008059BE" w:rsidP="00681E45">
                  <w:pPr>
                    <w:spacing w:after="0"/>
                    <w:rPr>
                      <w:sz w:val="22"/>
                      <w:szCs w:val="22"/>
                      <w:lang w:val="en-US"/>
                    </w:rPr>
                  </w:pPr>
                </w:p>
              </w:tc>
              <w:tc>
                <w:tcPr>
                  <w:tcW w:w="8080" w:type="dxa"/>
                </w:tcPr>
                <w:p w:rsidR="008059BE" w:rsidRPr="00311ECA" w:rsidRDefault="008059BE" w:rsidP="00681E45">
                  <w:pPr>
                    <w:spacing w:after="0"/>
                    <w:rPr>
                      <w:sz w:val="22"/>
                      <w:szCs w:val="22"/>
                      <w:lang w:val="en-US"/>
                    </w:rPr>
                  </w:pPr>
                  <w:r w:rsidRPr="00311ECA">
                    <w:rPr>
                      <w:sz w:val="22"/>
                      <w:szCs w:val="22"/>
                      <w:lang w:val="en-US"/>
                    </w:rPr>
                    <w:t xml:space="preserve">9. Codex Committee on Food Labelling </w:t>
                  </w:r>
                </w:p>
              </w:tc>
            </w:tr>
            <w:tr w:rsidR="008059BE" w:rsidRPr="00311ECA">
              <w:tc>
                <w:tcPr>
                  <w:tcW w:w="423" w:type="dxa"/>
                  <w:shd w:val="clear" w:color="auto" w:fill="FFFFFF"/>
                </w:tcPr>
                <w:p w:rsidR="008059BE" w:rsidRPr="00311ECA" w:rsidRDefault="008059BE" w:rsidP="00681E45">
                  <w:pPr>
                    <w:spacing w:after="0"/>
                    <w:rPr>
                      <w:sz w:val="22"/>
                      <w:szCs w:val="22"/>
                      <w:lang w:val="en-US"/>
                    </w:rPr>
                  </w:pPr>
                </w:p>
              </w:tc>
              <w:tc>
                <w:tcPr>
                  <w:tcW w:w="8080" w:type="dxa"/>
                </w:tcPr>
                <w:p w:rsidR="008059BE" w:rsidRPr="00311ECA" w:rsidRDefault="008059BE" w:rsidP="00681E45">
                  <w:pPr>
                    <w:spacing w:after="0"/>
                    <w:rPr>
                      <w:sz w:val="22"/>
                      <w:szCs w:val="22"/>
                      <w:lang w:val="en-US"/>
                    </w:rPr>
                  </w:pPr>
                  <w:r w:rsidRPr="00311ECA">
                    <w:rPr>
                      <w:sz w:val="22"/>
                      <w:szCs w:val="22"/>
                      <w:lang w:val="en-US"/>
                    </w:rPr>
                    <w:t xml:space="preserve">10. Codex Committee on Fresh Fruits and Vegetables </w:t>
                  </w:r>
                </w:p>
              </w:tc>
            </w:tr>
            <w:tr w:rsidR="008059BE" w:rsidRPr="00311ECA">
              <w:tc>
                <w:tcPr>
                  <w:tcW w:w="423" w:type="dxa"/>
                  <w:shd w:val="clear" w:color="auto" w:fill="FFFFFF"/>
                </w:tcPr>
                <w:p w:rsidR="008059BE" w:rsidRPr="00311ECA" w:rsidRDefault="008059BE" w:rsidP="00681E45">
                  <w:pPr>
                    <w:spacing w:after="0"/>
                    <w:rPr>
                      <w:sz w:val="22"/>
                      <w:szCs w:val="22"/>
                      <w:lang w:val="en-US"/>
                    </w:rPr>
                  </w:pPr>
                </w:p>
              </w:tc>
              <w:tc>
                <w:tcPr>
                  <w:tcW w:w="8080" w:type="dxa"/>
                </w:tcPr>
                <w:p w:rsidR="008059BE" w:rsidRPr="00311ECA" w:rsidRDefault="008059BE" w:rsidP="00681E45">
                  <w:pPr>
                    <w:spacing w:after="0"/>
                    <w:rPr>
                      <w:sz w:val="22"/>
                      <w:szCs w:val="22"/>
                      <w:lang w:val="en-US"/>
                    </w:rPr>
                  </w:pPr>
                  <w:r w:rsidRPr="00311ECA">
                    <w:rPr>
                      <w:sz w:val="22"/>
                      <w:szCs w:val="22"/>
                      <w:lang w:val="en-US"/>
                    </w:rPr>
                    <w:t xml:space="preserve">11. Codex Committee on General Principles </w:t>
                  </w:r>
                </w:p>
              </w:tc>
            </w:tr>
            <w:tr w:rsidR="008059BE" w:rsidRPr="00311ECA">
              <w:tc>
                <w:tcPr>
                  <w:tcW w:w="423" w:type="dxa"/>
                  <w:shd w:val="clear" w:color="auto" w:fill="FFFFFF"/>
                </w:tcPr>
                <w:p w:rsidR="008059BE" w:rsidRPr="00311ECA" w:rsidRDefault="008059BE" w:rsidP="00681E45">
                  <w:pPr>
                    <w:spacing w:after="0"/>
                    <w:rPr>
                      <w:sz w:val="22"/>
                      <w:szCs w:val="22"/>
                      <w:lang w:val="en-US"/>
                    </w:rPr>
                  </w:pPr>
                </w:p>
              </w:tc>
              <w:tc>
                <w:tcPr>
                  <w:tcW w:w="8080" w:type="dxa"/>
                </w:tcPr>
                <w:p w:rsidR="008059BE" w:rsidRPr="00311ECA" w:rsidRDefault="008059BE" w:rsidP="00681E45">
                  <w:pPr>
                    <w:spacing w:after="0"/>
                    <w:rPr>
                      <w:sz w:val="22"/>
                      <w:szCs w:val="22"/>
                      <w:lang w:val="en-US"/>
                    </w:rPr>
                  </w:pPr>
                  <w:r w:rsidRPr="00311ECA">
                    <w:rPr>
                      <w:sz w:val="22"/>
                      <w:szCs w:val="22"/>
                      <w:lang w:val="en-US"/>
                    </w:rPr>
                    <w:t xml:space="preserve">12. Codex Committee on Methods of Analysis and Sampling </w:t>
                  </w:r>
                </w:p>
              </w:tc>
            </w:tr>
            <w:tr w:rsidR="008059BE" w:rsidRPr="00311ECA">
              <w:tc>
                <w:tcPr>
                  <w:tcW w:w="423" w:type="dxa"/>
                  <w:shd w:val="clear" w:color="auto" w:fill="FFFFFF"/>
                </w:tcPr>
                <w:p w:rsidR="008059BE" w:rsidRPr="00311ECA" w:rsidRDefault="008059BE" w:rsidP="00681E45">
                  <w:pPr>
                    <w:spacing w:after="0"/>
                    <w:rPr>
                      <w:sz w:val="22"/>
                      <w:szCs w:val="22"/>
                      <w:lang w:val="en-US"/>
                    </w:rPr>
                  </w:pPr>
                </w:p>
              </w:tc>
              <w:tc>
                <w:tcPr>
                  <w:tcW w:w="8080" w:type="dxa"/>
                </w:tcPr>
                <w:p w:rsidR="008059BE" w:rsidRPr="00311ECA" w:rsidRDefault="008059BE" w:rsidP="00681E45">
                  <w:pPr>
                    <w:spacing w:after="0"/>
                    <w:rPr>
                      <w:sz w:val="22"/>
                      <w:szCs w:val="22"/>
                      <w:lang w:val="en-US"/>
                    </w:rPr>
                  </w:pPr>
                  <w:r w:rsidRPr="00311ECA">
                    <w:rPr>
                      <w:sz w:val="22"/>
                      <w:szCs w:val="22"/>
                      <w:lang w:val="en-US"/>
                    </w:rPr>
                    <w:t xml:space="preserve">13. Codex Committee on Milk and Milk Products </w:t>
                  </w:r>
                </w:p>
              </w:tc>
            </w:tr>
            <w:tr w:rsidR="008059BE" w:rsidRPr="00311ECA">
              <w:tc>
                <w:tcPr>
                  <w:tcW w:w="423" w:type="dxa"/>
                  <w:shd w:val="clear" w:color="auto" w:fill="FFFFFF"/>
                </w:tcPr>
                <w:p w:rsidR="008059BE" w:rsidRPr="00311ECA" w:rsidRDefault="008059BE" w:rsidP="00681E45">
                  <w:pPr>
                    <w:spacing w:after="0"/>
                    <w:rPr>
                      <w:sz w:val="22"/>
                      <w:szCs w:val="22"/>
                      <w:lang w:val="en-US"/>
                    </w:rPr>
                  </w:pPr>
                </w:p>
              </w:tc>
              <w:tc>
                <w:tcPr>
                  <w:tcW w:w="8080" w:type="dxa"/>
                </w:tcPr>
                <w:p w:rsidR="008059BE" w:rsidRPr="00311ECA" w:rsidRDefault="008059BE" w:rsidP="00681E45">
                  <w:pPr>
                    <w:spacing w:after="0"/>
                    <w:rPr>
                      <w:sz w:val="22"/>
                      <w:szCs w:val="22"/>
                      <w:lang w:val="en-US"/>
                    </w:rPr>
                  </w:pPr>
                  <w:r w:rsidRPr="00311ECA">
                    <w:rPr>
                      <w:sz w:val="22"/>
                      <w:szCs w:val="22"/>
                      <w:lang w:val="en-US"/>
                    </w:rPr>
                    <w:t xml:space="preserve">14. Codex Committee on Nutrition and Foods for Special Dietary Uses </w:t>
                  </w:r>
                </w:p>
              </w:tc>
            </w:tr>
            <w:tr w:rsidR="008059BE" w:rsidRPr="00311ECA">
              <w:tc>
                <w:tcPr>
                  <w:tcW w:w="423" w:type="dxa"/>
                  <w:shd w:val="clear" w:color="auto" w:fill="FFFFFF"/>
                </w:tcPr>
                <w:p w:rsidR="008059BE" w:rsidRPr="00311ECA" w:rsidRDefault="008059BE" w:rsidP="00681E45">
                  <w:pPr>
                    <w:spacing w:after="0"/>
                    <w:rPr>
                      <w:sz w:val="22"/>
                      <w:szCs w:val="22"/>
                      <w:lang w:val="en-US"/>
                    </w:rPr>
                  </w:pPr>
                </w:p>
              </w:tc>
              <w:tc>
                <w:tcPr>
                  <w:tcW w:w="8080" w:type="dxa"/>
                </w:tcPr>
                <w:p w:rsidR="008059BE" w:rsidRPr="00311ECA" w:rsidRDefault="008059BE" w:rsidP="00681E45">
                  <w:pPr>
                    <w:spacing w:after="0"/>
                    <w:rPr>
                      <w:sz w:val="22"/>
                      <w:szCs w:val="22"/>
                      <w:lang w:val="en-US"/>
                    </w:rPr>
                  </w:pPr>
                  <w:r w:rsidRPr="00311ECA">
                    <w:rPr>
                      <w:sz w:val="22"/>
                      <w:szCs w:val="22"/>
                      <w:lang w:val="en-US"/>
                    </w:rPr>
                    <w:t xml:space="preserve">15. Codex Committee on Pesticide Residues </w:t>
                  </w:r>
                </w:p>
              </w:tc>
            </w:tr>
            <w:tr w:rsidR="008059BE" w:rsidRPr="00311ECA">
              <w:tc>
                <w:tcPr>
                  <w:tcW w:w="423" w:type="dxa"/>
                  <w:shd w:val="clear" w:color="auto" w:fill="FFFFFF"/>
                </w:tcPr>
                <w:p w:rsidR="008059BE" w:rsidRPr="00311ECA" w:rsidRDefault="008059BE" w:rsidP="00681E45">
                  <w:pPr>
                    <w:spacing w:after="0"/>
                    <w:rPr>
                      <w:sz w:val="22"/>
                      <w:szCs w:val="22"/>
                      <w:lang w:val="en-US"/>
                    </w:rPr>
                  </w:pPr>
                </w:p>
              </w:tc>
              <w:tc>
                <w:tcPr>
                  <w:tcW w:w="8080" w:type="dxa"/>
                </w:tcPr>
                <w:p w:rsidR="008059BE" w:rsidRPr="00311ECA" w:rsidRDefault="008059BE" w:rsidP="00681E45">
                  <w:pPr>
                    <w:spacing w:after="0"/>
                    <w:rPr>
                      <w:sz w:val="22"/>
                      <w:szCs w:val="22"/>
                      <w:lang w:val="en-US"/>
                    </w:rPr>
                  </w:pPr>
                  <w:r w:rsidRPr="00311ECA">
                    <w:rPr>
                      <w:sz w:val="22"/>
                      <w:szCs w:val="22"/>
                      <w:lang w:val="en-US"/>
                    </w:rPr>
                    <w:t xml:space="preserve">16. Codex Committee on Processed Fruits and Vegetables </w:t>
                  </w:r>
                </w:p>
              </w:tc>
            </w:tr>
            <w:tr w:rsidR="008059BE" w:rsidRPr="00311ECA">
              <w:tc>
                <w:tcPr>
                  <w:tcW w:w="423" w:type="dxa"/>
                  <w:shd w:val="clear" w:color="auto" w:fill="FFFFFF"/>
                </w:tcPr>
                <w:p w:rsidR="008059BE" w:rsidRPr="00311ECA" w:rsidRDefault="008059BE" w:rsidP="00681E45">
                  <w:pPr>
                    <w:spacing w:after="0"/>
                    <w:rPr>
                      <w:sz w:val="22"/>
                      <w:szCs w:val="22"/>
                      <w:lang w:val="en-US"/>
                    </w:rPr>
                  </w:pPr>
                </w:p>
              </w:tc>
              <w:tc>
                <w:tcPr>
                  <w:tcW w:w="8080" w:type="dxa"/>
                </w:tcPr>
                <w:p w:rsidR="008059BE" w:rsidRPr="00311ECA" w:rsidRDefault="008059BE" w:rsidP="00681E45">
                  <w:pPr>
                    <w:spacing w:after="0"/>
                    <w:rPr>
                      <w:sz w:val="22"/>
                      <w:szCs w:val="22"/>
                      <w:lang w:val="en-US"/>
                    </w:rPr>
                  </w:pPr>
                  <w:r w:rsidRPr="00311ECA">
                    <w:rPr>
                      <w:sz w:val="22"/>
                      <w:szCs w:val="22"/>
                      <w:lang w:val="en-US"/>
                    </w:rPr>
                    <w:t xml:space="preserve">17. Codex Committee on Residues of Veterinary Drugs in Foods </w:t>
                  </w:r>
                </w:p>
              </w:tc>
            </w:tr>
            <w:tr w:rsidR="008059BE" w:rsidRPr="00311ECA">
              <w:tc>
                <w:tcPr>
                  <w:tcW w:w="423" w:type="dxa"/>
                  <w:shd w:val="clear" w:color="auto" w:fill="FFFFFF"/>
                </w:tcPr>
                <w:p w:rsidR="008059BE" w:rsidRPr="00311ECA" w:rsidRDefault="008059BE" w:rsidP="00681E45">
                  <w:pPr>
                    <w:spacing w:after="0"/>
                    <w:rPr>
                      <w:sz w:val="22"/>
                      <w:szCs w:val="22"/>
                      <w:lang w:val="en-US"/>
                    </w:rPr>
                  </w:pPr>
                </w:p>
              </w:tc>
              <w:tc>
                <w:tcPr>
                  <w:tcW w:w="8080" w:type="dxa"/>
                </w:tcPr>
                <w:p w:rsidR="008059BE" w:rsidRPr="00311ECA" w:rsidRDefault="008059BE" w:rsidP="00681E45">
                  <w:pPr>
                    <w:spacing w:after="0"/>
                    <w:rPr>
                      <w:sz w:val="22"/>
                      <w:szCs w:val="22"/>
                      <w:lang w:val="en-US"/>
                    </w:rPr>
                  </w:pPr>
                  <w:r w:rsidRPr="00311ECA">
                    <w:rPr>
                      <w:sz w:val="22"/>
                      <w:szCs w:val="22"/>
                      <w:lang w:val="en-US"/>
                    </w:rPr>
                    <w:t xml:space="preserve">18. Executive Committee of the Codex Alimentarius Commission </w:t>
                  </w:r>
                </w:p>
              </w:tc>
            </w:tr>
            <w:tr w:rsidR="008059BE" w:rsidRPr="00311ECA">
              <w:tc>
                <w:tcPr>
                  <w:tcW w:w="423" w:type="dxa"/>
                  <w:shd w:val="clear" w:color="auto" w:fill="FFFFFF"/>
                </w:tcPr>
                <w:p w:rsidR="008059BE" w:rsidRPr="00311ECA" w:rsidRDefault="008059BE" w:rsidP="00681E45">
                  <w:pPr>
                    <w:spacing w:after="0"/>
                    <w:rPr>
                      <w:sz w:val="22"/>
                      <w:szCs w:val="22"/>
                      <w:lang w:val="en-US"/>
                    </w:rPr>
                  </w:pPr>
                </w:p>
              </w:tc>
              <w:tc>
                <w:tcPr>
                  <w:tcW w:w="8080" w:type="dxa"/>
                </w:tcPr>
                <w:p w:rsidR="008059BE" w:rsidRPr="00311ECA" w:rsidRDefault="008059BE" w:rsidP="00681E45">
                  <w:pPr>
                    <w:spacing w:after="0"/>
                    <w:rPr>
                      <w:sz w:val="22"/>
                      <w:szCs w:val="22"/>
                      <w:lang w:val="en-US"/>
                    </w:rPr>
                  </w:pPr>
                  <w:r w:rsidRPr="00311ECA">
                    <w:rPr>
                      <w:sz w:val="22"/>
                      <w:szCs w:val="22"/>
                      <w:lang w:val="en-US"/>
                    </w:rPr>
                    <w:t xml:space="preserve">19. FAO/WHO Coordinating Committee for Africa </w:t>
                  </w:r>
                </w:p>
              </w:tc>
            </w:tr>
            <w:tr w:rsidR="008059BE" w:rsidRPr="00311ECA">
              <w:tc>
                <w:tcPr>
                  <w:tcW w:w="423" w:type="dxa"/>
                  <w:shd w:val="clear" w:color="auto" w:fill="FFFFFF"/>
                </w:tcPr>
                <w:p w:rsidR="008059BE" w:rsidRPr="00311ECA" w:rsidRDefault="008059BE" w:rsidP="00681E45">
                  <w:pPr>
                    <w:spacing w:after="0"/>
                    <w:rPr>
                      <w:sz w:val="22"/>
                      <w:szCs w:val="22"/>
                      <w:lang w:val="en-US"/>
                    </w:rPr>
                  </w:pPr>
                </w:p>
              </w:tc>
              <w:tc>
                <w:tcPr>
                  <w:tcW w:w="8080" w:type="dxa"/>
                </w:tcPr>
                <w:p w:rsidR="008059BE" w:rsidRPr="00311ECA" w:rsidRDefault="008059BE" w:rsidP="00681E45">
                  <w:pPr>
                    <w:spacing w:after="0"/>
                    <w:rPr>
                      <w:sz w:val="22"/>
                      <w:szCs w:val="22"/>
                      <w:lang w:val="en-US"/>
                    </w:rPr>
                  </w:pPr>
                  <w:r w:rsidRPr="00311ECA">
                    <w:rPr>
                      <w:sz w:val="22"/>
                      <w:szCs w:val="22"/>
                      <w:lang w:val="en-US"/>
                    </w:rPr>
                    <w:t xml:space="preserve">20. FAO/WHO Coordinating Committee for Asia </w:t>
                  </w:r>
                </w:p>
              </w:tc>
            </w:tr>
            <w:tr w:rsidR="008059BE" w:rsidRPr="00311ECA">
              <w:tc>
                <w:tcPr>
                  <w:tcW w:w="423" w:type="dxa"/>
                  <w:shd w:val="clear" w:color="auto" w:fill="FFFFFF"/>
                </w:tcPr>
                <w:p w:rsidR="008059BE" w:rsidRPr="00311ECA" w:rsidRDefault="008059BE" w:rsidP="00681E45">
                  <w:pPr>
                    <w:spacing w:after="0"/>
                    <w:rPr>
                      <w:sz w:val="22"/>
                      <w:szCs w:val="22"/>
                      <w:lang w:val="en-US"/>
                    </w:rPr>
                  </w:pPr>
                </w:p>
              </w:tc>
              <w:tc>
                <w:tcPr>
                  <w:tcW w:w="8080" w:type="dxa"/>
                </w:tcPr>
                <w:p w:rsidR="008059BE" w:rsidRPr="00311ECA" w:rsidRDefault="008059BE" w:rsidP="00681E45">
                  <w:pPr>
                    <w:spacing w:after="0"/>
                    <w:rPr>
                      <w:sz w:val="22"/>
                      <w:szCs w:val="22"/>
                      <w:lang w:val="en-US"/>
                    </w:rPr>
                  </w:pPr>
                  <w:r w:rsidRPr="00311ECA">
                    <w:rPr>
                      <w:sz w:val="22"/>
                      <w:szCs w:val="22"/>
                      <w:lang w:val="en-US"/>
                    </w:rPr>
                    <w:t xml:space="preserve">21. FAO/WHO Coordinating Committee for Europe </w:t>
                  </w:r>
                </w:p>
              </w:tc>
            </w:tr>
            <w:tr w:rsidR="008059BE" w:rsidRPr="00311ECA">
              <w:tc>
                <w:tcPr>
                  <w:tcW w:w="423" w:type="dxa"/>
                  <w:shd w:val="clear" w:color="auto" w:fill="FFFFFF"/>
                </w:tcPr>
                <w:p w:rsidR="008059BE" w:rsidRPr="00311ECA" w:rsidRDefault="008059BE" w:rsidP="00681E45">
                  <w:pPr>
                    <w:spacing w:after="0"/>
                    <w:rPr>
                      <w:sz w:val="22"/>
                      <w:szCs w:val="22"/>
                      <w:lang w:val="en-US"/>
                    </w:rPr>
                  </w:pPr>
                </w:p>
              </w:tc>
              <w:tc>
                <w:tcPr>
                  <w:tcW w:w="8080" w:type="dxa"/>
                </w:tcPr>
                <w:p w:rsidR="008059BE" w:rsidRPr="00311ECA" w:rsidRDefault="008059BE" w:rsidP="00681E45">
                  <w:pPr>
                    <w:spacing w:after="0"/>
                    <w:rPr>
                      <w:sz w:val="22"/>
                      <w:szCs w:val="22"/>
                      <w:lang w:val="en-US"/>
                    </w:rPr>
                  </w:pPr>
                  <w:r w:rsidRPr="00311ECA">
                    <w:rPr>
                      <w:sz w:val="22"/>
                      <w:szCs w:val="22"/>
                      <w:lang w:val="en-US"/>
                    </w:rPr>
                    <w:t>22. FAO/WHO Coordinating Committee for Latin America and the Caribbean</w:t>
                  </w:r>
                </w:p>
              </w:tc>
            </w:tr>
            <w:tr w:rsidR="008059BE" w:rsidRPr="00311ECA">
              <w:tc>
                <w:tcPr>
                  <w:tcW w:w="423" w:type="dxa"/>
                  <w:shd w:val="clear" w:color="auto" w:fill="FFFFFF"/>
                </w:tcPr>
                <w:p w:rsidR="008059BE" w:rsidRPr="00311ECA" w:rsidRDefault="008059BE" w:rsidP="00681E45">
                  <w:pPr>
                    <w:spacing w:after="0"/>
                    <w:rPr>
                      <w:sz w:val="22"/>
                      <w:szCs w:val="22"/>
                      <w:lang w:val="en-US"/>
                    </w:rPr>
                  </w:pPr>
                </w:p>
              </w:tc>
              <w:tc>
                <w:tcPr>
                  <w:tcW w:w="8080" w:type="dxa"/>
                </w:tcPr>
                <w:p w:rsidR="008059BE" w:rsidRPr="00311ECA" w:rsidRDefault="008059BE" w:rsidP="00681E45">
                  <w:pPr>
                    <w:spacing w:after="0"/>
                    <w:rPr>
                      <w:sz w:val="22"/>
                      <w:szCs w:val="22"/>
                      <w:lang w:val="en-US"/>
                    </w:rPr>
                  </w:pPr>
                  <w:r w:rsidRPr="00311ECA">
                    <w:rPr>
                      <w:sz w:val="22"/>
                      <w:szCs w:val="22"/>
                      <w:lang w:val="en-US"/>
                    </w:rPr>
                    <w:t xml:space="preserve">23. FAO/WHO Coordinating Committee for Near East </w:t>
                  </w:r>
                </w:p>
              </w:tc>
            </w:tr>
            <w:tr w:rsidR="008059BE" w:rsidRPr="00311ECA">
              <w:tc>
                <w:tcPr>
                  <w:tcW w:w="423" w:type="dxa"/>
                  <w:shd w:val="clear" w:color="auto" w:fill="FFFFFF"/>
                </w:tcPr>
                <w:p w:rsidR="008059BE" w:rsidRPr="00311ECA" w:rsidRDefault="008059BE" w:rsidP="00681E45">
                  <w:pPr>
                    <w:spacing w:after="0"/>
                    <w:rPr>
                      <w:sz w:val="22"/>
                      <w:szCs w:val="22"/>
                      <w:lang w:val="en-US"/>
                    </w:rPr>
                  </w:pPr>
                </w:p>
              </w:tc>
              <w:tc>
                <w:tcPr>
                  <w:tcW w:w="8080" w:type="dxa"/>
                </w:tcPr>
                <w:p w:rsidR="008059BE" w:rsidRPr="00311ECA" w:rsidRDefault="008059BE" w:rsidP="00681E45">
                  <w:pPr>
                    <w:spacing w:after="0"/>
                    <w:rPr>
                      <w:sz w:val="22"/>
                      <w:szCs w:val="22"/>
                      <w:lang w:val="en-GB"/>
                    </w:rPr>
                  </w:pPr>
                  <w:r w:rsidRPr="00311ECA">
                    <w:rPr>
                      <w:sz w:val="22"/>
                      <w:szCs w:val="22"/>
                      <w:lang w:val="en-US"/>
                    </w:rPr>
                    <w:t>24. FAO/WHO Coordinating Committee for North America and South West Pacific</w:t>
                  </w:r>
                </w:p>
              </w:tc>
            </w:tr>
          </w:tbl>
          <w:p w:rsidR="008059BE" w:rsidRPr="00DB52FD" w:rsidRDefault="008059BE" w:rsidP="00681E45">
            <w:pPr>
              <w:spacing w:after="0"/>
              <w:rPr>
                <w:sz w:val="22"/>
                <w:szCs w:val="22"/>
                <w:lang w:val="en-GB"/>
              </w:rPr>
            </w:pPr>
            <w:r>
              <w:rPr>
                <w:sz w:val="22"/>
                <w:szCs w:val="22"/>
                <w:lang w:val="en-GB"/>
              </w:rPr>
              <w:t xml:space="preserve"> </w:t>
            </w:r>
          </w:p>
        </w:tc>
      </w:tr>
      <w:tr w:rsidR="008059BE" w:rsidRPr="00BD3886">
        <w:trPr>
          <w:cantSplit/>
        </w:trPr>
        <w:tc>
          <w:tcPr>
            <w:tcW w:w="423" w:type="dxa"/>
            <w:shd w:val="clear" w:color="auto" w:fill="F3F3F3"/>
          </w:tcPr>
          <w:p w:rsidR="008059BE" w:rsidRPr="009F2196" w:rsidRDefault="008059BE" w:rsidP="00681E45">
            <w:pPr>
              <w:spacing w:after="0"/>
              <w:rPr>
                <w:b/>
                <w:sz w:val="22"/>
                <w:szCs w:val="22"/>
                <w:lang w:val="en-GB"/>
              </w:rPr>
            </w:pPr>
            <w:r w:rsidRPr="009F2196">
              <w:rPr>
                <w:b/>
                <w:sz w:val="22"/>
                <w:szCs w:val="22"/>
                <w:lang w:val="en-GB"/>
              </w:rPr>
              <w:t>3</w:t>
            </w:r>
          </w:p>
        </w:tc>
        <w:tc>
          <w:tcPr>
            <w:tcW w:w="8818" w:type="dxa"/>
            <w:shd w:val="clear" w:color="auto" w:fill="F3F3F3"/>
          </w:tcPr>
          <w:p w:rsidR="008059BE" w:rsidRDefault="008059BE" w:rsidP="00681E45">
            <w:pPr>
              <w:spacing w:after="0"/>
              <w:rPr>
                <w:b/>
                <w:sz w:val="22"/>
                <w:szCs w:val="22"/>
                <w:lang w:val="en-GB"/>
              </w:rPr>
            </w:pPr>
            <w:r w:rsidRPr="009F2196">
              <w:rPr>
                <w:b/>
                <w:sz w:val="22"/>
                <w:szCs w:val="22"/>
                <w:lang w:val="en-GB"/>
              </w:rPr>
              <w:t>Do you regularly send participants to</w:t>
            </w:r>
            <w:r>
              <w:rPr>
                <w:b/>
                <w:sz w:val="22"/>
                <w:szCs w:val="22"/>
                <w:lang w:val="en-GB"/>
              </w:rPr>
              <w:t xml:space="preserve"> those meetings? </w:t>
            </w:r>
            <w:r w:rsidRPr="00DB5D59">
              <w:rPr>
                <w:sz w:val="22"/>
                <w:szCs w:val="22"/>
                <w:lang w:val="en-GB"/>
              </w:rPr>
              <w:t>(Tick one)</w:t>
            </w:r>
          </w:p>
          <w:p w:rsidR="008059BE" w:rsidRDefault="008059BE" w:rsidP="00681E45">
            <w:pPr>
              <w:spacing w:after="0"/>
              <w:rPr>
                <w:b/>
                <w:sz w:val="22"/>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3"/>
              <w:gridCol w:w="8080"/>
            </w:tblGrid>
            <w:tr w:rsidR="008059BE" w:rsidRPr="00311ECA">
              <w:tc>
                <w:tcPr>
                  <w:tcW w:w="423" w:type="dxa"/>
                  <w:shd w:val="clear" w:color="auto" w:fill="FFFFFF"/>
                </w:tcPr>
                <w:p w:rsidR="008059BE" w:rsidRPr="00311ECA" w:rsidRDefault="008059BE" w:rsidP="00681E45">
                  <w:pPr>
                    <w:spacing w:after="0"/>
                    <w:rPr>
                      <w:b/>
                      <w:sz w:val="22"/>
                      <w:szCs w:val="22"/>
                      <w:lang w:val="en-GB"/>
                    </w:rPr>
                  </w:pPr>
                </w:p>
              </w:tc>
              <w:tc>
                <w:tcPr>
                  <w:tcW w:w="8080" w:type="dxa"/>
                </w:tcPr>
                <w:p w:rsidR="008059BE" w:rsidRPr="00311ECA" w:rsidRDefault="008059BE" w:rsidP="00681E45">
                  <w:pPr>
                    <w:spacing w:after="0"/>
                    <w:rPr>
                      <w:sz w:val="22"/>
                      <w:szCs w:val="22"/>
                      <w:lang w:val="en-GB"/>
                    </w:rPr>
                  </w:pPr>
                  <w:r w:rsidRPr="00311ECA">
                    <w:rPr>
                      <w:sz w:val="22"/>
                      <w:szCs w:val="22"/>
                      <w:lang w:val="en-GB"/>
                    </w:rPr>
                    <w:t>Yes</w:t>
                  </w:r>
                </w:p>
              </w:tc>
            </w:tr>
            <w:tr w:rsidR="008059BE" w:rsidRPr="00311ECA">
              <w:tc>
                <w:tcPr>
                  <w:tcW w:w="423" w:type="dxa"/>
                  <w:shd w:val="clear" w:color="auto" w:fill="FFFFFF"/>
                </w:tcPr>
                <w:p w:rsidR="008059BE" w:rsidRPr="00311ECA" w:rsidRDefault="008059BE" w:rsidP="00681E45">
                  <w:pPr>
                    <w:spacing w:after="0"/>
                    <w:rPr>
                      <w:b/>
                      <w:sz w:val="22"/>
                      <w:szCs w:val="22"/>
                      <w:lang w:val="en-GB"/>
                    </w:rPr>
                  </w:pPr>
                </w:p>
              </w:tc>
              <w:tc>
                <w:tcPr>
                  <w:tcW w:w="8080" w:type="dxa"/>
                </w:tcPr>
                <w:p w:rsidR="008059BE" w:rsidRPr="00311ECA" w:rsidRDefault="008059BE" w:rsidP="00681E45">
                  <w:pPr>
                    <w:spacing w:after="0"/>
                    <w:rPr>
                      <w:sz w:val="22"/>
                      <w:szCs w:val="22"/>
                      <w:lang w:val="en-GB"/>
                    </w:rPr>
                  </w:pPr>
                  <w:r w:rsidRPr="00311ECA">
                    <w:rPr>
                      <w:sz w:val="22"/>
                      <w:szCs w:val="22"/>
                      <w:lang w:val="en-GB"/>
                    </w:rPr>
                    <w:t>No</w:t>
                  </w:r>
                </w:p>
              </w:tc>
            </w:tr>
          </w:tbl>
          <w:p w:rsidR="008059BE" w:rsidRPr="00DB52FD" w:rsidRDefault="008059BE" w:rsidP="00681E45">
            <w:pPr>
              <w:spacing w:after="0"/>
              <w:rPr>
                <w:sz w:val="22"/>
                <w:szCs w:val="22"/>
                <w:lang w:val="en-GB"/>
              </w:rPr>
            </w:pPr>
          </w:p>
          <w:p w:rsidR="008059BE" w:rsidRPr="00DB52FD" w:rsidRDefault="008059BE" w:rsidP="00681E45">
            <w:pPr>
              <w:spacing w:after="0"/>
              <w:rPr>
                <w:sz w:val="22"/>
                <w:szCs w:val="22"/>
                <w:lang w:val="en-GB"/>
              </w:rPr>
            </w:pPr>
            <w:r w:rsidRPr="00DB52FD">
              <w:rPr>
                <w:sz w:val="22"/>
                <w:szCs w:val="22"/>
                <w:lang w:val="en-GB"/>
              </w:rPr>
              <w:t>If No, why not?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8587"/>
            </w:tblGrid>
            <w:tr w:rsidR="008059BE" w:rsidRPr="00311ECA">
              <w:tc>
                <w:tcPr>
                  <w:tcW w:w="8587" w:type="dxa"/>
                  <w:shd w:val="clear" w:color="auto" w:fill="FFFFFF"/>
                </w:tcPr>
                <w:p w:rsidR="008059BE" w:rsidRPr="00311ECA" w:rsidRDefault="008059BE" w:rsidP="00681E45">
                  <w:pPr>
                    <w:spacing w:after="0"/>
                    <w:rPr>
                      <w:sz w:val="22"/>
                      <w:szCs w:val="22"/>
                      <w:lang w:val="en-GB"/>
                    </w:rPr>
                  </w:pPr>
                </w:p>
                <w:p w:rsidR="008059BE" w:rsidRPr="00311ECA" w:rsidRDefault="008059BE" w:rsidP="00681E45">
                  <w:pPr>
                    <w:spacing w:after="0"/>
                    <w:rPr>
                      <w:sz w:val="22"/>
                      <w:szCs w:val="22"/>
                      <w:lang w:val="en-GB"/>
                    </w:rPr>
                  </w:pPr>
                </w:p>
              </w:tc>
            </w:tr>
          </w:tbl>
          <w:p w:rsidR="008059BE" w:rsidRPr="00DB52FD" w:rsidRDefault="008059BE" w:rsidP="00681E45">
            <w:pPr>
              <w:spacing w:after="0"/>
              <w:rPr>
                <w:sz w:val="22"/>
                <w:szCs w:val="22"/>
                <w:lang w:val="en-GB"/>
              </w:rPr>
            </w:pPr>
            <w:r w:rsidRPr="00DB52FD">
              <w:rPr>
                <w:sz w:val="22"/>
                <w:szCs w:val="22"/>
                <w:lang w:val="en-GB"/>
              </w:rPr>
              <w:t xml:space="preserve"> </w:t>
            </w:r>
          </w:p>
        </w:tc>
      </w:tr>
      <w:tr w:rsidR="008059BE" w:rsidRPr="00BD3886">
        <w:trPr>
          <w:cantSplit/>
        </w:trPr>
        <w:tc>
          <w:tcPr>
            <w:tcW w:w="423" w:type="dxa"/>
            <w:shd w:val="clear" w:color="auto" w:fill="F3F3F3"/>
          </w:tcPr>
          <w:p w:rsidR="008059BE" w:rsidRPr="009F2196" w:rsidRDefault="008059BE" w:rsidP="00681E45">
            <w:pPr>
              <w:spacing w:after="0"/>
              <w:rPr>
                <w:b/>
                <w:sz w:val="22"/>
                <w:szCs w:val="22"/>
                <w:lang w:val="en-GB"/>
              </w:rPr>
            </w:pPr>
            <w:r w:rsidRPr="009F2196">
              <w:rPr>
                <w:b/>
                <w:sz w:val="22"/>
                <w:szCs w:val="22"/>
                <w:lang w:val="en-GB"/>
              </w:rPr>
              <w:t>4</w:t>
            </w:r>
          </w:p>
        </w:tc>
        <w:tc>
          <w:tcPr>
            <w:tcW w:w="8818" w:type="dxa"/>
            <w:shd w:val="clear" w:color="auto" w:fill="F3F3F3"/>
          </w:tcPr>
          <w:p w:rsidR="008059BE" w:rsidRPr="009F2196" w:rsidRDefault="008059BE" w:rsidP="00681E45">
            <w:pPr>
              <w:spacing w:after="0"/>
              <w:rPr>
                <w:b/>
                <w:sz w:val="22"/>
                <w:szCs w:val="22"/>
                <w:lang w:val="en-GB"/>
              </w:rPr>
            </w:pPr>
            <w:r w:rsidRPr="009F2196">
              <w:rPr>
                <w:b/>
                <w:sz w:val="22"/>
                <w:szCs w:val="22"/>
                <w:lang w:val="en-GB"/>
              </w:rPr>
              <w:t>Has the Codex Trust Fund increased the participation of your country in Codex meetings?</w:t>
            </w:r>
            <w:r>
              <w:rPr>
                <w:b/>
                <w:sz w:val="22"/>
                <w:szCs w:val="22"/>
                <w:lang w:val="en-GB"/>
              </w:rPr>
              <w:t xml:space="preserve"> </w:t>
            </w:r>
            <w:r w:rsidRPr="00DB5D59">
              <w:rPr>
                <w:sz w:val="22"/>
                <w:szCs w:val="22"/>
                <w:lang w:val="en-GB"/>
              </w:rPr>
              <w:t>(Tick one)</w:t>
            </w:r>
          </w:p>
          <w:p w:rsidR="008059BE" w:rsidRPr="00DB52FD" w:rsidRDefault="008059BE" w:rsidP="00681E45">
            <w:pPr>
              <w:spacing w:after="0"/>
              <w:rPr>
                <w:sz w:val="22"/>
                <w:szCs w:val="22"/>
                <w:lang w:val="en-GB"/>
              </w:rPr>
            </w:pPr>
          </w:p>
          <w:tbl>
            <w:tblPr>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3"/>
              <w:gridCol w:w="8082"/>
            </w:tblGrid>
            <w:tr w:rsidR="008059BE" w:rsidRPr="00311ECA">
              <w:tc>
                <w:tcPr>
                  <w:tcW w:w="423" w:type="dxa"/>
                  <w:shd w:val="clear" w:color="auto" w:fill="FFFFFF"/>
                </w:tcPr>
                <w:p w:rsidR="008059BE" w:rsidRPr="00311ECA" w:rsidRDefault="008059BE" w:rsidP="00681E45">
                  <w:pPr>
                    <w:spacing w:after="0"/>
                    <w:rPr>
                      <w:sz w:val="22"/>
                      <w:szCs w:val="22"/>
                      <w:lang w:val="en-GB"/>
                    </w:rPr>
                  </w:pPr>
                  <w:r w:rsidRPr="00311ECA">
                    <w:rPr>
                      <w:sz w:val="22"/>
                      <w:szCs w:val="22"/>
                      <w:lang w:val="en-GB"/>
                    </w:rPr>
                    <w:t xml:space="preserve"> </w:t>
                  </w:r>
                </w:p>
              </w:tc>
              <w:tc>
                <w:tcPr>
                  <w:tcW w:w="8082" w:type="dxa"/>
                </w:tcPr>
                <w:p w:rsidR="008059BE" w:rsidRPr="00311ECA" w:rsidRDefault="008059BE" w:rsidP="00681E45">
                  <w:pPr>
                    <w:spacing w:after="0"/>
                    <w:rPr>
                      <w:sz w:val="22"/>
                      <w:szCs w:val="22"/>
                      <w:lang w:val="en-GB"/>
                    </w:rPr>
                  </w:pPr>
                  <w:r w:rsidRPr="00311ECA">
                    <w:rPr>
                      <w:sz w:val="22"/>
                      <w:szCs w:val="22"/>
                      <w:lang w:val="en-GB"/>
                    </w:rPr>
                    <w:t xml:space="preserve">Yes, very much     </w:t>
                  </w:r>
                </w:p>
              </w:tc>
            </w:tr>
            <w:tr w:rsidR="008059BE" w:rsidRPr="00311ECA">
              <w:tc>
                <w:tcPr>
                  <w:tcW w:w="423" w:type="dxa"/>
                  <w:shd w:val="clear" w:color="auto" w:fill="FFFFFF"/>
                </w:tcPr>
                <w:p w:rsidR="008059BE" w:rsidRPr="00311ECA" w:rsidRDefault="008059BE" w:rsidP="00681E45">
                  <w:pPr>
                    <w:spacing w:after="0"/>
                    <w:rPr>
                      <w:sz w:val="22"/>
                      <w:szCs w:val="22"/>
                      <w:lang w:val="en-GB"/>
                    </w:rPr>
                  </w:pPr>
                </w:p>
              </w:tc>
              <w:tc>
                <w:tcPr>
                  <w:tcW w:w="8082" w:type="dxa"/>
                </w:tcPr>
                <w:p w:rsidR="008059BE" w:rsidRPr="00311ECA" w:rsidRDefault="008059BE" w:rsidP="00681E45">
                  <w:pPr>
                    <w:spacing w:after="0"/>
                    <w:rPr>
                      <w:sz w:val="22"/>
                      <w:szCs w:val="22"/>
                      <w:lang w:val="en-GB"/>
                    </w:rPr>
                  </w:pPr>
                  <w:r w:rsidRPr="00311ECA">
                    <w:rPr>
                      <w:sz w:val="22"/>
                      <w:szCs w:val="22"/>
                      <w:lang w:val="en-GB"/>
                    </w:rPr>
                    <w:t xml:space="preserve">Yes         </w:t>
                  </w:r>
                </w:p>
              </w:tc>
            </w:tr>
            <w:tr w:rsidR="008059BE" w:rsidRPr="00311ECA">
              <w:tc>
                <w:tcPr>
                  <w:tcW w:w="423" w:type="dxa"/>
                  <w:shd w:val="clear" w:color="auto" w:fill="FFFFFF"/>
                </w:tcPr>
                <w:p w:rsidR="008059BE" w:rsidRPr="00311ECA" w:rsidRDefault="008059BE" w:rsidP="00681E45">
                  <w:pPr>
                    <w:spacing w:after="0"/>
                    <w:rPr>
                      <w:sz w:val="22"/>
                      <w:szCs w:val="22"/>
                      <w:lang w:val="en-GB"/>
                    </w:rPr>
                  </w:pPr>
                </w:p>
              </w:tc>
              <w:tc>
                <w:tcPr>
                  <w:tcW w:w="8082" w:type="dxa"/>
                </w:tcPr>
                <w:p w:rsidR="008059BE" w:rsidRPr="00311ECA" w:rsidRDefault="008059BE" w:rsidP="00681E45">
                  <w:pPr>
                    <w:spacing w:after="0"/>
                    <w:rPr>
                      <w:sz w:val="22"/>
                      <w:szCs w:val="22"/>
                      <w:lang w:val="en-GB"/>
                    </w:rPr>
                  </w:pPr>
                  <w:r w:rsidRPr="00311ECA">
                    <w:rPr>
                      <w:sz w:val="22"/>
                      <w:szCs w:val="22"/>
                      <w:lang w:val="en-GB"/>
                    </w:rPr>
                    <w:t xml:space="preserve">Not that much          </w:t>
                  </w:r>
                </w:p>
              </w:tc>
            </w:tr>
            <w:tr w:rsidR="008059BE" w:rsidRPr="00311ECA">
              <w:tc>
                <w:tcPr>
                  <w:tcW w:w="423" w:type="dxa"/>
                  <w:shd w:val="clear" w:color="auto" w:fill="FFFFFF"/>
                </w:tcPr>
                <w:p w:rsidR="008059BE" w:rsidRPr="00311ECA" w:rsidRDefault="008059BE" w:rsidP="00681E45">
                  <w:pPr>
                    <w:spacing w:after="0"/>
                    <w:rPr>
                      <w:sz w:val="22"/>
                      <w:szCs w:val="22"/>
                      <w:lang w:val="en-GB"/>
                    </w:rPr>
                  </w:pPr>
                </w:p>
              </w:tc>
              <w:tc>
                <w:tcPr>
                  <w:tcW w:w="8082" w:type="dxa"/>
                </w:tcPr>
                <w:p w:rsidR="008059BE" w:rsidRPr="00311ECA" w:rsidRDefault="008059BE" w:rsidP="00681E45">
                  <w:pPr>
                    <w:spacing w:after="0"/>
                    <w:rPr>
                      <w:sz w:val="22"/>
                      <w:szCs w:val="22"/>
                      <w:lang w:val="en-GB"/>
                    </w:rPr>
                  </w:pPr>
                  <w:r w:rsidRPr="00311ECA">
                    <w:rPr>
                      <w:sz w:val="22"/>
                      <w:szCs w:val="22"/>
                      <w:lang w:val="en-GB"/>
                    </w:rPr>
                    <w:t>No, not at all</w:t>
                  </w:r>
                </w:p>
              </w:tc>
            </w:tr>
          </w:tbl>
          <w:p w:rsidR="008059BE" w:rsidRPr="00DB52FD" w:rsidRDefault="008059BE" w:rsidP="00681E45">
            <w:pPr>
              <w:spacing w:after="0"/>
              <w:rPr>
                <w:sz w:val="22"/>
                <w:szCs w:val="22"/>
                <w:lang w:val="en-GB"/>
              </w:rPr>
            </w:pPr>
            <w:r>
              <w:rPr>
                <w:sz w:val="22"/>
                <w:szCs w:val="22"/>
                <w:lang w:val="en-GB"/>
              </w:rPr>
              <w:t xml:space="preserve"> </w:t>
            </w:r>
          </w:p>
        </w:tc>
      </w:tr>
      <w:tr w:rsidR="008059BE" w:rsidRPr="00BD3886">
        <w:trPr>
          <w:cantSplit/>
        </w:trPr>
        <w:tc>
          <w:tcPr>
            <w:tcW w:w="423" w:type="dxa"/>
            <w:shd w:val="clear" w:color="auto" w:fill="F3F3F3"/>
          </w:tcPr>
          <w:p w:rsidR="008059BE" w:rsidRPr="009F2196" w:rsidRDefault="008059BE" w:rsidP="00681E45">
            <w:pPr>
              <w:spacing w:after="0"/>
              <w:rPr>
                <w:b/>
                <w:sz w:val="22"/>
                <w:szCs w:val="22"/>
                <w:lang w:val="en-GB"/>
              </w:rPr>
            </w:pPr>
            <w:r w:rsidRPr="009F2196">
              <w:rPr>
                <w:b/>
                <w:sz w:val="22"/>
                <w:szCs w:val="22"/>
                <w:lang w:val="en-GB"/>
              </w:rPr>
              <w:lastRenderedPageBreak/>
              <w:t>5</w:t>
            </w:r>
          </w:p>
        </w:tc>
        <w:tc>
          <w:tcPr>
            <w:tcW w:w="8818" w:type="dxa"/>
            <w:shd w:val="clear" w:color="auto" w:fill="F3F3F3"/>
          </w:tcPr>
          <w:p w:rsidR="008059BE" w:rsidRDefault="008059BE" w:rsidP="00681E45">
            <w:pPr>
              <w:spacing w:after="0"/>
              <w:rPr>
                <w:sz w:val="22"/>
                <w:szCs w:val="22"/>
                <w:lang w:val="en-GB"/>
              </w:rPr>
            </w:pPr>
            <w:r w:rsidRPr="009F2196">
              <w:rPr>
                <w:b/>
                <w:sz w:val="22"/>
                <w:szCs w:val="22"/>
                <w:lang w:val="en-GB"/>
              </w:rPr>
              <w:t>Do you finance participants in Codex meetings from other resources than the Codex Trust Fund?</w:t>
            </w:r>
            <w:r w:rsidRPr="00DB52FD">
              <w:rPr>
                <w:sz w:val="22"/>
                <w:szCs w:val="22"/>
                <w:lang w:val="en-GB"/>
              </w:rPr>
              <w:t xml:space="preserve"> (If yes, tick one/several)</w:t>
            </w:r>
          </w:p>
          <w:p w:rsidR="008059BE" w:rsidRPr="00DB52FD" w:rsidRDefault="008059BE" w:rsidP="00681E45">
            <w:pPr>
              <w:spacing w:after="0"/>
              <w:rPr>
                <w:sz w:val="22"/>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3"/>
              <w:gridCol w:w="8169"/>
            </w:tblGrid>
            <w:tr w:rsidR="008059BE" w:rsidRPr="00311ECA">
              <w:tc>
                <w:tcPr>
                  <w:tcW w:w="423" w:type="dxa"/>
                  <w:shd w:val="clear" w:color="auto" w:fill="FFFFFF"/>
                </w:tcPr>
                <w:p w:rsidR="008059BE" w:rsidRPr="00311ECA" w:rsidRDefault="008059BE" w:rsidP="00681E45">
                  <w:pPr>
                    <w:spacing w:after="0"/>
                    <w:rPr>
                      <w:sz w:val="22"/>
                      <w:szCs w:val="22"/>
                      <w:lang w:val="en-GB"/>
                    </w:rPr>
                  </w:pPr>
                </w:p>
              </w:tc>
              <w:tc>
                <w:tcPr>
                  <w:tcW w:w="8169" w:type="dxa"/>
                </w:tcPr>
                <w:p w:rsidR="008059BE" w:rsidRPr="00311ECA" w:rsidRDefault="008059BE" w:rsidP="00681E45">
                  <w:pPr>
                    <w:spacing w:after="0"/>
                    <w:rPr>
                      <w:sz w:val="22"/>
                      <w:szCs w:val="22"/>
                      <w:lang w:val="en-GB"/>
                    </w:rPr>
                  </w:pPr>
                  <w:r w:rsidRPr="00311ECA">
                    <w:rPr>
                      <w:sz w:val="22"/>
                      <w:szCs w:val="22"/>
                      <w:lang w:val="en-GB"/>
                    </w:rPr>
                    <w:t>National resources</w:t>
                  </w:r>
                </w:p>
              </w:tc>
            </w:tr>
            <w:tr w:rsidR="008059BE" w:rsidRPr="00311ECA">
              <w:tc>
                <w:tcPr>
                  <w:tcW w:w="423" w:type="dxa"/>
                  <w:shd w:val="clear" w:color="auto" w:fill="FFFFFF"/>
                </w:tcPr>
                <w:p w:rsidR="008059BE" w:rsidRPr="00311ECA" w:rsidRDefault="008059BE" w:rsidP="00681E45">
                  <w:pPr>
                    <w:spacing w:after="0"/>
                    <w:rPr>
                      <w:sz w:val="22"/>
                      <w:szCs w:val="22"/>
                      <w:lang w:val="en-GB"/>
                    </w:rPr>
                  </w:pPr>
                </w:p>
              </w:tc>
              <w:tc>
                <w:tcPr>
                  <w:tcW w:w="8169" w:type="dxa"/>
                </w:tcPr>
                <w:p w:rsidR="008059BE" w:rsidRPr="00311ECA" w:rsidRDefault="008059BE" w:rsidP="00681E45">
                  <w:pPr>
                    <w:spacing w:after="0"/>
                    <w:rPr>
                      <w:sz w:val="22"/>
                      <w:szCs w:val="22"/>
                      <w:lang w:val="en-GB"/>
                    </w:rPr>
                  </w:pPr>
                  <w:r w:rsidRPr="00311ECA">
                    <w:rPr>
                      <w:sz w:val="22"/>
                      <w:szCs w:val="22"/>
                      <w:lang w:val="en-GB"/>
                    </w:rPr>
                    <w:t>Other donor programmes</w:t>
                  </w:r>
                </w:p>
              </w:tc>
            </w:tr>
            <w:tr w:rsidR="008059BE" w:rsidRPr="00311ECA">
              <w:tc>
                <w:tcPr>
                  <w:tcW w:w="423" w:type="dxa"/>
                  <w:shd w:val="clear" w:color="auto" w:fill="FFFFFF"/>
                </w:tcPr>
                <w:p w:rsidR="008059BE" w:rsidRPr="00311ECA" w:rsidRDefault="008059BE" w:rsidP="00681E45">
                  <w:pPr>
                    <w:spacing w:after="0"/>
                    <w:rPr>
                      <w:sz w:val="22"/>
                      <w:szCs w:val="22"/>
                      <w:lang w:val="en-GB"/>
                    </w:rPr>
                  </w:pPr>
                </w:p>
              </w:tc>
              <w:tc>
                <w:tcPr>
                  <w:tcW w:w="8169" w:type="dxa"/>
                </w:tcPr>
                <w:p w:rsidR="008059BE" w:rsidRPr="00311ECA" w:rsidRDefault="008059BE" w:rsidP="00681E45">
                  <w:pPr>
                    <w:spacing w:after="0"/>
                    <w:rPr>
                      <w:sz w:val="22"/>
                      <w:szCs w:val="22"/>
                      <w:lang w:val="en-GB"/>
                    </w:rPr>
                  </w:pPr>
                  <w:r w:rsidRPr="00311ECA">
                    <w:rPr>
                      <w:sz w:val="22"/>
                      <w:szCs w:val="22"/>
                      <w:lang w:val="en-GB"/>
                    </w:rPr>
                    <w:t>Other external sources</w:t>
                  </w:r>
                </w:p>
              </w:tc>
            </w:tr>
          </w:tbl>
          <w:p w:rsidR="008059BE" w:rsidRPr="00DB52FD" w:rsidRDefault="008059BE" w:rsidP="00681E45">
            <w:pPr>
              <w:spacing w:after="0"/>
              <w:rPr>
                <w:sz w:val="22"/>
                <w:szCs w:val="22"/>
                <w:lang w:val="en-GB"/>
              </w:rPr>
            </w:pPr>
          </w:p>
          <w:p w:rsidR="008059BE" w:rsidRPr="00DB52FD" w:rsidRDefault="008059BE" w:rsidP="00681E45">
            <w:pPr>
              <w:spacing w:after="0"/>
              <w:rPr>
                <w:sz w:val="22"/>
                <w:szCs w:val="22"/>
                <w:lang w:val="en-US"/>
              </w:rPr>
            </w:pPr>
            <w:r>
              <w:rPr>
                <w:sz w:val="22"/>
                <w:szCs w:val="22"/>
                <w:lang w:val="en-US"/>
              </w:rPr>
              <w:t>W</w:t>
            </w:r>
            <w:r w:rsidRPr="00DB52FD">
              <w:rPr>
                <w:sz w:val="22"/>
                <w:szCs w:val="22"/>
                <w:lang w:val="en-US"/>
              </w:rPr>
              <w:t>hich other donor programmes or external sources</w:t>
            </w:r>
            <w:r>
              <w:rPr>
                <w:sz w:val="22"/>
                <w:szCs w:val="22"/>
                <w:lang w:val="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87"/>
            </w:tblGrid>
            <w:tr w:rsidR="008059BE" w:rsidRPr="00311ECA">
              <w:tc>
                <w:tcPr>
                  <w:tcW w:w="8587" w:type="dxa"/>
                  <w:shd w:val="clear" w:color="auto" w:fill="FFFFFF"/>
                </w:tcPr>
                <w:p w:rsidR="008059BE" w:rsidRPr="00311ECA" w:rsidRDefault="008059BE" w:rsidP="00681E45">
                  <w:pPr>
                    <w:spacing w:after="0"/>
                    <w:rPr>
                      <w:sz w:val="22"/>
                      <w:szCs w:val="22"/>
                      <w:lang w:val="en-US"/>
                    </w:rPr>
                  </w:pPr>
                </w:p>
                <w:p w:rsidR="008059BE" w:rsidRPr="00311ECA" w:rsidRDefault="008059BE" w:rsidP="00681E45">
                  <w:pPr>
                    <w:spacing w:after="0"/>
                    <w:rPr>
                      <w:sz w:val="22"/>
                      <w:szCs w:val="22"/>
                      <w:lang w:val="en-US"/>
                    </w:rPr>
                  </w:pPr>
                </w:p>
              </w:tc>
            </w:tr>
          </w:tbl>
          <w:p w:rsidR="008059BE" w:rsidRPr="00DB52FD" w:rsidRDefault="008059BE" w:rsidP="00681E45">
            <w:pPr>
              <w:spacing w:after="0"/>
              <w:rPr>
                <w:sz w:val="22"/>
                <w:szCs w:val="22"/>
                <w:lang w:val="en-US"/>
              </w:rPr>
            </w:pPr>
            <w:r w:rsidRPr="00DB52FD">
              <w:rPr>
                <w:sz w:val="22"/>
                <w:szCs w:val="22"/>
                <w:lang w:val="en-US"/>
              </w:rPr>
              <w:t xml:space="preserve"> </w:t>
            </w:r>
          </w:p>
        </w:tc>
      </w:tr>
      <w:tr w:rsidR="008059BE" w:rsidRPr="00BD3886">
        <w:trPr>
          <w:cantSplit/>
        </w:trPr>
        <w:tc>
          <w:tcPr>
            <w:tcW w:w="423" w:type="dxa"/>
            <w:shd w:val="clear" w:color="auto" w:fill="F3F3F3"/>
          </w:tcPr>
          <w:p w:rsidR="008059BE" w:rsidRPr="009F2196" w:rsidRDefault="008059BE" w:rsidP="00681E45">
            <w:pPr>
              <w:spacing w:after="0"/>
              <w:rPr>
                <w:b/>
                <w:sz w:val="22"/>
                <w:szCs w:val="22"/>
                <w:lang w:val="en-GB"/>
              </w:rPr>
            </w:pPr>
            <w:r w:rsidRPr="009F2196">
              <w:rPr>
                <w:b/>
                <w:sz w:val="22"/>
                <w:szCs w:val="22"/>
                <w:lang w:val="en-GB"/>
              </w:rPr>
              <w:t>6</w:t>
            </w:r>
          </w:p>
        </w:tc>
        <w:tc>
          <w:tcPr>
            <w:tcW w:w="8818" w:type="dxa"/>
            <w:shd w:val="clear" w:color="auto" w:fill="F3F3F3"/>
          </w:tcPr>
          <w:p w:rsidR="008059BE" w:rsidRPr="009F2196" w:rsidRDefault="008059BE" w:rsidP="00681E45">
            <w:pPr>
              <w:spacing w:after="0"/>
              <w:rPr>
                <w:b/>
                <w:sz w:val="22"/>
                <w:szCs w:val="22"/>
                <w:lang w:val="en-GB"/>
              </w:rPr>
            </w:pPr>
            <w:r w:rsidRPr="009F2196">
              <w:rPr>
                <w:b/>
                <w:sz w:val="22"/>
                <w:szCs w:val="22"/>
                <w:lang w:val="en-GB"/>
              </w:rPr>
              <w:t>Has Codex work in your country benefitted from the existence of Codex the Trust Fund?</w:t>
            </w:r>
            <w:r>
              <w:rPr>
                <w:b/>
                <w:sz w:val="22"/>
                <w:szCs w:val="22"/>
                <w:lang w:val="en-GB"/>
              </w:rPr>
              <w:t xml:space="preserve"> </w:t>
            </w:r>
            <w:r w:rsidRPr="00DB5D59">
              <w:rPr>
                <w:sz w:val="22"/>
                <w:szCs w:val="22"/>
                <w:lang w:val="en-GB"/>
              </w:rPr>
              <w:t>(Tick one)</w:t>
            </w:r>
          </w:p>
          <w:p w:rsidR="008059BE" w:rsidRPr="00DB52FD" w:rsidRDefault="008059BE" w:rsidP="00681E45">
            <w:pPr>
              <w:spacing w:after="0"/>
              <w:rPr>
                <w:sz w:val="22"/>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3"/>
              <w:gridCol w:w="8169"/>
            </w:tblGrid>
            <w:tr w:rsidR="008059BE" w:rsidRPr="00311ECA">
              <w:tc>
                <w:tcPr>
                  <w:tcW w:w="423" w:type="dxa"/>
                  <w:shd w:val="clear" w:color="auto" w:fill="FFFFFF"/>
                </w:tcPr>
                <w:p w:rsidR="008059BE" w:rsidRPr="00311ECA" w:rsidRDefault="008059BE" w:rsidP="00681E45">
                  <w:pPr>
                    <w:spacing w:after="0"/>
                    <w:rPr>
                      <w:sz w:val="22"/>
                      <w:szCs w:val="22"/>
                      <w:lang w:val="en-GB"/>
                    </w:rPr>
                  </w:pPr>
                </w:p>
              </w:tc>
              <w:tc>
                <w:tcPr>
                  <w:tcW w:w="8169" w:type="dxa"/>
                </w:tcPr>
                <w:p w:rsidR="008059BE" w:rsidRPr="00311ECA" w:rsidRDefault="008059BE" w:rsidP="00681E45">
                  <w:pPr>
                    <w:spacing w:after="0"/>
                    <w:rPr>
                      <w:sz w:val="22"/>
                      <w:szCs w:val="22"/>
                      <w:lang w:val="en-GB"/>
                    </w:rPr>
                  </w:pPr>
                  <w:r w:rsidRPr="00311ECA">
                    <w:rPr>
                      <w:sz w:val="22"/>
                      <w:szCs w:val="22"/>
                      <w:lang w:val="en-GB"/>
                    </w:rPr>
                    <w:t xml:space="preserve">Yes, very much     </w:t>
                  </w:r>
                </w:p>
              </w:tc>
            </w:tr>
            <w:tr w:rsidR="008059BE" w:rsidRPr="00311ECA">
              <w:tc>
                <w:tcPr>
                  <w:tcW w:w="423" w:type="dxa"/>
                  <w:shd w:val="clear" w:color="auto" w:fill="FFFFFF"/>
                </w:tcPr>
                <w:p w:rsidR="008059BE" w:rsidRPr="00311ECA" w:rsidRDefault="008059BE" w:rsidP="00681E45">
                  <w:pPr>
                    <w:spacing w:after="0"/>
                    <w:rPr>
                      <w:sz w:val="22"/>
                      <w:szCs w:val="22"/>
                      <w:lang w:val="en-GB"/>
                    </w:rPr>
                  </w:pPr>
                </w:p>
              </w:tc>
              <w:tc>
                <w:tcPr>
                  <w:tcW w:w="8169" w:type="dxa"/>
                </w:tcPr>
                <w:p w:rsidR="008059BE" w:rsidRPr="00311ECA" w:rsidRDefault="008059BE" w:rsidP="00681E45">
                  <w:pPr>
                    <w:spacing w:after="0"/>
                    <w:rPr>
                      <w:sz w:val="22"/>
                      <w:szCs w:val="22"/>
                      <w:lang w:val="en-GB"/>
                    </w:rPr>
                  </w:pPr>
                  <w:r w:rsidRPr="00311ECA">
                    <w:rPr>
                      <w:sz w:val="22"/>
                      <w:szCs w:val="22"/>
                      <w:lang w:val="en-GB"/>
                    </w:rPr>
                    <w:t>Yes          ´</w:t>
                  </w:r>
                </w:p>
              </w:tc>
            </w:tr>
            <w:tr w:rsidR="008059BE" w:rsidRPr="00311ECA">
              <w:tc>
                <w:tcPr>
                  <w:tcW w:w="423" w:type="dxa"/>
                  <w:shd w:val="clear" w:color="auto" w:fill="FFFFFF"/>
                </w:tcPr>
                <w:p w:rsidR="008059BE" w:rsidRPr="00311ECA" w:rsidRDefault="008059BE" w:rsidP="00681E45">
                  <w:pPr>
                    <w:spacing w:after="0"/>
                    <w:rPr>
                      <w:sz w:val="22"/>
                      <w:szCs w:val="22"/>
                      <w:lang w:val="en-GB"/>
                    </w:rPr>
                  </w:pPr>
                </w:p>
              </w:tc>
              <w:tc>
                <w:tcPr>
                  <w:tcW w:w="8169" w:type="dxa"/>
                </w:tcPr>
                <w:p w:rsidR="008059BE" w:rsidRPr="00311ECA" w:rsidRDefault="008059BE" w:rsidP="00681E45">
                  <w:pPr>
                    <w:spacing w:after="0"/>
                    <w:rPr>
                      <w:sz w:val="22"/>
                      <w:szCs w:val="22"/>
                      <w:lang w:val="en-GB"/>
                    </w:rPr>
                  </w:pPr>
                  <w:r w:rsidRPr="00311ECA">
                    <w:rPr>
                      <w:sz w:val="22"/>
                      <w:szCs w:val="22"/>
                      <w:lang w:val="en-GB"/>
                    </w:rPr>
                    <w:t xml:space="preserve">Not that much           </w:t>
                  </w:r>
                </w:p>
              </w:tc>
            </w:tr>
            <w:tr w:rsidR="008059BE" w:rsidRPr="00311ECA">
              <w:tc>
                <w:tcPr>
                  <w:tcW w:w="423" w:type="dxa"/>
                  <w:shd w:val="clear" w:color="auto" w:fill="FFFFFF"/>
                </w:tcPr>
                <w:p w:rsidR="008059BE" w:rsidRPr="00311ECA" w:rsidRDefault="008059BE" w:rsidP="00681E45">
                  <w:pPr>
                    <w:spacing w:after="0"/>
                    <w:rPr>
                      <w:sz w:val="22"/>
                      <w:szCs w:val="22"/>
                      <w:lang w:val="en-GB"/>
                    </w:rPr>
                  </w:pPr>
                </w:p>
              </w:tc>
              <w:tc>
                <w:tcPr>
                  <w:tcW w:w="8169" w:type="dxa"/>
                </w:tcPr>
                <w:p w:rsidR="008059BE" w:rsidRPr="00311ECA" w:rsidRDefault="008059BE" w:rsidP="00681E45">
                  <w:pPr>
                    <w:spacing w:after="0"/>
                    <w:rPr>
                      <w:sz w:val="22"/>
                      <w:szCs w:val="22"/>
                      <w:lang w:val="en-GB"/>
                    </w:rPr>
                  </w:pPr>
                  <w:r w:rsidRPr="00311ECA">
                    <w:rPr>
                      <w:sz w:val="22"/>
                      <w:szCs w:val="22"/>
                      <w:lang w:val="en-GB"/>
                    </w:rPr>
                    <w:t>No, not at all</w:t>
                  </w:r>
                </w:p>
              </w:tc>
            </w:tr>
          </w:tbl>
          <w:p w:rsidR="008059BE" w:rsidRPr="00DB52FD" w:rsidRDefault="008059BE" w:rsidP="00681E45">
            <w:pPr>
              <w:spacing w:after="0"/>
              <w:rPr>
                <w:sz w:val="22"/>
                <w:szCs w:val="22"/>
                <w:lang w:val="en-GB"/>
              </w:rPr>
            </w:pPr>
            <w:r>
              <w:rPr>
                <w:sz w:val="22"/>
                <w:szCs w:val="22"/>
                <w:lang w:val="en-GB"/>
              </w:rPr>
              <w:t xml:space="preserve"> </w:t>
            </w:r>
          </w:p>
        </w:tc>
      </w:tr>
      <w:tr w:rsidR="008059BE" w:rsidRPr="00BD3886">
        <w:trPr>
          <w:cantSplit/>
        </w:trPr>
        <w:tc>
          <w:tcPr>
            <w:tcW w:w="423" w:type="dxa"/>
            <w:shd w:val="clear" w:color="auto" w:fill="F3F3F3"/>
          </w:tcPr>
          <w:p w:rsidR="008059BE" w:rsidRPr="009F2196" w:rsidRDefault="008059BE" w:rsidP="00681E45">
            <w:pPr>
              <w:spacing w:after="0"/>
              <w:rPr>
                <w:b/>
                <w:sz w:val="22"/>
                <w:szCs w:val="22"/>
                <w:lang w:val="en-GB"/>
              </w:rPr>
            </w:pPr>
            <w:r w:rsidRPr="009F2196">
              <w:rPr>
                <w:b/>
                <w:sz w:val="22"/>
                <w:szCs w:val="22"/>
                <w:lang w:val="en-GB"/>
              </w:rPr>
              <w:t>7</w:t>
            </w:r>
          </w:p>
        </w:tc>
        <w:tc>
          <w:tcPr>
            <w:tcW w:w="8818" w:type="dxa"/>
            <w:shd w:val="clear" w:color="auto" w:fill="F3F3F3"/>
          </w:tcPr>
          <w:p w:rsidR="008059BE" w:rsidRPr="00EB5B98" w:rsidRDefault="008059BE" w:rsidP="008059BE">
            <w:pPr>
              <w:rPr>
                <w:b/>
                <w:sz w:val="22"/>
                <w:szCs w:val="22"/>
                <w:lang w:val="en-US"/>
              </w:rPr>
            </w:pPr>
            <w:r w:rsidRPr="008059BE">
              <w:rPr>
                <w:b/>
                <w:sz w:val="22"/>
                <w:szCs w:val="22"/>
                <w:lang w:val="en-US"/>
              </w:rPr>
              <w:t xml:space="preserve">How has Codex work in your country benefitted/why has it not benefitted from the Codex Trust Fund?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8587"/>
            </w:tblGrid>
            <w:tr w:rsidR="008059BE" w:rsidRPr="00311ECA">
              <w:tc>
                <w:tcPr>
                  <w:tcW w:w="8587" w:type="dxa"/>
                  <w:shd w:val="clear" w:color="auto" w:fill="FFFFFF"/>
                </w:tcPr>
                <w:p w:rsidR="008059BE" w:rsidRPr="00311ECA" w:rsidRDefault="008059BE" w:rsidP="00681E45">
                  <w:pPr>
                    <w:pStyle w:val="Heading3"/>
                    <w:spacing w:before="0"/>
                    <w:rPr>
                      <w:rFonts w:ascii="Garamond" w:hAnsi="Garamond"/>
                      <w:b w:val="0"/>
                      <w:sz w:val="22"/>
                      <w:szCs w:val="22"/>
                      <w:lang w:val="en-US"/>
                    </w:rPr>
                  </w:pPr>
                </w:p>
                <w:p w:rsidR="008059BE" w:rsidRPr="00311ECA" w:rsidRDefault="008059BE" w:rsidP="00681E45">
                  <w:pPr>
                    <w:pStyle w:val="Heading3"/>
                    <w:spacing w:before="0"/>
                    <w:rPr>
                      <w:rFonts w:ascii="Garamond" w:hAnsi="Garamond"/>
                      <w:b w:val="0"/>
                      <w:sz w:val="22"/>
                      <w:szCs w:val="22"/>
                      <w:lang w:val="en-US"/>
                    </w:rPr>
                  </w:pPr>
                </w:p>
              </w:tc>
            </w:tr>
          </w:tbl>
          <w:p w:rsidR="008059BE" w:rsidRPr="00DB52FD" w:rsidRDefault="008059BE" w:rsidP="00681E45">
            <w:pPr>
              <w:spacing w:after="0"/>
              <w:rPr>
                <w:sz w:val="22"/>
                <w:szCs w:val="22"/>
                <w:lang w:val="en-US"/>
              </w:rPr>
            </w:pPr>
            <w:r>
              <w:rPr>
                <w:sz w:val="22"/>
                <w:szCs w:val="22"/>
                <w:lang w:val="en-US"/>
              </w:rPr>
              <w:t xml:space="preserve"> </w:t>
            </w:r>
          </w:p>
        </w:tc>
      </w:tr>
      <w:tr w:rsidR="008059BE" w:rsidRPr="00BD3886">
        <w:trPr>
          <w:cantSplit/>
        </w:trPr>
        <w:tc>
          <w:tcPr>
            <w:tcW w:w="423" w:type="dxa"/>
            <w:shd w:val="clear" w:color="auto" w:fill="F3F3F3"/>
          </w:tcPr>
          <w:p w:rsidR="008059BE" w:rsidRPr="009F2196" w:rsidRDefault="008059BE" w:rsidP="00681E45">
            <w:pPr>
              <w:spacing w:after="0"/>
              <w:rPr>
                <w:b/>
                <w:sz w:val="22"/>
                <w:szCs w:val="22"/>
                <w:lang w:val="en-GB"/>
              </w:rPr>
            </w:pPr>
            <w:r w:rsidRPr="009F2196">
              <w:rPr>
                <w:b/>
                <w:sz w:val="22"/>
                <w:szCs w:val="22"/>
                <w:lang w:val="en-GB"/>
              </w:rPr>
              <w:t>8</w:t>
            </w:r>
          </w:p>
        </w:tc>
        <w:tc>
          <w:tcPr>
            <w:tcW w:w="8818" w:type="dxa"/>
            <w:shd w:val="clear" w:color="auto" w:fill="F3F3F3"/>
          </w:tcPr>
          <w:p w:rsidR="008059BE" w:rsidRPr="00EB5B98" w:rsidRDefault="008059BE" w:rsidP="00681E45">
            <w:pPr>
              <w:spacing w:after="0"/>
              <w:rPr>
                <w:b/>
                <w:sz w:val="22"/>
                <w:szCs w:val="22"/>
                <w:lang w:val="en-GB"/>
              </w:rPr>
            </w:pPr>
            <w:r w:rsidRPr="00EB5B98">
              <w:rPr>
                <w:b/>
                <w:sz w:val="22"/>
                <w:szCs w:val="22"/>
                <w:lang w:val="en-GB"/>
              </w:rPr>
              <w:t>How do you select the persons who will attend Codex meetings from your country?</w:t>
            </w:r>
          </w:p>
          <w:p w:rsidR="008059BE" w:rsidRDefault="008059BE" w:rsidP="00681E45">
            <w:pPr>
              <w:spacing w:after="0"/>
              <w:rPr>
                <w:bCs/>
                <w:sz w:val="22"/>
                <w:szCs w:val="22"/>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87"/>
            </w:tblGrid>
            <w:tr w:rsidR="008059BE" w:rsidRPr="00311ECA">
              <w:tc>
                <w:tcPr>
                  <w:tcW w:w="8587" w:type="dxa"/>
                  <w:shd w:val="clear" w:color="auto" w:fill="FFFFFF"/>
                </w:tcPr>
                <w:p w:rsidR="008059BE" w:rsidRPr="00311ECA" w:rsidRDefault="008059BE" w:rsidP="00681E45">
                  <w:pPr>
                    <w:spacing w:after="0"/>
                    <w:rPr>
                      <w:bCs/>
                      <w:sz w:val="22"/>
                      <w:szCs w:val="22"/>
                      <w:lang w:val="en-US"/>
                    </w:rPr>
                  </w:pPr>
                </w:p>
                <w:p w:rsidR="008059BE" w:rsidRPr="00311ECA" w:rsidRDefault="008059BE" w:rsidP="00681E45">
                  <w:pPr>
                    <w:spacing w:after="0"/>
                    <w:rPr>
                      <w:bCs/>
                      <w:sz w:val="22"/>
                      <w:szCs w:val="22"/>
                      <w:lang w:val="en-US"/>
                    </w:rPr>
                  </w:pPr>
                </w:p>
              </w:tc>
            </w:tr>
          </w:tbl>
          <w:p w:rsidR="008059BE" w:rsidRPr="00DB52FD" w:rsidRDefault="008059BE" w:rsidP="00681E45">
            <w:pPr>
              <w:spacing w:after="0"/>
              <w:rPr>
                <w:sz w:val="22"/>
                <w:szCs w:val="22"/>
                <w:lang w:val="en-GB"/>
              </w:rPr>
            </w:pPr>
            <w:r>
              <w:rPr>
                <w:sz w:val="22"/>
                <w:szCs w:val="22"/>
                <w:lang w:val="en-GB"/>
              </w:rPr>
              <w:t xml:space="preserve"> </w:t>
            </w:r>
          </w:p>
        </w:tc>
      </w:tr>
      <w:tr w:rsidR="008059BE" w:rsidRPr="00BD3886">
        <w:trPr>
          <w:cantSplit/>
        </w:trPr>
        <w:tc>
          <w:tcPr>
            <w:tcW w:w="423" w:type="dxa"/>
            <w:shd w:val="clear" w:color="auto" w:fill="F3F3F3"/>
          </w:tcPr>
          <w:p w:rsidR="008059BE" w:rsidRPr="009F2196" w:rsidRDefault="008059BE" w:rsidP="00681E45">
            <w:pPr>
              <w:spacing w:after="0"/>
              <w:rPr>
                <w:b/>
                <w:sz w:val="22"/>
                <w:szCs w:val="22"/>
                <w:lang w:val="en-GB"/>
              </w:rPr>
            </w:pPr>
            <w:r w:rsidRPr="009F2196">
              <w:rPr>
                <w:b/>
                <w:sz w:val="22"/>
                <w:szCs w:val="22"/>
                <w:lang w:val="en-GB"/>
              </w:rPr>
              <w:t>9</w:t>
            </w:r>
          </w:p>
        </w:tc>
        <w:tc>
          <w:tcPr>
            <w:tcW w:w="8818" w:type="dxa"/>
            <w:shd w:val="clear" w:color="auto" w:fill="F3F3F3"/>
          </w:tcPr>
          <w:p w:rsidR="008059BE" w:rsidRPr="00EB5B98" w:rsidRDefault="008059BE" w:rsidP="00681E45">
            <w:pPr>
              <w:spacing w:after="0"/>
              <w:rPr>
                <w:b/>
                <w:sz w:val="22"/>
                <w:szCs w:val="22"/>
                <w:lang w:val="en-GB"/>
              </w:rPr>
            </w:pPr>
            <w:r w:rsidRPr="00EB5B98">
              <w:rPr>
                <w:b/>
                <w:sz w:val="22"/>
                <w:szCs w:val="22"/>
                <w:lang w:val="en-GB"/>
              </w:rPr>
              <w:t>How do you prepare participation (either physical or not) in Codex meetings?</w:t>
            </w:r>
          </w:p>
          <w:p w:rsidR="008059BE" w:rsidRDefault="008059BE" w:rsidP="00681E45">
            <w:pPr>
              <w:spacing w:after="0"/>
              <w:rPr>
                <w:sz w:val="22"/>
                <w:szCs w:val="22"/>
                <w:lang w:val="en-GB"/>
              </w:rPr>
            </w:pPr>
            <w:r w:rsidRPr="00DB52FD">
              <w:rPr>
                <w:sz w:val="22"/>
                <w:szCs w:val="22"/>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87"/>
            </w:tblGrid>
            <w:tr w:rsidR="008059BE" w:rsidRPr="00311ECA">
              <w:tc>
                <w:tcPr>
                  <w:tcW w:w="8587" w:type="dxa"/>
                  <w:shd w:val="clear" w:color="auto" w:fill="FFFFFF"/>
                </w:tcPr>
                <w:p w:rsidR="008059BE" w:rsidRPr="00311ECA" w:rsidRDefault="008059BE" w:rsidP="00681E45">
                  <w:pPr>
                    <w:spacing w:after="0"/>
                    <w:rPr>
                      <w:sz w:val="22"/>
                      <w:szCs w:val="22"/>
                      <w:lang w:val="en-GB"/>
                    </w:rPr>
                  </w:pPr>
                </w:p>
                <w:p w:rsidR="008059BE" w:rsidRPr="00311ECA" w:rsidRDefault="008059BE" w:rsidP="00681E45">
                  <w:pPr>
                    <w:spacing w:after="0"/>
                    <w:rPr>
                      <w:sz w:val="22"/>
                      <w:szCs w:val="22"/>
                      <w:lang w:val="en-GB"/>
                    </w:rPr>
                  </w:pPr>
                </w:p>
              </w:tc>
            </w:tr>
          </w:tbl>
          <w:p w:rsidR="008059BE" w:rsidRPr="00DB52FD" w:rsidRDefault="008059BE" w:rsidP="00681E45">
            <w:pPr>
              <w:spacing w:after="0"/>
              <w:rPr>
                <w:sz w:val="22"/>
                <w:szCs w:val="22"/>
                <w:lang w:val="en-GB"/>
              </w:rPr>
            </w:pPr>
            <w:r>
              <w:rPr>
                <w:sz w:val="22"/>
                <w:szCs w:val="22"/>
                <w:lang w:val="en-GB"/>
              </w:rPr>
              <w:t xml:space="preserve"> </w:t>
            </w:r>
          </w:p>
        </w:tc>
      </w:tr>
      <w:tr w:rsidR="008059BE" w:rsidRPr="00BD3886">
        <w:trPr>
          <w:cantSplit/>
        </w:trPr>
        <w:tc>
          <w:tcPr>
            <w:tcW w:w="423" w:type="dxa"/>
            <w:shd w:val="clear" w:color="auto" w:fill="F3F3F3"/>
          </w:tcPr>
          <w:p w:rsidR="008059BE" w:rsidRPr="009F2196" w:rsidRDefault="008059BE" w:rsidP="00681E45">
            <w:pPr>
              <w:spacing w:after="0"/>
              <w:rPr>
                <w:b/>
                <w:sz w:val="22"/>
                <w:szCs w:val="22"/>
                <w:lang w:val="en-GB"/>
              </w:rPr>
            </w:pPr>
            <w:r w:rsidRPr="009F2196">
              <w:rPr>
                <w:b/>
                <w:sz w:val="22"/>
                <w:szCs w:val="22"/>
                <w:lang w:val="en-GB"/>
              </w:rPr>
              <w:t>10</w:t>
            </w:r>
          </w:p>
        </w:tc>
        <w:tc>
          <w:tcPr>
            <w:tcW w:w="8818" w:type="dxa"/>
            <w:shd w:val="clear" w:color="auto" w:fill="F3F3F3"/>
          </w:tcPr>
          <w:p w:rsidR="008059BE" w:rsidRPr="00EB5B98" w:rsidRDefault="008059BE" w:rsidP="00681E45">
            <w:pPr>
              <w:spacing w:after="0"/>
              <w:rPr>
                <w:b/>
                <w:sz w:val="22"/>
                <w:szCs w:val="22"/>
                <w:lang w:val="en-GB"/>
              </w:rPr>
            </w:pPr>
            <w:r w:rsidRPr="00EB5B98">
              <w:rPr>
                <w:b/>
                <w:sz w:val="22"/>
                <w:szCs w:val="22"/>
                <w:lang w:val="en-GB"/>
              </w:rPr>
              <w:t>How do you follow-up participation in Codex meetings in your country?</w:t>
            </w:r>
          </w:p>
          <w:p w:rsidR="008059BE" w:rsidRDefault="008059BE" w:rsidP="00681E45">
            <w:pPr>
              <w:spacing w:after="0"/>
              <w:rPr>
                <w:sz w:val="22"/>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87"/>
            </w:tblGrid>
            <w:tr w:rsidR="008059BE" w:rsidRPr="00311ECA">
              <w:tc>
                <w:tcPr>
                  <w:tcW w:w="8587" w:type="dxa"/>
                  <w:shd w:val="clear" w:color="auto" w:fill="FFFFFF"/>
                </w:tcPr>
                <w:p w:rsidR="008059BE" w:rsidRPr="00311ECA" w:rsidRDefault="008059BE" w:rsidP="00681E45">
                  <w:pPr>
                    <w:spacing w:after="0"/>
                    <w:rPr>
                      <w:sz w:val="22"/>
                      <w:szCs w:val="22"/>
                      <w:lang w:val="en-GB"/>
                    </w:rPr>
                  </w:pPr>
                </w:p>
                <w:p w:rsidR="008059BE" w:rsidRPr="00311ECA" w:rsidRDefault="008059BE" w:rsidP="00681E45">
                  <w:pPr>
                    <w:spacing w:after="0"/>
                    <w:rPr>
                      <w:sz w:val="22"/>
                      <w:szCs w:val="22"/>
                      <w:lang w:val="en-GB"/>
                    </w:rPr>
                  </w:pPr>
                </w:p>
              </w:tc>
            </w:tr>
          </w:tbl>
          <w:p w:rsidR="008059BE" w:rsidRPr="00DB52FD" w:rsidRDefault="008059BE" w:rsidP="00681E45">
            <w:pPr>
              <w:spacing w:after="0"/>
              <w:rPr>
                <w:sz w:val="22"/>
                <w:szCs w:val="22"/>
                <w:lang w:val="en-GB"/>
              </w:rPr>
            </w:pPr>
            <w:r>
              <w:rPr>
                <w:sz w:val="22"/>
                <w:szCs w:val="22"/>
                <w:lang w:val="en-GB"/>
              </w:rPr>
              <w:t xml:space="preserve"> </w:t>
            </w:r>
          </w:p>
        </w:tc>
      </w:tr>
      <w:tr w:rsidR="008059BE" w:rsidRPr="00BD3886">
        <w:trPr>
          <w:cantSplit/>
        </w:trPr>
        <w:tc>
          <w:tcPr>
            <w:tcW w:w="423" w:type="dxa"/>
            <w:shd w:val="clear" w:color="auto" w:fill="F3F3F3"/>
          </w:tcPr>
          <w:p w:rsidR="008059BE" w:rsidRPr="009F2196" w:rsidRDefault="008059BE" w:rsidP="00681E45">
            <w:pPr>
              <w:spacing w:after="0"/>
              <w:rPr>
                <w:b/>
                <w:sz w:val="22"/>
                <w:szCs w:val="22"/>
                <w:lang w:val="en-GB"/>
              </w:rPr>
            </w:pPr>
            <w:r w:rsidRPr="009F2196">
              <w:rPr>
                <w:b/>
                <w:sz w:val="22"/>
                <w:szCs w:val="22"/>
                <w:lang w:val="en-GB"/>
              </w:rPr>
              <w:lastRenderedPageBreak/>
              <w:t>11</w:t>
            </w:r>
          </w:p>
        </w:tc>
        <w:tc>
          <w:tcPr>
            <w:tcW w:w="8818" w:type="dxa"/>
            <w:shd w:val="clear" w:color="auto" w:fill="F3F3F3"/>
          </w:tcPr>
          <w:p w:rsidR="008059BE" w:rsidRDefault="008059BE" w:rsidP="00681E45">
            <w:pPr>
              <w:spacing w:after="0"/>
              <w:rPr>
                <w:sz w:val="22"/>
                <w:szCs w:val="22"/>
                <w:lang w:val="en-GB"/>
              </w:rPr>
            </w:pPr>
            <w:r w:rsidRPr="00EB5B98">
              <w:rPr>
                <w:b/>
                <w:sz w:val="22"/>
                <w:szCs w:val="22"/>
                <w:lang w:val="en-GB"/>
              </w:rPr>
              <w:t>What are, in your opinion, the greatest obstacles to more effective Codex work in your country?</w:t>
            </w:r>
            <w:r w:rsidRPr="00DB52FD">
              <w:rPr>
                <w:sz w:val="22"/>
                <w:szCs w:val="22"/>
                <w:lang w:val="en-GB"/>
              </w:rPr>
              <w:t xml:space="preserve"> (Rank or tick one/several)</w:t>
            </w:r>
          </w:p>
          <w:p w:rsidR="008059BE" w:rsidRPr="00DB52FD" w:rsidRDefault="008059BE" w:rsidP="00681E45">
            <w:pPr>
              <w:spacing w:after="0"/>
              <w:rPr>
                <w:sz w:val="22"/>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3"/>
              <w:gridCol w:w="8169"/>
            </w:tblGrid>
            <w:tr w:rsidR="008059BE" w:rsidRPr="00311ECA">
              <w:tc>
                <w:tcPr>
                  <w:tcW w:w="423" w:type="dxa"/>
                  <w:shd w:val="clear" w:color="auto" w:fill="FFFFFF"/>
                </w:tcPr>
                <w:p w:rsidR="008059BE" w:rsidRPr="00311ECA" w:rsidRDefault="008059BE" w:rsidP="00681E45">
                  <w:pPr>
                    <w:spacing w:after="0"/>
                    <w:rPr>
                      <w:sz w:val="22"/>
                      <w:szCs w:val="22"/>
                      <w:lang w:val="en-GB"/>
                    </w:rPr>
                  </w:pPr>
                </w:p>
              </w:tc>
              <w:tc>
                <w:tcPr>
                  <w:tcW w:w="8169" w:type="dxa"/>
                </w:tcPr>
                <w:p w:rsidR="008059BE" w:rsidRPr="00311ECA" w:rsidRDefault="008059BE" w:rsidP="00681E45">
                  <w:pPr>
                    <w:spacing w:after="0"/>
                    <w:rPr>
                      <w:sz w:val="22"/>
                      <w:szCs w:val="22"/>
                      <w:lang w:val="en-GB"/>
                    </w:rPr>
                  </w:pPr>
                  <w:r w:rsidRPr="00311ECA">
                    <w:rPr>
                      <w:sz w:val="22"/>
                      <w:szCs w:val="22"/>
                      <w:lang w:val="en-GB"/>
                    </w:rPr>
                    <w:t>Political will and leadership</w:t>
                  </w:r>
                </w:p>
              </w:tc>
            </w:tr>
            <w:tr w:rsidR="008059BE" w:rsidRPr="00311ECA">
              <w:tc>
                <w:tcPr>
                  <w:tcW w:w="423" w:type="dxa"/>
                  <w:shd w:val="clear" w:color="auto" w:fill="FFFFFF"/>
                </w:tcPr>
                <w:p w:rsidR="008059BE" w:rsidRPr="00311ECA" w:rsidRDefault="008059BE" w:rsidP="00681E45">
                  <w:pPr>
                    <w:spacing w:after="0"/>
                    <w:rPr>
                      <w:sz w:val="22"/>
                      <w:szCs w:val="22"/>
                      <w:lang w:val="en-GB"/>
                    </w:rPr>
                  </w:pPr>
                </w:p>
              </w:tc>
              <w:tc>
                <w:tcPr>
                  <w:tcW w:w="8169" w:type="dxa"/>
                </w:tcPr>
                <w:p w:rsidR="008059BE" w:rsidRPr="00311ECA" w:rsidRDefault="008059BE" w:rsidP="00681E45">
                  <w:pPr>
                    <w:spacing w:after="0"/>
                    <w:rPr>
                      <w:sz w:val="22"/>
                      <w:szCs w:val="22"/>
                      <w:lang w:val="en-GB"/>
                    </w:rPr>
                  </w:pPr>
                  <w:r w:rsidRPr="00311ECA">
                    <w:rPr>
                      <w:sz w:val="22"/>
                      <w:szCs w:val="22"/>
                      <w:lang w:val="en-GB"/>
                    </w:rPr>
                    <w:t>Policy development</w:t>
                  </w:r>
                </w:p>
              </w:tc>
            </w:tr>
            <w:tr w:rsidR="008059BE" w:rsidRPr="00311ECA">
              <w:tc>
                <w:tcPr>
                  <w:tcW w:w="423" w:type="dxa"/>
                  <w:shd w:val="clear" w:color="auto" w:fill="FFFFFF"/>
                </w:tcPr>
                <w:p w:rsidR="008059BE" w:rsidRPr="00311ECA" w:rsidRDefault="008059BE" w:rsidP="00681E45">
                  <w:pPr>
                    <w:spacing w:after="0"/>
                    <w:rPr>
                      <w:sz w:val="22"/>
                      <w:szCs w:val="22"/>
                      <w:lang w:val="en-GB"/>
                    </w:rPr>
                  </w:pPr>
                </w:p>
              </w:tc>
              <w:tc>
                <w:tcPr>
                  <w:tcW w:w="8169" w:type="dxa"/>
                </w:tcPr>
                <w:p w:rsidR="008059BE" w:rsidRPr="00311ECA" w:rsidRDefault="008059BE" w:rsidP="00681E45">
                  <w:pPr>
                    <w:spacing w:after="0"/>
                    <w:rPr>
                      <w:sz w:val="22"/>
                      <w:szCs w:val="22"/>
                      <w:lang w:val="en-GB"/>
                    </w:rPr>
                  </w:pPr>
                  <w:r w:rsidRPr="00311ECA">
                    <w:rPr>
                      <w:sz w:val="22"/>
                      <w:szCs w:val="22"/>
                      <w:lang w:val="en-GB"/>
                    </w:rPr>
                    <w:t>Institutions</w:t>
                  </w:r>
                </w:p>
              </w:tc>
            </w:tr>
            <w:tr w:rsidR="008059BE" w:rsidRPr="00311ECA">
              <w:tc>
                <w:tcPr>
                  <w:tcW w:w="423" w:type="dxa"/>
                  <w:shd w:val="clear" w:color="auto" w:fill="FFFFFF"/>
                </w:tcPr>
                <w:p w:rsidR="008059BE" w:rsidRPr="00311ECA" w:rsidRDefault="008059BE" w:rsidP="00681E45">
                  <w:pPr>
                    <w:spacing w:after="0"/>
                    <w:rPr>
                      <w:sz w:val="22"/>
                      <w:szCs w:val="22"/>
                      <w:lang w:val="en-GB"/>
                    </w:rPr>
                  </w:pPr>
                </w:p>
              </w:tc>
              <w:tc>
                <w:tcPr>
                  <w:tcW w:w="8169" w:type="dxa"/>
                </w:tcPr>
                <w:p w:rsidR="008059BE" w:rsidRPr="00311ECA" w:rsidRDefault="008059BE" w:rsidP="00681E45">
                  <w:pPr>
                    <w:spacing w:after="0"/>
                    <w:rPr>
                      <w:sz w:val="22"/>
                      <w:szCs w:val="22"/>
                      <w:lang w:val="en-GB"/>
                    </w:rPr>
                  </w:pPr>
                  <w:r w:rsidRPr="00311ECA">
                    <w:rPr>
                      <w:sz w:val="22"/>
                      <w:szCs w:val="22"/>
                      <w:lang w:val="en-GB"/>
                    </w:rPr>
                    <w:t>Building networks between national institutions</w:t>
                  </w:r>
                </w:p>
              </w:tc>
            </w:tr>
            <w:tr w:rsidR="008059BE" w:rsidRPr="00311ECA">
              <w:tc>
                <w:tcPr>
                  <w:tcW w:w="423" w:type="dxa"/>
                  <w:shd w:val="clear" w:color="auto" w:fill="FFFFFF"/>
                </w:tcPr>
                <w:p w:rsidR="008059BE" w:rsidRPr="00311ECA" w:rsidRDefault="008059BE" w:rsidP="00681E45">
                  <w:pPr>
                    <w:spacing w:after="0"/>
                    <w:rPr>
                      <w:sz w:val="22"/>
                      <w:szCs w:val="22"/>
                      <w:lang w:val="en-GB"/>
                    </w:rPr>
                  </w:pPr>
                </w:p>
              </w:tc>
              <w:tc>
                <w:tcPr>
                  <w:tcW w:w="8169" w:type="dxa"/>
                </w:tcPr>
                <w:p w:rsidR="008059BE" w:rsidRPr="00311ECA" w:rsidRDefault="008059BE" w:rsidP="00681E45">
                  <w:pPr>
                    <w:spacing w:after="0"/>
                    <w:rPr>
                      <w:sz w:val="22"/>
                      <w:szCs w:val="22"/>
                      <w:lang w:val="en-GB"/>
                    </w:rPr>
                  </w:pPr>
                  <w:r w:rsidRPr="00311ECA">
                    <w:rPr>
                      <w:sz w:val="22"/>
                      <w:szCs w:val="22"/>
                      <w:lang w:val="en-GB"/>
                    </w:rPr>
                    <w:t>Providing financial resources for national institutions</w:t>
                  </w:r>
                </w:p>
              </w:tc>
            </w:tr>
            <w:tr w:rsidR="008059BE" w:rsidRPr="00311ECA">
              <w:tc>
                <w:tcPr>
                  <w:tcW w:w="423" w:type="dxa"/>
                  <w:shd w:val="clear" w:color="auto" w:fill="FFFFFF"/>
                </w:tcPr>
                <w:p w:rsidR="008059BE" w:rsidRPr="00311ECA" w:rsidRDefault="008059BE" w:rsidP="00681E45">
                  <w:pPr>
                    <w:spacing w:after="0"/>
                    <w:rPr>
                      <w:sz w:val="22"/>
                      <w:szCs w:val="22"/>
                      <w:lang w:val="en-GB"/>
                    </w:rPr>
                  </w:pPr>
                </w:p>
              </w:tc>
              <w:tc>
                <w:tcPr>
                  <w:tcW w:w="8169" w:type="dxa"/>
                </w:tcPr>
                <w:p w:rsidR="008059BE" w:rsidRPr="00311ECA" w:rsidRDefault="008059BE" w:rsidP="00681E45">
                  <w:pPr>
                    <w:spacing w:after="0"/>
                    <w:rPr>
                      <w:sz w:val="22"/>
                      <w:szCs w:val="22"/>
                      <w:lang w:val="en-GB"/>
                    </w:rPr>
                  </w:pPr>
                  <w:r w:rsidRPr="00311ECA">
                    <w:rPr>
                      <w:sz w:val="22"/>
                      <w:szCs w:val="22"/>
                      <w:lang w:val="en-GB"/>
                    </w:rPr>
                    <w:t>Technical/scientific capacity</w:t>
                  </w:r>
                </w:p>
              </w:tc>
            </w:tr>
            <w:tr w:rsidR="008059BE" w:rsidRPr="00311ECA">
              <w:tc>
                <w:tcPr>
                  <w:tcW w:w="423" w:type="dxa"/>
                  <w:shd w:val="clear" w:color="auto" w:fill="FFFFFF"/>
                </w:tcPr>
                <w:p w:rsidR="008059BE" w:rsidRPr="00311ECA" w:rsidRDefault="008059BE" w:rsidP="00681E45">
                  <w:pPr>
                    <w:spacing w:after="0"/>
                    <w:rPr>
                      <w:sz w:val="22"/>
                      <w:szCs w:val="22"/>
                      <w:lang w:val="en-GB"/>
                    </w:rPr>
                  </w:pPr>
                </w:p>
              </w:tc>
              <w:tc>
                <w:tcPr>
                  <w:tcW w:w="8169" w:type="dxa"/>
                </w:tcPr>
                <w:p w:rsidR="008059BE" w:rsidRPr="00311ECA" w:rsidRDefault="008059BE" w:rsidP="00681E45">
                  <w:pPr>
                    <w:spacing w:after="0"/>
                    <w:rPr>
                      <w:sz w:val="22"/>
                      <w:szCs w:val="22"/>
                      <w:lang w:val="en-GB"/>
                    </w:rPr>
                  </w:pPr>
                  <w:r w:rsidRPr="00311ECA">
                    <w:rPr>
                      <w:sz w:val="22"/>
                      <w:szCs w:val="22"/>
                      <w:lang w:val="en-GB"/>
                    </w:rPr>
                    <w:t>Reaching out to companies</w:t>
                  </w:r>
                </w:p>
              </w:tc>
            </w:tr>
            <w:tr w:rsidR="008059BE" w:rsidRPr="00311ECA">
              <w:tc>
                <w:tcPr>
                  <w:tcW w:w="423" w:type="dxa"/>
                  <w:shd w:val="clear" w:color="auto" w:fill="FFFFFF"/>
                </w:tcPr>
                <w:p w:rsidR="008059BE" w:rsidRPr="00311ECA" w:rsidRDefault="008059BE" w:rsidP="00681E45">
                  <w:pPr>
                    <w:spacing w:after="0"/>
                    <w:rPr>
                      <w:sz w:val="22"/>
                      <w:szCs w:val="22"/>
                      <w:lang w:val="en-GB"/>
                    </w:rPr>
                  </w:pPr>
                </w:p>
              </w:tc>
              <w:tc>
                <w:tcPr>
                  <w:tcW w:w="8169" w:type="dxa"/>
                </w:tcPr>
                <w:p w:rsidR="008059BE" w:rsidRPr="00311ECA" w:rsidRDefault="008059BE" w:rsidP="00681E45">
                  <w:pPr>
                    <w:spacing w:after="0"/>
                    <w:rPr>
                      <w:sz w:val="22"/>
                      <w:szCs w:val="22"/>
                      <w:lang w:val="en-GB"/>
                    </w:rPr>
                  </w:pPr>
                  <w:r w:rsidRPr="00311ECA">
                    <w:rPr>
                      <w:sz w:val="22"/>
                      <w:szCs w:val="22"/>
                      <w:lang w:val="en-GB"/>
                    </w:rPr>
                    <w:t>Support of the public at large</w:t>
                  </w:r>
                </w:p>
              </w:tc>
            </w:tr>
          </w:tbl>
          <w:p w:rsidR="008059BE" w:rsidRDefault="008059BE" w:rsidP="00681E45">
            <w:pPr>
              <w:spacing w:after="0"/>
              <w:rPr>
                <w:sz w:val="22"/>
                <w:szCs w:val="22"/>
                <w:lang w:val="en-GB"/>
              </w:rPr>
            </w:pPr>
          </w:p>
          <w:p w:rsidR="008059BE" w:rsidRPr="00DB52FD" w:rsidRDefault="008059BE" w:rsidP="00681E45">
            <w:pPr>
              <w:spacing w:after="0"/>
              <w:rPr>
                <w:sz w:val="22"/>
                <w:szCs w:val="22"/>
                <w:lang w:val="en-GB"/>
              </w:rPr>
            </w:pPr>
            <w:r w:rsidRPr="00DB52FD">
              <w:rPr>
                <w:sz w:val="22"/>
                <w:szCs w:val="22"/>
                <w:lang w:val="en-GB"/>
              </w:rPr>
              <w:t>Other (please specify)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87"/>
            </w:tblGrid>
            <w:tr w:rsidR="008059BE" w:rsidRPr="00311ECA">
              <w:tc>
                <w:tcPr>
                  <w:tcW w:w="8587" w:type="dxa"/>
                  <w:shd w:val="clear" w:color="auto" w:fill="FFFFFF"/>
                </w:tcPr>
                <w:p w:rsidR="008059BE" w:rsidRPr="00311ECA" w:rsidRDefault="008059BE" w:rsidP="00681E45">
                  <w:pPr>
                    <w:spacing w:after="0"/>
                    <w:rPr>
                      <w:sz w:val="22"/>
                      <w:szCs w:val="22"/>
                      <w:lang w:val="en-GB"/>
                    </w:rPr>
                  </w:pPr>
                </w:p>
                <w:p w:rsidR="008059BE" w:rsidRPr="00311ECA" w:rsidRDefault="008059BE" w:rsidP="00681E45">
                  <w:pPr>
                    <w:spacing w:after="0"/>
                    <w:rPr>
                      <w:sz w:val="22"/>
                      <w:szCs w:val="22"/>
                      <w:lang w:val="en-GB"/>
                    </w:rPr>
                  </w:pPr>
                </w:p>
              </w:tc>
            </w:tr>
          </w:tbl>
          <w:p w:rsidR="008059BE" w:rsidRPr="00DB52FD" w:rsidRDefault="008059BE" w:rsidP="00681E45">
            <w:pPr>
              <w:spacing w:after="0"/>
              <w:rPr>
                <w:sz w:val="22"/>
                <w:szCs w:val="22"/>
                <w:lang w:val="en-GB"/>
              </w:rPr>
            </w:pPr>
            <w:r>
              <w:rPr>
                <w:sz w:val="22"/>
                <w:szCs w:val="22"/>
                <w:lang w:val="en-GB"/>
              </w:rPr>
              <w:t xml:space="preserve"> </w:t>
            </w:r>
          </w:p>
        </w:tc>
      </w:tr>
      <w:tr w:rsidR="008059BE" w:rsidRPr="00BD3886">
        <w:trPr>
          <w:cantSplit/>
        </w:trPr>
        <w:tc>
          <w:tcPr>
            <w:tcW w:w="423" w:type="dxa"/>
            <w:shd w:val="clear" w:color="auto" w:fill="F3F3F3"/>
          </w:tcPr>
          <w:p w:rsidR="008059BE" w:rsidRPr="009F2196" w:rsidRDefault="008059BE" w:rsidP="00681E45">
            <w:pPr>
              <w:spacing w:after="0"/>
              <w:rPr>
                <w:b/>
                <w:sz w:val="22"/>
                <w:szCs w:val="22"/>
                <w:lang w:val="en-GB"/>
              </w:rPr>
            </w:pPr>
            <w:r w:rsidRPr="009F2196">
              <w:rPr>
                <w:b/>
                <w:sz w:val="22"/>
                <w:szCs w:val="22"/>
                <w:lang w:val="en-GB"/>
              </w:rPr>
              <w:t>12</w:t>
            </w:r>
          </w:p>
        </w:tc>
        <w:tc>
          <w:tcPr>
            <w:tcW w:w="8818" w:type="dxa"/>
            <w:shd w:val="clear" w:color="auto" w:fill="F3F3F3"/>
          </w:tcPr>
          <w:p w:rsidR="008059BE" w:rsidRPr="00311ECA" w:rsidRDefault="008059BE" w:rsidP="00681E45">
            <w:pPr>
              <w:spacing w:after="0"/>
              <w:rPr>
                <w:b/>
                <w:sz w:val="22"/>
                <w:szCs w:val="22"/>
                <w:lang w:val="en-GB"/>
              </w:rPr>
            </w:pPr>
            <w:r w:rsidRPr="00311ECA">
              <w:rPr>
                <w:b/>
                <w:sz w:val="22"/>
                <w:szCs w:val="22"/>
                <w:lang w:val="en-GB"/>
              </w:rPr>
              <w:t>Which are your country’s plans for Codex meeting participation in coming years? How do you intend to finance those plans?</w:t>
            </w:r>
          </w:p>
          <w:p w:rsidR="008059BE" w:rsidRDefault="008059BE" w:rsidP="00681E45">
            <w:pPr>
              <w:spacing w:after="0"/>
              <w:rPr>
                <w:sz w:val="22"/>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87"/>
            </w:tblGrid>
            <w:tr w:rsidR="008059BE" w:rsidRPr="00311ECA">
              <w:tc>
                <w:tcPr>
                  <w:tcW w:w="8587" w:type="dxa"/>
                  <w:shd w:val="clear" w:color="auto" w:fill="FFFFFF"/>
                </w:tcPr>
                <w:p w:rsidR="008059BE" w:rsidRPr="00311ECA" w:rsidRDefault="008059BE" w:rsidP="00681E45">
                  <w:pPr>
                    <w:spacing w:after="0"/>
                    <w:rPr>
                      <w:sz w:val="22"/>
                      <w:szCs w:val="22"/>
                      <w:lang w:val="en-GB"/>
                    </w:rPr>
                  </w:pPr>
                </w:p>
                <w:p w:rsidR="008059BE" w:rsidRPr="00311ECA" w:rsidRDefault="008059BE" w:rsidP="00681E45">
                  <w:pPr>
                    <w:spacing w:after="0"/>
                    <w:rPr>
                      <w:sz w:val="22"/>
                      <w:szCs w:val="22"/>
                      <w:lang w:val="en-GB"/>
                    </w:rPr>
                  </w:pPr>
                </w:p>
              </w:tc>
            </w:tr>
          </w:tbl>
          <w:p w:rsidR="008059BE" w:rsidRPr="00DB52FD" w:rsidRDefault="008059BE" w:rsidP="00681E45">
            <w:pPr>
              <w:spacing w:after="0"/>
              <w:rPr>
                <w:sz w:val="22"/>
                <w:szCs w:val="22"/>
                <w:lang w:val="en-GB"/>
              </w:rPr>
            </w:pPr>
            <w:r>
              <w:rPr>
                <w:sz w:val="22"/>
                <w:szCs w:val="22"/>
                <w:lang w:val="en-GB"/>
              </w:rPr>
              <w:t xml:space="preserve"> </w:t>
            </w:r>
          </w:p>
        </w:tc>
      </w:tr>
      <w:tr w:rsidR="008059BE" w:rsidRPr="00BD3886">
        <w:trPr>
          <w:cantSplit/>
        </w:trPr>
        <w:tc>
          <w:tcPr>
            <w:tcW w:w="423" w:type="dxa"/>
            <w:shd w:val="clear" w:color="auto" w:fill="F3F3F3"/>
          </w:tcPr>
          <w:p w:rsidR="008059BE" w:rsidRPr="009F2196" w:rsidRDefault="008059BE" w:rsidP="00681E45">
            <w:pPr>
              <w:spacing w:after="0"/>
              <w:rPr>
                <w:b/>
                <w:sz w:val="22"/>
                <w:szCs w:val="22"/>
                <w:lang w:val="en-GB"/>
              </w:rPr>
            </w:pPr>
            <w:r w:rsidRPr="009F2196">
              <w:rPr>
                <w:b/>
                <w:sz w:val="22"/>
                <w:szCs w:val="22"/>
                <w:lang w:val="en-GB"/>
              </w:rPr>
              <w:t>13</w:t>
            </w:r>
          </w:p>
        </w:tc>
        <w:tc>
          <w:tcPr>
            <w:tcW w:w="8818" w:type="dxa"/>
            <w:shd w:val="clear" w:color="auto" w:fill="F3F3F3"/>
          </w:tcPr>
          <w:p w:rsidR="008059BE" w:rsidRPr="00311ECA" w:rsidRDefault="008059BE" w:rsidP="00681E45">
            <w:pPr>
              <w:spacing w:after="0"/>
              <w:rPr>
                <w:b/>
                <w:sz w:val="22"/>
                <w:szCs w:val="22"/>
                <w:lang w:val="en-GB"/>
              </w:rPr>
            </w:pPr>
            <w:r w:rsidRPr="00311ECA">
              <w:rPr>
                <w:b/>
                <w:sz w:val="22"/>
                <w:szCs w:val="22"/>
                <w:lang w:val="en-GB"/>
              </w:rPr>
              <w:t xml:space="preserve">How do you view your country’s capacity to continue to participate both quantitatively and qualitatively in the Codex process after graduation from the Trust Fund?  </w:t>
            </w:r>
          </w:p>
          <w:p w:rsidR="008059BE" w:rsidRPr="00DB52FD" w:rsidRDefault="008059BE" w:rsidP="00681E45">
            <w:pPr>
              <w:spacing w:after="0"/>
              <w:rPr>
                <w:sz w:val="22"/>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87"/>
            </w:tblGrid>
            <w:tr w:rsidR="008059BE" w:rsidRPr="00311ECA">
              <w:tc>
                <w:tcPr>
                  <w:tcW w:w="8587" w:type="dxa"/>
                  <w:shd w:val="clear" w:color="auto" w:fill="FFFFFF"/>
                </w:tcPr>
                <w:p w:rsidR="008059BE" w:rsidRPr="00311ECA" w:rsidRDefault="008059BE" w:rsidP="00681E45">
                  <w:pPr>
                    <w:spacing w:after="0"/>
                    <w:rPr>
                      <w:sz w:val="22"/>
                      <w:szCs w:val="22"/>
                      <w:lang w:val="en-GB"/>
                    </w:rPr>
                  </w:pPr>
                </w:p>
                <w:p w:rsidR="008059BE" w:rsidRPr="00311ECA" w:rsidRDefault="008059BE" w:rsidP="00681E45">
                  <w:pPr>
                    <w:spacing w:after="0"/>
                    <w:rPr>
                      <w:sz w:val="22"/>
                      <w:szCs w:val="22"/>
                      <w:lang w:val="en-GB"/>
                    </w:rPr>
                  </w:pPr>
                </w:p>
              </w:tc>
            </w:tr>
          </w:tbl>
          <w:p w:rsidR="008059BE" w:rsidRPr="00DB52FD" w:rsidDel="00F742E1" w:rsidRDefault="008059BE" w:rsidP="00681E45">
            <w:pPr>
              <w:spacing w:after="0"/>
              <w:rPr>
                <w:sz w:val="22"/>
                <w:szCs w:val="22"/>
                <w:lang w:val="en-GB"/>
              </w:rPr>
            </w:pPr>
            <w:r>
              <w:rPr>
                <w:sz w:val="22"/>
                <w:szCs w:val="22"/>
                <w:lang w:val="en-GB"/>
              </w:rPr>
              <w:t xml:space="preserve"> </w:t>
            </w:r>
          </w:p>
        </w:tc>
      </w:tr>
      <w:tr w:rsidR="008059BE" w:rsidRPr="00BD3886">
        <w:trPr>
          <w:cantSplit/>
        </w:trPr>
        <w:tc>
          <w:tcPr>
            <w:tcW w:w="423" w:type="dxa"/>
            <w:shd w:val="clear" w:color="auto" w:fill="F3F3F3"/>
          </w:tcPr>
          <w:p w:rsidR="008059BE" w:rsidRPr="009F2196" w:rsidRDefault="008059BE" w:rsidP="00681E45">
            <w:pPr>
              <w:spacing w:after="0"/>
              <w:rPr>
                <w:b/>
                <w:sz w:val="22"/>
                <w:szCs w:val="22"/>
                <w:lang w:val="en-GB"/>
              </w:rPr>
            </w:pPr>
            <w:r w:rsidRPr="009F2196">
              <w:rPr>
                <w:b/>
                <w:sz w:val="22"/>
                <w:szCs w:val="22"/>
                <w:lang w:val="en-GB"/>
              </w:rPr>
              <w:t>14</w:t>
            </w:r>
          </w:p>
        </w:tc>
        <w:tc>
          <w:tcPr>
            <w:tcW w:w="8818" w:type="dxa"/>
            <w:shd w:val="clear" w:color="auto" w:fill="F3F3F3"/>
          </w:tcPr>
          <w:p w:rsidR="008059BE" w:rsidRPr="00311ECA" w:rsidRDefault="008059BE" w:rsidP="00681E45">
            <w:pPr>
              <w:spacing w:after="0"/>
              <w:rPr>
                <w:b/>
                <w:sz w:val="22"/>
                <w:szCs w:val="22"/>
                <w:lang w:val="en-GB"/>
              </w:rPr>
            </w:pPr>
            <w:r w:rsidRPr="00311ECA">
              <w:rPr>
                <w:b/>
                <w:sz w:val="22"/>
                <w:szCs w:val="22"/>
                <w:lang w:val="en-GB"/>
              </w:rPr>
              <w:t>Are the three objectives of the Codex Trust Fund still valid?</w:t>
            </w:r>
            <w:r>
              <w:rPr>
                <w:b/>
                <w:sz w:val="22"/>
                <w:szCs w:val="22"/>
                <w:lang w:val="en-GB"/>
              </w:rPr>
              <w:t xml:space="preserve"> </w:t>
            </w:r>
            <w:r w:rsidRPr="00DB5D59">
              <w:rPr>
                <w:sz w:val="22"/>
                <w:szCs w:val="22"/>
                <w:lang w:val="en-GB"/>
              </w:rPr>
              <w:t>(Tick one)</w:t>
            </w:r>
          </w:p>
          <w:p w:rsidR="008059BE" w:rsidRDefault="008059BE" w:rsidP="00681E45">
            <w:pPr>
              <w:spacing w:after="0"/>
              <w:rPr>
                <w:sz w:val="22"/>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3"/>
              <w:gridCol w:w="8169"/>
            </w:tblGrid>
            <w:tr w:rsidR="008059BE" w:rsidRPr="00311ECA">
              <w:tc>
                <w:tcPr>
                  <w:tcW w:w="423" w:type="dxa"/>
                  <w:shd w:val="clear" w:color="auto" w:fill="FFFFFF"/>
                </w:tcPr>
                <w:p w:rsidR="008059BE" w:rsidRPr="00311ECA" w:rsidRDefault="008059BE" w:rsidP="00681E45">
                  <w:pPr>
                    <w:spacing w:after="0"/>
                    <w:rPr>
                      <w:sz w:val="22"/>
                      <w:szCs w:val="22"/>
                      <w:lang w:val="en-GB"/>
                    </w:rPr>
                  </w:pPr>
                </w:p>
              </w:tc>
              <w:tc>
                <w:tcPr>
                  <w:tcW w:w="8169" w:type="dxa"/>
                </w:tcPr>
                <w:p w:rsidR="008059BE" w:rsidRPr="00311ECA" w:rsidRDefault="008059BE" w:rsidP="00681E45">
                  <w:pPr>
                    <w:spacing w:after="0"/>
                    <w:rPr>
                      <w:sz w:val="22"/>
                      <w:szCs w:val="22"/>
                      <w:lang w:val="en-GB"/>
                    </w:rPr>
                  </w:pPr>
                  <w:r w:rsidRPr="00311ECA">
                    <w:rPr>
                      <w:sz w:val="22"/>
                      <w:szCs w:val="22"/>
                      <w:lang w:val="en-GB"/>
                    </w:rPr>
                    <w:t>Yes, very valid</w:t>
                  </w:r>
                </w:p>
              </w:tc>
            </w:tr>
            <w:tr w:rsidR="008059BE" w:rsidRPr="00311ECA">
              <w:tc>
                <w:tcPr>
                  <w:tcW w:w="423" w:type="dxa"/>
                  <w:shd w:val="clear" w:color="auto" w:fill="FFFFFF"/>
                </w:tcPr>
                <w:p w:rsidR="008059BE" w:rsidRPr="00311ECA" w:rsidRDefault="008059BE" w:rsidP="00681E45">
                  <w:pPr>
                    <w:spacing w:after="0"/>
                    <w:rPr>
                      <w:sz w:val="22"/>
                      <w:szCs w:val="22"/>
                      <w:lang w:val="en-GB"/>
                    </w:rPr>
                  </w:pPr>
                </w:p>
              </w:tc>
              <w:tc>
                <w:tcPr>
                  <w:tcW w:w="8169" w:type="dxa"/>
                </w:tcPr>
                <w:p w:rsidR="008059BE" w:rsidRPr="00311ECA" w:rsidRDefault="008059BE" w:rsidP="00681E45">
                  <w:pPr>
                    <w:spacing w:after="0"/>
                    <w:rPr>
                      <w:sz w:val="22"/>
                      <w:szCs w:val="22"/>
                      <w:lang w:val="en-GB"/>
                    </w:rPr>
                  </w:pPr>
                  <w:r w:rsidRPr="00311ECA">
                    <w:rPr>
                      <w:sz w:val="22"/>
                      <w:szCs w:val="22"/>
                      <w:lang w:val="en-GB"/>
                    </w:rPr>
                    <w:t>Yes</w:t>
                  </w:r>
                </w:p>
              </w:tc>
            </w:tr>
            <w:tr w:rsidR="008059BE" w:rsidRPr="00311ECA">
              <w:tc>
                <w:tcPr>
                  <w:tcW w:w="423" w:type="dxa"/>
                  <w:shd w:val="clear" w:color="auto" w:fill="FFFFFF"/>
                </w:tcPr>
                <w:p w:rsidR="008059BE" w:rsidRPr="00311ECA" w:rsidRDefault="008059BE" w:rsidP="00681E45">
                  <w:pPr>
                    <w:spacing w:after="0"/>
                    <w:rPr>
                      <w:sz w:val="22"/>
                      <w:szCs w:val="22"/>
                      <w:lang w:val="en-GB"/>
                    </w:rPr>
                  </w:pPr>
                </w:p>
              </w:tc>
              <w:tc>
                <w:tcPr>
                  <w:tcW w:w="8169" w:type="dxa"/>
                </w:tcPr>
                <w:p w:rsidR="008059BE" w:rsidRPr="00311ECA" w:rsidRDefault="008059BE" w:rsidP="00681E45">
                  <w:pPr>
                    <w:spacing w:after="0"/>
                    <w:rPr>
                      <w:sz w:val="22"/>
                      <w:szCs w:val="22"/>
                      <w:lang w:val="en-GB"/>
                    </w:rPr>
                  </w:pPr>
                  <w:r w:rsidRPr="00311ECA">
                    <w:rPr>
                      <w:sz w:val="22"/>
                      <w:szCs w:val="22"/>
                      <w:lang w:val="en-GB"/>
                    </w:rPr>
                    <w:t>Not so valid</w:t>
                  </w:r>
                </w:p>
              </w:tc>
            </w:tr>
            <w:tr w:rsidR="008059BE" w:rsidRPr="00311ECA">
              <w:tc>
                <w:tcPr>
                  <w:tcW w:w="423" w:type="dxa"/>
                  <w:shd w:val="clear" w:color="auto" w:fill="FFFFFF"/>
                </w:tcPr>
                <w:p w:rsidR="008059BE" w:rsidRPr="00311ECA" w:rsidRDefault="008059BE" w:rsidP="00681E45">
                  <w:pPr>
                    <w:spacing w:after="0"/>
                    <w:rPr>
                      <w:sz w:val="22"/>
                      <w:szCs w:val="22"/>
                      <w:lang w:val="en-GB"/>
                    </w:rPr>
                  </w:pPr>
                </w:p>
              </w:tc>
              <w:tc>
                <w:tcPr>
                  <w:tcW w:w="8169" w:type="dxa"/>
                </w:tcPr>
                <w:p w:rsidR="008059BE" w:rsidRPr="00311ECA" w:rsidRDefault="008059BE" w:rsidP="00681E45">
                  <w:pPr>
                    <w:spacing w:after="0"/>
                    <w:rPr>
                      <w:sz w:val="22"/>
                      <w:szCs w:val="22"/>
                      <w:lang w:val="en-GB"/>
                    </w:rPr>
                  </w:pPr>
                  <w:r w:rsidRPr="00311ECA">
                    <w:rPr>
                      <w:sz w:val="22"/>
                      <w:szCs w:val="22"/>
                      <w:lang w:val="en-GB"/>
                    </w:rPr>
                    <w:t>Not valid at all</w:t>
                  </w:r>
                </w:p>
              </w:tc>
            </w:tr>
          </w:tbl>
          <w:p w:rsidR="008059BE" w:rsidRPr="00DB52FD" w:rsidRDefault="008059BE" w:rsidP="00681E45">
            <w:pPr>
              <w:spacing w:after="0"/>
              <w:rPr>
                <w:sz w:val="22"/>
                <w:szCs w:val="22"/>
                <w:lang w:val="en-GB"/>
              </w:rPr>
            </w:pPr>
          </w:p>
          <w:p w:rsidR="008059BE" w:rsidRPr="00DB52FD" w:rsidRDefault="008059BE" w:rsidP="00681E45">
            <w:pPr>
              <w:spacing w:after="0"/>
              <w:rPr>
                <w:sz w:val="22"/>
                <w:szCs w:val="22"/>
                <w:lang w:val="en-GB"/>
              </w:rPr>
            </w:pPr>
            <w:r w:rsidRPr="00DB52FD">
              <w:rPr>
                <w:sz w:val="22"/>
                <w:szCs w:val="22"/>
                <w:lang w:val="en-GB"/>
              </w:rPr>
              <w:t>Please comment.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87"/>
            </w:tblGrid>
            <w:tr w:rsidR="008059BE" w:rsidRPr="00311ECA">
              <w:tc>
                <w:tcPr>
                  <w:tcW w:w="8587" w:type="dxa"/>
                  <w:shd w:val="clear" w:color="auto" w:fill="FFFFFF"/>
                </w:tcPr>
                <w:p w:rsidR="008059BE" w:rsidRPr="00311ECA" w:rsidRDefault="008059BE" w:rsidP="00681E45">
                  <w:pPr>
                    <w:spacing w:after="0"/>
                    <w:rPr>
                      <w:sz w:val="22"/>
                      <w:szCs w:val="22"/>
                      <w:lang w:val="en-GB"/>
                    </w:rPr>
                  </w:pPr>
                </w:p>
                <w:p w:rsidR="008059BE" w:rsidRPr="00311ECA" w:rsidRDefault="008059BE" w:rsidP="00681E45">
                  <w:pPr>
                    <w:spacing w:after="0"/>
                    <w:rPr>
                      <w:sz w:val="22"/>
                      <w:szCs w:val="22"/>
                      <w:lang w:val="en-GB"/>
                    </w:rPr>
                  </w:pPr>
                </w:p>
              </w:tc>
            </w:tr>
          </w:tbl>
          <w:p w:rsidR="008059BE" w:rsidRPr="00DB52FD" w:rsidRDefault="008059BE" w:rsidP="00681E45">
            <w:pPr>
              <w:spacing w:after="0"/>
              <w:rPr>
                <w:sz w:val="22"/>
                <w:szCs w:val="22"/>
                <w:lang w:val="en-GB"/>
              </w:rPr>
            </w:pPr>
            <w:r>
              <w:rPr>
                <w:sz w:val="22"/>
                <w:szCs w:val="22"/>
                <w:lang w:val="en-GB"/>
              </w:rPr>
              <w:t xml:space="preserve"> </w:t>
            </w:r>
          </w:p>
        </w:tc>
      </w:tr>
      <w:tr w:rsidR="008059BE" w:rsidRPr="00BD3886">
        <w:trPr>
          <w:cantSplit/>
        </w:trPr>
        <w:tc>
          <w:tcPr>
            <w:tcW w:w="423" w:type="dxa"/>
            <w:shd w:val="clear" w:color="auto" w:fill="F3F3F3"/>
          </w:tcPr>
          <w:p w:rsidR="008059BE" w:rsidRPr="009F2196" w:rsidRDefault="008059BE" w:rsidP="00681E45">
            <w:pPr>
              <w:spacing w:after="0"/>
              <w:rPr>
                <w:b/>
                <w:sz w:val="22"/>
                <w:szCs w:val="22"/>
                <w:lang w:val="en-GB"/>
              </w:rPr>
            </w:pPr>
            <w:r w:rsidRPr="009F2196">
              <w:rPr>
                <w:b/>
                <w:sz w:val="22"/>
                <w:szCs w:val="22"/>
                <w:lang w:val="en-GB"/>
              </w:rPr>
              <w:t>15</w:t>
            </w:r>
          </w:p>
        </w:tc>
        <w:tc>
          <w:tcPr>
            <w:tcW w:w="8818" w:type="dxa"/>
            <w:shd w:val="clear" w:color="auto" w:fill="F3F3F3"/>
          </w:tcPr>
          <w:p w:rsidR="008059BE" w:rsidRPr="00311ECA" w:rsidRDefault="008059BE" w:rsidP="00681E45">
            <w:pPr>
              <w:spacing w:after="0"/>
              <w:rPr>
                <w:b/>
                <w:sz w:val="22"/>
                <w:szCs w:val="22"/>
                <w:lang w:val="en-GB"/>
              </w:rPr>
            </w:pPr>
            <w:r w:rsidRPr="00311ECA">
              <w:rPr>
                <w:b/>
                <w:sz w:val="22"/>
                <w:szCs w:val="22"/>
                <w:lang w:val="en-GB"/>
              </w:rPr>
              <w:t>In your view, are the Codex Trust Fund rules on country groupings, selection criteria, matched funding arrangements and country graduation transparent and fair?</w:t>
            </w:r>
            <w:r>
              <w:rPr>
                <w:b/>
                <w:sz w:val="22"/>
                <w:szCs w:val="22"/>
                <w:lang w:val="en-GB"/>
              </w:rPr>
              <w:t xml:space="preserve"> </w:t>
            </w:r>
            <w:r w:rsidRPr="00DB5D59">
              <w:rPr>
                <w:sz w:val="22"/>
                <w:szCs w:val="22"/>
                <w:lang w:val="en-GB"/>
              </w:rPr>
              <w:t>(Tick one)</w:t>
            </w:r>
          </w:p>
          <w:p w:rsidR="008059BE" w:rsidRPr="00DB52FD" w:rsidRDefault="008059BE" w:rsidP="00681E45">
            <w:pPr>
              <w:spacing w:after="0"/>
              <w:rPr>
                <w:sz w:val="22"/>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3"/>
              <w:gridCol w:w="8169"/>
            </w:tblGrid>
            <w:tr w:rsidR="008059BE" w:rsidRPr="00311ECA">
              <w:tc>
                <w:tcPr>
                  <w:tcW w:w="423" w:type="dxa"/>
                  <w:shd w:val="clear" w:color="auto" w:fill="FFFFFF"/>
                </w:tcPr>
                <w:p w:rsidR="008059BE" w:rsidRPr="00311ECA" w:rsidRDefault="008059BE" w:rsidP="00681E45">
                  <w:pPr>
                    <w:spacing w:after="0"/>
                    <w:rPr>
                      <w:sz w:val="22"/>
                      <w:szCs w:val="22"/>
                      <w:lang w:val="en-GB"/>
                    </w:rPr>
                  </w:pPr>
                </w:p>
              </w:tc>
              <w:tc>
                <w:tcPr>
                  <w:tcW w:w="8169" w:type="dxa"/>
                </w:tcPr>
                <w:p w:rsidR="008059BE" w:rsidRPr="00311ECA" w:rsidRDefault="008059BE" w:rsidP="00681E45">
                  <w:pPr>
                    <w:spacing w:after="0"/>
                    <w:rPr>
                      <w:sz w:val="22"/>
                      <w:szCs w:val="22"/>
                      <w:lang w:val="en-GB"/>
                    </w:rPr>
                  </w:pPr>
                  <w:r w:rsidRPr="00311ECA">
                    <w:rPr>
                      <w:sz w:val="22"/>
                      <w:szCs w:val="22"/>
                      <w:lang w:val="en-GB"/>
                    </w:rPr>
                    <w:t>Yes, very fair</w:t>
                  </w:r>
                </w:p>
              </w:tc>
            </w:tr>
            <w:tr w:rsidR="008059BE" w:rsidRPr="00311ECA">
              <w:tc>
                <w:tcPr>
                  <w:tcW w:w="423" w:type="dxa"/>
                  <w:shd w:val="clear" w:color="auto" w:fill="FFFFFF"/>
                </w:tcPr>
                <w:p w:rsidR="008059BE" w:rsidRPr="00311ECA" w:rsidRDefault="008059BE" w:rsidP="00681E45">
                  <w:pPr>
                    <w:spacing w:after="0"/>
                    <w:rPr>
                      <w:sz w:val="22"/>
                      <w:szCs w:val="22"/>
                      <w:lang w:val="en-GB"/>
                    </w:rPr>
                  </w:pPr>
                </w:p>
              </w:tc>
              <w:tc>
                <w:tcPr>
                  <w:tcW w:w="8169" w:type="dxa"/>
                </w:tcPr>
                <w:p w:rsidR="008059BE" w:rsidRPr="00311ECA" w:rsidRDefault="008059BE" w:rsidP="00681E45">
                  <w:pPr>
                    <w:spacing w:after="0"/>
                    <w:rPr>
                      <w:sz w:val="22"/>
                      <w:szCs w:val="22"/>
                      <w:lang w:val="en-GB"/>
                    </w:rPr>
                  </w:pPr>
                  <w:r w:rsidRPr="00311ECA">
                    <w:rPr>
                      <w:sz w:val="22"/>
                      <w:szCs w:val="22"/>
                      <w:lang w:val="en-GB"/>
                    </w:rPr>
                    <w:t>Yes</w:t>
                  </w:r>
                </w:p>
              </w:tc>
            </w:tr>
            <w:tr w:rsidR="008059BE" w:rsidRPr="00311ECA">
              <w:tc>
                <w:tcPr>
                  <w:tcW w:w="423" w:type="dxa"/>
                  <w:shd w:val="clear" w:color="auto" w:fill="FFFFFF"/>
                </w:tcPr>
                <w:p w:rsidR="008059BE" w:rsidRPr="00311ECA" w:rsidRDefault="008059BE" w:rsidP="00681E45">
                  <w:pPr>
                    <w:spacing w:after="0"/>
                    <w:rPr>
                      <w:sz w:val="22"/>
                      <w:szCs w:val="22"/>
                      <w:lang w:val="en-GB"/>
                    </w:rPr>
                  </w:pPr>
                </w:p>
              </w:tc>
              <w:tc>
                <w:tcPr>
                  <w:tcW w:w="8169" w:type="dxa"/>
                </w:tcPr>
                <w:p w:rsidR="008059BE" w:rsidRPr="00311ECA" w:rsidRDefault="008059BE" w:rsidP="00681E45">
                  <w:pPr>
                    <w:spacing w:after="0"/>
                    <w:rPr>
                      <w:sz w:val="22"/>
                      <w:szCs w:val="22"/>
                      <w:lang w:val="en-GB"/>
                    </w:rPr>
                  </w:pPr>
                  <w:r w:rsidRPr="00311ECA">
                    <w:rPr>
                      <w:sz w:val="22"/>
                      <w:szCs w:val="22"/>
                      <w:lang w:val="en-GB"/>
                    </w:rPr>
                    <w:t>Not so fair</w:t>
                  </w:r>
                </w:p>
              </w:tc>
            </w:tr>
            <w:tr w:rsidR="008059BE" w:rsidRPr="00311ECA">
              <w:tc>
                <w:tcPr>
                  <w:tcW w:w="423" w:type="dxa"/>
                  <w:shd w:val="clear" w:color="auto" w:fill="FFFFFF"/>
                </w:tcPr>
                <w:p w:rsidR="008059BE" w:rsidRPr="00311ECA" w:rsidRDefault="008059BE" w:rsidP="00681E45">
                  <w:pPr>
                    <w:spacing w:after="0"/>
                    <w:rPr>
                      <w:sz w:val="22"/>
                      <w:szCs w:val="22"/>
                      <w:lang w:val="en-GB"/>
                    </w:rPr>
                  </w:pPr>
                </w:p>
              </w:tc>
              <w:tc>
                <w:tcPr>
                  <w:tcW w:w="8169" w:type="dxa"/>
                </w:tcPr>
                <w:p w:rsidR="008059BE" w:rsidRPr="00311ECA" w:rsidRDefault="008059BE" w:rsidP="00681E45">
                  <w:pPr>
                    <w:spacing w:after="0"/>
                    <w:rPr>
                      <w:sz w:val="22"/>
                      <w:szCs w:val="22"/>
                      <w:lang w:val="en-GB"/>
                    </w:rPr>
                  </w:pPr>
                  <w:r w:rsidRPr="00311ECA">
                    <w:rPr>
                      <w:sz w:val="22"/>
                      <w:szCs w:val="22"/>
                      <w:lang w:val="en-GB"/>
                    </w:rPr>
                    <w:t>Not fair at all</w:t>
                  </w:r>
                </w:p>
              </w:tc>
            </w:tr>
          </w:tbl>
          <w:p w:rsidR="008059BE" w:rsidRPr="00DB52FD" w:rsidRDefault="008059BE" w:rsidP="00681E45">
            <w:pPr>
              <w:spacing w:after="0"/>
              <w:rPr>
                <w:sz w:val="22"/>
                <w:szCs w:val="22"/>
                <w:lang w:val="en-GB"/>
              </w:rPr>
            </w:pPr>
          </w:p>
          <w:p w:rsidR="008059BE" w:rsidRDefault="008059BE" w:rsidP="00681E45">
            <w:pPr>
              <w:spacing w:after="0"/>
              <w:rPr>
                <w:sz w:val="22"/>
                <w:szCs w:val="22"/>
                <w:lang w:val="en-GB"/>
              </w:rPr>
            </w:pPr>
            <w:r w:rsidRPr="00DB52FD">
              <w:rPr>
                <w:sz w:val="22"/>
                <w:szCs w:val="22"/>
                <w:lang w:val="en-GB"/>
              </w:rPr>
              <w:t>Please comment.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87"/>
            </w:tblGrid>
            <w:tr w:rsidR="008059BE" w:rsidRPr="00311ECA">
              <w:tc>
                <w:tcPr>
                  <w:tcW w:w="8587" w:type="dxa"/>
                  <w:shd w:val="clear" w:color="auto" w:fill="FFFFFF"/>
                </w:tcPr>
                <w:p w:rsidR="008059BE" w:rsidRPr="00311ECA" w:rsidRDefault="008059BE" w:rsidP="00681E45">
                  <w:pPr>
                    <w:spacing w:after="0"/>
                    <w:rPr>
                      <w:sz w:val="22"/>
                      <w:szCs w:val="22"/>
                      <w:lang w:val="en-GB"/>
                    </w:rPr>
                  </w:pPr>
                </w:p>
                <w:p w:rsidR="008059BE" w:rsidRPr="00311ECA" w:rsidRDefault="008059BE" w:rsidP="00681E45">
                  <w:pPr>
                    <w:spacing w:after="0"/>
                    <w:rPr>
                      <w:sz w:val="22"/>
                      <w:szCs w:val="22"/>
                      <w:lang w:val="en-GB"/>
                    </w:rPr>
                  </w:pPr>
                </w:p>
              </w:tc>
            </w:tr>
          </w:tbl>
          <w:p w:rsidR="008059BE" w:rsidRPr="00DB52FD" w:rsidRDefault="008059BE" w:rsidP="00681E45">
            <w:pPr>
              <w:spacing w:after="0"/>
              <w:rPr>
                <w:sz w:val="22"/>
                <w:szCs w:val="22"/>
                <w:lang w:val="en-GB"/>
              </w:rPr>
            </w:pPr>
            <w:r>
              <w:rPr>
                <w:sz w:val="22"/>
                <w:szCs w:val="22"/>
                <w:lang w:val="en-GB"/>
              </w:rPr>
              <w:t xml:space="preserve"> </w:t>
            </w:r>
          </w:p>
        </w:tc>
      </w:tr>
      <w:tr w:rsidR="008059BE" w:rsidRPr="00BD3886">
        <w:trPr>
          <w:cantSplit/>
        </w:trPr>
        <w:tc>
          <w:tcPr>
            <w:tcW w:w="423" w:type="dxa"/>
            <w:shd w:val="clear" w:color="auto" w:fill="F3F3F3"/>
          </w:tcPr>
          <w:p w:rsidR="008059BE" w:rsidRPr="009F2196" w:rsidRDefault="008059BE" w:rsidP="00681E45">
            <w:pPr>
              <w:spacing w:after="0"/>
              <w:rPr>
                <w:b/>
                <w:sz w:val="22"/>
                <w:szCs w:val="22"/>
                <w:lang w:val="en-GB"/>
              </w:rPr>
            </w:pPr>
            <w:r w:rsidRPr="009F2196">
              <w:rPr>
                <w:b/>
                <w:sz w:val="22"/>
                <w:szCs w:val="22"/>
                <w:lang w:val="en-GB"/>
              </w:rPr>
              <w:lastRenderedPageBreak/>
              <w:t>16</w:t>
            </w:r>
          </w:p>
        </w:tc>
        <w:tc>
          <w:tcPr>
            <w:tcW w:w="8818" w:type="dxa"/>
            <w:shd w:val="clear" w:color="auto" w:fill="F3F3F3"/>
          </w:tcPr>
          <w:p w:rsidR="008059BE" w:rsidRPr="00311ECA" w:rsidRDefault="008059BE" w:rsidP="00681E45">
            <w:pPr>
              <w:spacing w:after="0"/>
              <w:rPr>
                <w:b/>
                <w:sz w:val="22"/>
                <w:szCs w:val="22"/>
                <w:lang w:val="en-GB"/>
              </w:rPr>
            </w:pPr>
            <w:r w:rsidRPr="00311ECA">
              <w:rPr>
                <w:b/>
                <w:sz w:val="22"/>
                <w:szCs w:val="22"/>
                <w:lang w:val="en-GB"/>
              </w:rPr>
              <w:t>Is the current focus of activities and funding of the Codex Trust Fund appropriate?</w:t>
            </w:r>
            <w:r>
              <w:rPr>
                <w:b/>
                <w:sz w:val="22"/>
                <w:szCs w:val="22"/>
                <w:lang w:val="en-GB"/>
              </w:rPr>
              <w:t xml:space="preserve"> </w:t>
            </w:r>
            <w:r w:rsidRPr="00DB5D59">
              <w:rPr>
                <w:sz w:val="22"/>
                <w:szCs w:val="22"/>
                <w:lang w:val="en-GB"/>
              </w:rPr>
              <w:t>(Tick one)</w:t>
            </w:r>
          </w:p>
          <w:p w:rsidR="008059BE" w:rsidRPr="00DB52FD" w:rsidRDefault="008059BE" w:rsidP="00681E45">
            <w:pPr>
              <w:spacing w:after="0"/>
              <w:rPr>
                <w:sz w:val="22"/>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3"/>
              <w:gridCol w:w="8169"/>
            </w:tblGrid>
            <w:tr w:rsidR="008059BE" w:rsidRPr="00311ECA">
              <w:tc>
                <w:tcPr>
                  <w:tcW w:w="423" w:type="dxa"/>
                  <w:shd w:val="clear" w:color="auto" w:fill="FFFFFF"/>
                </w:tcPr>
                <w:p w:rsidR="008059BE" w:rsidRPr="00311ECA" w:rsidRDefault="008059BE" w:rsidP="00681E45">
                  <w:pPr>
                    <w:spacing w:after="0"/>
                    <w:rPr>
                      <w:sz w:val="22"/>
                      <w:szCs w:val="22"/>
                      <w:lang w:val="en-GB"/>
                    </w:rPr>
                  </w:pPr>
                </w:p>
              </w:tc>
              <w:tc>
                <w:tcPr>
                  <w:tcW w:w="8169" w:type="dxa"/>
                </w:tcPr>
                <w:p w:rsidR="008059BE" w:rsidRPr="00311ECA" w:rsidRDefault="008059BE" w:rsidP="00681E45">
                  <w:pPr>
                    <w:spacing w:after="0"/>
                    <w:rPr>
                      <w:sz w:val="22"/>
                      <w:szCs w:val="22"/>
                      <w:lang w:val="en-GB"/>
                    </w:rPr>
                  </w:pPr>
                  <w:r w:rsidRPr="00311ECA">
                    <w:rPr>
                      <w:sz w:val="22"/>
                      <w:szCs w:val="22"/>
                      <w:lang w:val="en-GB"/>
                    </w:rPr>
                    <w:t>Yes, very appropriate</w:t>
                  </w:r>
                </w:p>
              </w:tc>
            </w:tr>
            <w:tr w:rsidR="008059BE" w:rsidRPr="00311ECA">
              <w:tc>
                <w:tcPr>
                  <w:tcW w:w="423" w:type="dxa"/>
                  <w:shd w:val="clear" w:color="auto" w:fill="FFFFFF"/>
                </w:tcPr>
                <w:p w:rsidR="008059BE" w:rsidRPr="00311ECA" w:rsidRDefault="008059BE" w:rsidP="00681E45">
                  <w:pPr>
                    <w:spacing w:after="0"/>
                    <w:rPr>
                      <w:sz w:val="22"/>
                      <w:szCs w:val="22"/>
                      <w:lang w:val="en-GB"/>
                    </w:rPr>
                  </w:pPr>
                </w:p>
              </w:tc>
              <w:tc>
                <w:tcPr>
                  <w:tcW w:w="8169" w:type="dxa"/>
                </w:tcPr>
                <w:p w:rsidR="008059BE" w:rsidRPr="00311ECA" w:rsidRDefault="008059BE" w:rsidP="00681E45">
                  <w:pPr>
                    <w:spacing w:after="0"/>
                    <w:rPr>
                      <w:sz w:val="22"/>
                      <w:szCs w:val="22"/>
                      <w:lang w:val="en-GB"/>
                    </w:rPr>
                  </w:pPr>
                  <w:r w:rsidRPr="00311ECA">
                    <w:rPr>
                      <w:sz w:val="22"/>
                      <w:szCs w:val="22"/>
                      <w:lang w:val="en-GB"/>
                    </w:rPr>
                    <w:t>Yes</w:t>
                  </w:r>
                </w:p>
              </w:tc>
            </w:tr>
            <w:tr w:rsidR="008059BE" w:rsidRPr="00311ECA">
              <w:tc>
                <w:tcPr>
                  <w:tcW w:w="423" w:type="dxa"/>
                  <w:shd w:val="clear" w:color="auto" w:fill="FFFFFF"/>
                </w:tcPr>
                <w:p w:rsidR="008059BE" w:rsidRPr="00311ECA" w:rsidRDefault="008059BE" w:rsidP="00681E45">
                  <w:pPr>
                    <w:spacing w:after="0"/>
                    <w:rPr>
                      <w:sz w:val="22"/>
                      <w:szCs w:val="22"/>
                      <w:lang w:val="en-GB"/>
                    </w:rPr>
                  </w:pPr>
                </w:p>
              </w:tc>
              <w:tc>
                <w:tcPr>
                  <w:tcW w:w="8169" w:type="dxa"/>
                </w:tcPr>
                <w:p w:rsidR="008059BE" w:rsidRPr="00311ECA" w:rsidRDefault="008059BE" w:rsidP="00681E45">
                  <w:pPr>
                    <w:spacing w:after="0"/>
                    <w:rPr>
                      <w:sz w:val="22"/>
                      <w:szCs w:val="22"/>
                      <w:lang w:val="en-GB"/>
                    </w:rPr>
                  </w:pPr>
                  <w:r w:rsidRPr="00311ECA">
                    <w:rPr>
                      <w:sz w:val="22"/>
                      <w:szCs w:val="22"/>
                      <w:lang w:val="en-GB"/>
                    </w:rPr>
                    <w:t>Not so appropriate</w:t>
                  </w:r>
                </w:p>
              </w:tc>
            </w:tr>
            <w:tr w:rsidR="008059BE" w:rsidRPr="00311ECA">
              <w:tc>
                <w:tcPr>
                  <w:tcW w:w="423" w:type="dxa"/>
                  <w:shd w:val="clear" w:color="auto" w:fill="FFFFFF"/>
                </w:tcPr>
                <w:p w:rsidR="008059BE" w:rsidRPr="00311ECA" w:rsidRDefault="008059BE" w:rsidP="00681E45">
                  <w:pPr>
                    <w:spacing w:after="0"/>
                    <w:rPr>
                      <w:sz w:val="22"/>
                      <w:szCs w:val="22"/>
                      <w:lang w:val="en-GB"/>
                    </w:rPr>
                  </w:pPr>
                </w:p>
              </w:tc>
              <w:tc>
                <w:tcPr>
                  <w:tcW w:w="8169" w:type="dxa"/>
                </w:tcPr>
                <w:p w:rsidR="008059BE" w:rsidRPr="00311ECA" w:rsidRDefault="008059BE" w:rsidP="00681E45">
                  <w:pPr>
                    <w:spacing w:after="0"/>
                    <w:rPr>
                      <w:sz w:val="22"/>
                      <w:szCs w:val="22"/>
                      <w:lang w:val="en-GB"/>
                    </w:rPr>
                  </w:pPr>
                  <w:r w:rsidRPr="00311ECA">
                    <w:rPr>
                      <w:sz w:val="22"/>
                      <w:szCs w:val="22"/>
                      <w:lang w:val="en-GB"/>
                    </w:rPr>
                    <w:t>Not appropriate at all</w:t>
                  </w:r>
                </w:p>
              </w:tc>
            </w:tr>
          </w:tbl>
          <w:p w:rsidR="008059BE" w:rsidRDefault="008059BE" w:rsidP="00681E45">
            <w:pPr>
              <w:spacing w:after="0"/>
              <w:rPr>
                <w:sz w:val="22"/>
                <w:szCs w:val="22"/>
                <w:lang w:val="en-GB"/>
              </w:rPr>
            </w:pPr>
            <w:r>
              <w:rPr>
                <w:sz w:val="22"/>
                <w:szCs w:val="22"/>
                <w:lang w:val="en-GB"/>
              </w:rPr>
              <w:t xml:space="preserve"> </w:t>
            </w:r>
          </w:p>
          <w:p w:rsidR="008059BE" w:rsidRPr="00DB52FD" w:rsidRDefault="008059BE" w:rsidP="00681E45">
            <w:pPr>
              <w:spacing w:after="0"/>
              <w:rPr>
                <w:sz w:val="22"/>
                <w:szCs w:val="22"/>
                <w:lang w:val="en-GB"/>
              </w:rPr>
            </w:pPr>
            <w:r w:rsidRPr="00DB52FD">
              <w:rPr>
                <w:sz w:val="22"/>
                <w:szCs w:val="22"/>
                <w:lang w:val="en-GB"/>
              </w:rPr>
              <w:t>Please comment.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87"/>
            </w:tblGrid>
            <w:tr w:rsidR="008059BE" w:rsidRPr="00311ECA">
              <w:tc>
                <w:tcPr>
                  <w:tcW w:w="8587" w:type="dxa"/>
                  <w:shd w:val="clear" w:color="auto" w:fill="FFFFFF"/>
                </w:tcPr>
                <w:p w:rsidR="008059BE" w:rsidRPr="00311ECA" w:rsidRDefault="008059BE" w:rsidP="00681E45">
                  <w:pPr>
                    <w:spacing w:after="0"/>
                    <w:rPr>
                      <w:sz w:val="22"/>
                      <w:szCs w:val="22"/>
                      <w:lang w:val="en-GB"/>
                    </w:rPr>
                  </w:pPr>
                </w:p>
                <w:p w:rsidR="008059BE" w:rsidRPr="00311ECA" w:rsidRDefault="008059BE" w:rsidP="00681E45">
                  <w:pPr>
                    <w:spacing w:after="0"/>
                    <w:rPr>
                      <w:sz w:val="22"/>
                      <w:szCs w:val="22"/>
                      <w:lang w:val="en-GB"/>
                    </w:rPr>
                  </w:pPr>
                </w:p>
              </w:tc>
            </w:tr>
          </w:tbl>
          <w:p w:rsidR="008059BE" w:rsidRPr="00DB52FD" w:rsidRDefault="008059BE" w:rsidP="00681E45">
            <w:pPr>
              <w:spacing w:after="0"/>
              <w:rPr>
                <w:sz w:val="22"/>
                <w:szCs w:val="22"/>
                <w:lang w:val="en-GB"/>
              </w:rPr>
            </w:pPr>
            <w:r>
              <w:rPr>
                <w:sz w:val="22"/>
                <w:szCs w:val="22"/>
                <w:lang w:val="en-GB"/>
              </w:rPr>
              <w:t xml:space="preserve"> </w:t>
            </w:r>
          </w:p>
        </w:tc>
      </w:tr>
      <w:tr w:rsidR="008059BE" w:rsidRPr="00BD3886">
        <w:trPr>
          <w:cantSplit/>
        </w:trPr>
        <w:tc>
          <w:tcPr>
            <w:tcW w:w="423" w:type="dxa"/>
            <w:shd w:val="clear" w:color="auto" w:fill="F3F3F3"/>
          </w:tcPr>
          <w:p w:rsidR="008059BE" w:rsidRPr="009F2196" w:rsidRDefault="008059BE" w:rsidP="00681E45">
            <w:pPr>
              <w:spacing w:after="0"/>
              <w:rPr>
                <w:b/>
                <w:sz w:val="22"/>
                <w:szCs w:val="22"/>
                <w:lang w:val="en-GB"/>
              </w:rPr>
            </w:pPr>
            <w:r w:rsidRPr="009F2196">
              <w:rPr>
                <w:b/>
                <w:sz w:val="22"/>
                <w:szCs w:val="22"/>
                <w:lang w:val="en-GB"/>
              </w:rPr>
              <w:t>17</w:t>
            </w:r>
          </w:p>
        </w:tc>
        <w:tc>
          <w:tcPr>
            <w:tcW w:w="8818" w:type="dxa"/>
            <w:shd w:val="clear" w:color="auto" w:fill="F3F3F3"/>
          </w:tcPr>
          <w:p w:rsidR="008059BE" w:rsidRPr="00311ECA" w:rsidRDefault="008059BE" w:rsidP="00681E45">
            <w:pPr>
              <w:spacing w:after="0"/>
              <w:rPr>
                <w:b/>
                <w:sz w:val="22"/>
                <w:szCs w:val="22"/>
                <w:lang w:val="en-GB"/>
              </w:rPr>
            </w:pPr>
            <w:r w:rsidRPr="00311ECA">
              <w:rPr>
                <w:b/>
                <w:sz w:val="22"/>
                <w:szCs w:val="22"/>
                <w:lang w:val="en-GB"/>
              </w:rPr>
              <w:t>Should there be any change in the future focus of the Codex Trust Fund? In terms of strategy? In terms of activities?</w:t>
            </w:r>
          </w:p>
          <w:p w:rsidR="008059BE" w:rsidRPr="00DB52FD" w:rsidRDefault="008059BE" w:rsidP="00681E45">
            <w:pPr>
              <w:spacing w:after="0"/>
              <w:rPr>
                <w:sz w:val="22"/>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87"/>
            </w:tblGrid>
            <w:tr w:rsidR="008059BE" w:rsidRPr="00311ECA">
              <w:tc>
                <w:tcPr>
                  <w:tcW w:w="8587" w:type="dxa"/>
                  <w:shd w:val="clear" w:color="auto" w:fill="FFFFFF"/>
                </w:tcPr>
                <w:p w:rsidR="008059BE" w:rsidRPr="00311ECA" w:rsidRDefault="008059BE" w:rsidP="00681E45">
                  <w:pPr>
                    <w:spacing w:after="0"/>
                    <w:rPr>
                      <w:sz w:val="22"/>
                      <w:szCs w:val="22"/>
                      <w:lang w:val="en-GB"/>
                    </w:rPr>
                  </w:pPr>
                </w:p>
                <w:p w:rsidR="008059BE" w:rsidRPr="00311ECA" w:rsidRDefault="008059BE" w:rsidP="00681E45">
                  <w:pPr>
                    <w:spacing w:after="0"/>
                    <w:rPr>
                      <w:sz w:val="22"/>
                      <w:szCs w:val="22"/>
                      <w:lang w:val="en-GB"/>
                    </w:rPr>
                  </w:pPr>
                </w:p>
              </w:tc>
            </w:tr>
          </w:tbl>
          <w:p w:rsidR="008059BE" w:rsidRPr="00DB52FD" w:rsidRDefault="008059BE" w:rsidP="00681E45">
            <w:pPr>
              <w:spacing w:after="0"/>
              <w:rPr>
                <w:sz w:val="22"/>
                <w:szCs w:val="22"/>
                <w:lang w:val="en-GB"/>
              </w:rPr>
            </w:pPr>
            <w:r>
              <w:rPr>
                <w:sz w:val="22"/>
                <w:szCs w:val="22"/>
                <w:lang w:val="en-GB"/>
              </w:rPr>
              <w:t xml:space="preserve"> </w:t>
            </w:r>
          </w:p>
        </w:tc>
      </w:tr>
      <w:tr w:rsidR="008059BE" w:rsidRPr="00BD3886">
        <w:trPr>
          <w:cantSplit/>
        </w:trPr>
        <w:tc>
          <w:tcPr>
            <w:tcW w:w="423" w:type="dxa"/>
            <w:shd w:val="clear" w:color="auto" w:fill="F3F3F3"/>
          </w:tcPr>
          <w:p w:rsidR="008059BE" w:rsidRPr="009F2196" w:rsidRDefault="008059BE" w:rsidP="00681E45">
            <w:pPr>
              <w:spacing w:after="0"/>
              <w:rPr>
                <w:b/>
                <w:sz w:val="22"/>
                <w:szCs w:val="22"/>
                <w:lang w:val="en-GB"/>
              </w:rPr>
            </w:pPr>
            <w:r w:rsidRPr="009F2196">
              <w:rPr>
                <w:b/>
                <w:sz w:val="22"/>
                <w:szCs w:val="22"/>
                <w:lang w:val="en-GB"/>
              </w:rPr>
              <w:t>18</w:t>
            </w:r>
          </w:p>
        </w:tc>
        <w:tc>
          <w:tcPr>
            <w:tcW w:w="8818" w:type="dxa"/>
            <w:shd w:val="clear" w:color="auto" w:fill="F3F3F3"/>
          </w:tcPr>
          <w:p w:rsidR="008059BE" w:rsidRPr="00311ECA" w:rsidRDefault="008059BE" w:rsidP="00681E45">
            <w:pPr>
              <w:spacing w:after="0"/>
              <w:rPr>
                <w:b/>
                <w:sz w:val="22"/>
                <w:szCs w:val="22"/>
                <w:lang w:val="en-GB"/>
              </w:rPr>
            </w:pPr>
            <w:r w:rsidRPr="00311ECA">
              <w:rPr>
                <w:b/>
                <w:sz w:val="22"/>
                <w:szCs w:val="22"/>
                <w:lang w:val="en-GB"/>
              </w:rPr>
              <w:t>What role do you see the Codex Trust Fund playing in Codex training and/or capacity-building?</w:t>
            </w:r>
          </w:p>
          <w:p w:rsidR="008059BE" w:rsidRPr="00DB52FD" w:rsidRDefault="008059BE" w:rsidP="00681E45">
            <w:pPr>
              <w:spacing w:after="0"/>
              <w:rPr>
                <w:sz w:val="22"/>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87"/>
            </w:tblGrid>
            <w:tr w:rsidR="008059BE" w:rsidRPr="00311ECA">
              <w:tc>
                <w:tcPr>
                  <w:tcW w:w="8587" w:type="dxa"/>
                  <w:shd w:val="clear" w:color="auto" w:fill="FFFFFF"/>
                </w:tcPr>
                <w:p w:rsidR="008059BE" w:rsidRPr="00311ECA" w:rsidRDefault="008059BE" w:rsidP="00681E45">
                  <w:pPr>
                    <w:spacing w:after="0"/>
                    <w:rPr>
                      <w:sz w:val="22"/>
                      <w:szCs w:val="22"/>
                      <w:lang w:val="en-GB"/>
                    </w:rPr>
                  </w:pPr>
                </w:p>
                <w:p w:rsidR="008059BE" w:rsidRPr="00311ECA" w:rsidRDefault="008059BE" w:rsidP="00681E45">
                  <w:pPr>
                    <w:spacing w:after="0"/>
                    <w:rPr>
                      <w:sz w:val="22"/>
                      <w:szCs w:val="22"/>
                      <w:lang w:val="en-GB"/>
                    </w:rPr>
                  </w:pPr>
                </w:p>
              </w:tc>
            </w:tr>
          </w:tbl>
          <w:p w:rsidR="008059BE" w:rsidRPr="00DB52FD" w:rsidRDefault="008059BE" w:rsidP="00681E45">
            <w:pPr>
              <w:spacing w:after="0"/>
              <w:rPr>
                <w:sz w:val="22"/>
                <w:szCs w:val="22"/>
                <w:lang w:val="en-GB"/>
              </w:rPr>
            </w:pPr>
            <w:r>
              <w:rPr>
                <w:sz w:val="22"/>
                <w:szCs w:val="22"/>
                <w:lang w:val="en-GB"/>
              </w:rPr>
              <w:t xml:space="preserve"> </w:t>
            </w:r>
          </w:p>
        </w:tc>
      </w:tr>
      <w:tr w:rsidR="008059BE" w:rsidRPr="00BD3886">
        <w:trPr>
          <w:cantSplit/>
        </w:trPr>
        <w:tc>
          <w:tcPr>
            <w:tcW w:w="423" w:type="dxa"/>
            <w:shd w:val="clear" w:color="auto" w:fill="F3F3F3"/>
          </w:tcPr>
          <w:p w:rsidR="008059BE" w:rsidRPr="009F2196" w:rsidRDefault="008059BE" w:rsidP="00681E45">
            <w:pPr>
              <w:spacing w:after="0"/>
              <w:rPr>
                <w:b/>
                <w:sz w:val="22"/>
                <w:szCs w:val="22"/>
                <w:lang w:val="en-GB"/>
              </w:rPr>
            </w:pPr>
            <w:r w:rsidRPr="009F2196">
              <w:rPr>
                <w:b/>
                <w:sz w:val="22"/>
                <w:szCs w:val="22"/>
                <w:lang w:val="en-GB"/>
              </w:rPr>
              <w:t>19</w:t>
            </w:r>
          </w:p>
        </w:tc>
        <w:tc>
          <w:tcPr>
            <w:tcW w:w="8818" w:type="dxa"/>
            <w:shd w:val="clear" w:color="auto" w:fill="F3F3F3"/>
          </w:tcPr>
          <w:p w:rsidR="008059BE" w:rsidRDefault="008059BE" w:rsidP="00681E45">
            <w:pPr>
              <w:spacing w:after="0"/>
              <w:rPr>
                <w:b/>
                <w:sz w:val="22"/>
                <w:szCs w:val="22"/>
                <w:lang w:val="en-GB"/>
              </w:rPr>
            </w:pPr>
            <w:r w:rsidRPr="00311ECA">
              <w:rPr>
                <w:b/>
                <w:sz w:val="22"/>
                <w:szCs w:val="22"/>
                <w:lang w:val="en-GB"/>
              </w:rPr>
              <w:t xml:space="preserve">Has your country benefitted from Codex training and/or capacity-building?  </w:t>
            </w:r>
          </w:p>
          <w:p w:rsidR="008059BE" w:rsidRDefault="008059BE" w:rsidP="00681E45">
            <w:pPr>
              <w:spacing w:after="0"/>
              <w:rPr>
                <w:b/>
                <w:sz w:val="22"/>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3"/>
              <w:gridCol w:w="8169"/>
            </w:tblGrid>
            <w:tr w:rsidR="008059BE" w:rsidRPr="00311ECA">
              <w:tc>
                <w:tcPr>
                  <w:tcW w:w="423" w:type="dxa"/>
                  <w:shd w:val="clear" w:color="auto" w:fill="FFFFFF"/>
                </w:tcPr>
                <w:p w:rsidR="008059BE" w:rsidRPr="00311ECA" w:rsidRDefault="008059BE" w:rsidP="00681E45">
                  <w:pPr>
                    <w:spacing w:after="0"/>
                    <w:rPr>
                      <w:sz w:val="22"/>
                      <w:szCs w:val="22"/>
                      <w:lang w:val="en-GB"/>
                    </w:rPr>
                  </w:pPr>
                  <w:r>
                    <w:rPr>
                      <w:sz w:val="22"/>
                      <w:szCs w:val="22"/>
                      <w:lang w:val="en-GB"/>
                    </w:rPr>
                    <w:t xml:space="preserve"> </w:t>
                  </w:r>
                </w:p>
              </w:tc>
              <w:tc>
                <w:tcPr>
                  <w:tcW w:w="8169" w:type="dxa"/>
                </w:tcPr>
                <w:p w:rsidR="008059BE" w:rsidRPr="00311ECA" w:rsidRDefault="008059BE" w:rsidP="00681E45">
                  <w:pPr>
                    <w:spacing w:after="0"/>
                    <w:rPr>
                      <w:sz w:val="22"/>
                      <w:szCs w:val="22"/>
                      <w:lang w:val="en-GB"/>
                    </w:rPr>
                  </w:pPr>
                  <w:r>
                    <w:rPr>
                      <w:sz w:val="22"/>
                      <w:szCs w:val="22"/>
                      <w:lang w:val="en-GB"/>
                    </w:rPr>
                    <w:t>Yes</w:t>
                  </w:r>
                </w:p>
              </w:tc>
            </w:tr>
            <w:tr w:rsidR="008059BE" w:rsidRPr="00311ECA">
              <w:tc>
                <w:tcPr>
                  <w:tcW w:w="423" w:type="dxa"/>
                  <w:shd w:val="clear" w:color="auto" w:fill="FFFFFF"/>
                </w:tcPr>
                <w:p w:rsidR="008059BE" w:rsidRPr="00311ECA" w:rsidRDefault="008059BE" w:rsidP="00681E45">
                  <w:pPr>
                    <w:spacing w:after="0"/>
                    <w:rPr>
                      <w:sz w:val="22"/>
                      <w:szCs w:val="22"/>
                      <w:lang w:val="en-GB"/>
                    </w:rPr>
                  </w:pPr>
                </w:p>
              </w:tc>
              <w:tc>
                <w:tcPr>
                  <w:tcW w:w="8169" w:type="dxa"/>
                </w:tcPr>
                <w:p w:rsidR="008059BE" w:rsidRPr="00311ECA" w:rsidRDefault="008059BE" w:rsidP="00681E45">
                  <w:pPr>
                    <w:spacing w:after="0"/>
                    <w:rPr>
                      <w:sz w:val="22"/>
                      <w:szCs w:val="22"/>
                      <w:lang w:val="en-GB"/>
                    </w:rPr>
                  </w:pPr>
                  <w:r>
                    <w:rPr>
                      <w:sz w:val="22"/>
                      <w:szCs w:val="22"/>
                      <w:lang w:val="en-GB"/>
                    </w:rPr>
                    <w:t>No</w:t>
                  </w:r>
                  <w:r w:rsidRPr="00311ECA">
                    <w:rPr>
                      <w:sz w:val="22"/>
                      <w:szCs w:val="22"/>
                      <w:lang w:val="en-GB"/>
                    </w:rPr>
                    <w:t xml:space="preserve">       </w:t>
                  </w:r>
                </w:p>
              </w:tc>
            </w:tr>
          </w:tbl>
          <w:p w:rsidR="008059BE" w:rsidRDefault="008059BE" w:rsidP="00681E45">
            <w:pPr>
              <w:spacing w:after="0"/>
              <w:rPr>
                <w:b/>
                <w:sz w:val="22"/>
                <w:szCs w:val="22"/>
                <w:lang w:val="en-GB"/>
              </w:rPr>
            </w:pPr>
          </w:p>
          <w:p w:rsidR="008059BE" w:rsidRPr="0024303C" w:rsidRDefault="008059BE" w:rsidP="00681E45">
            <w:pPr>
              <w:spacing w:after="0"/>
              <w:rPr>
                <w:sz w:val="22"/>
                <w:szCs w:val="22"/>
                <w:lang w:val="en-GB"/>
              </w:rPr>
            </w:pPr>
            <w:r w:rsidRPr="0024303C">
              <w:rPr>
                <w:sz w:val="22"/>
                <w:szCs w:val="22"/>
                <w:lang w:val="en-GB"/>
              </w:rPr>
              <w:t>If yes, what?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87"/>
            </w:tblGrid>
            <w:tr w:rsidR="008059BE" w:rsidRPr="00311ECA">
              <w:tc>
                <w:tcPr>
                  <w:tcW w:w="8587" w:type="dxa"/>
                  <w:shd w:val="clear" w:color="auto" w:fill="FFFFFF"/>
                </w:tcPr>
                <w:p w:rsidR="008059BE" w:rsidRPr="00311ECA" w:rsidRDefault="008059BE" w:rsidP="00681E45">
                  <w:pPr>
                    <w:spacing w:after="0"/>
                    <w:rPr>
                      <w:sz w:val="22"/>
                      <w:szCs w:val="22"/>
                      <w:lang w:val="en-GB"/>
                    </w:rPr>
                  </w:pPr>
                </w:p>
                <w:p w:rsidR="008059BE" w:rsidRPr="00311ECA" w:rsidRDefault="008059BE" w:rsidP="00681E45">
                  <w:pPr>
                    <w:spacing w:after="0"/>
                    <w:rPr>
                      <w:sz w:val="22"/>
                      <w:szCs w:val="22"/>
                      <w:lang w:val="en-GB"/>
                    </w:rPr>
                  </w:pPr>
                </w:p>
              </w:tc>
            </w:tr>
          </w:tbl>
          <w:p w:rsidR="008059BE" w:rsidRPr="00DB52FD" w:rsidDel="00F742E1" w:rsidRDefault="008059BE" w:rsidP="00681E45">
            <w:pPr>
              <w:spacing w:after="0"/>
              <w:rPr>
                <w:sz w:val="22"/>
                <w:szCs w:val="22"/>
                <w:lang w:val="en-GB"/>
              </w:rPr>
            </w:pPr>
            <w:r>
              <w:rPr>
                <w:sz w:val="22"/>
                <w:szCs w:val="22"/>
                <w:lang w:val="en-GB"/>
              </w:rPr>
              <w:t xml:space="preserve"> </w:t>
            </w:r>
          </w:p>
        </w:tc>
      </w:tr>
      <w:tr w:rsidR="008059BE" w:rsidRPr="00BD3886">
        <w:trPr>
          <w:cantSplit/>
        </w:trPr>
        <w:tc>
          <w:tcPr>
            <w:tcW w:w="423" w:type="dxa"/>
            <w:shd w:val="clear" w:color="auto" w:fill="F3F3F3"/>
          </w:tcPr>
          <w:p w:rsidR="008059BE" w:rsidRPr="009F2196" w:rsidRDefault="008059BE" w:rsidP="00681E45">
            <w:pPr>
              <w:spacing w:after="0"/>
              <w:rPr>
                <w:b/>
                <w:sz w:val="22"/>
                <w:szCs w:val="22"/>
                <w:lang w:val="en-GB"/>
              </w:rPr>
            </w:pPr>
            <w:r w:rsidRPr="009F2196">
              <w:rPr>
                <w:b/>
                <w:sz w:val="22"/>
                <w:szCs w:val="22"/>
                <w:lang w:val="en-GB"/>
              </w:rPr>
              <w:t>20</w:t>
            </w:r>
          </w:p>
        </w:tc>
        <w:tc>
          <w:tcPr>
            <w:tcW w:w="8818" w:type="dxa"/>
            <w:shd w:val="clear" w:color="auto" w:fill="F3F3F3"/>
          </w:tcPr>
          <w:p w:rsidR="008059BE" w:rsidRPr="00311ECA" w:rsidRDefault="008059BE" w:rsidP="00681E45">
            <w:pPr>
              <w:spacing w:after="0"/>
              <w:rPr>
                <w:b/>
                <w:sz w:val="22"/>
                <w:szCs w:val="22"/>
                <w:lang w:val="en-GB"/>
              </w:rPr>
            </w:pPr>
            <w:r w:rsidRPr="00311ECA">
              <w:rPr>
                <w:b/>
                <w:sz w:val="22"/>
                <w:szCs w:val="22"/>
                <w:lang w:val="en-GB"/>
              </w:rPr>
              <w:t>How would you rate the performance of the Codex Trust Fund secretariat?</w:t>
            </w:r>
            <w:r>
              <w:rPr>
                <w:b/>
                <w:sz w:val="22"/>
                <w:szCs w:val="22"/>
                <w:lang w:val="en-GB"/>
              </w:rPr>
              <w:t xml:space="preserve"> </w:t>
            </w:r>
            <w:r w:rsidRPr="00DB5D59">
              <w:rPr>
                <w:sz w:val="22"/>
                <w:szCs w:val="22"/>
                <w:lang w:val="en-GB"/>
              </w:rPr>
              <w:t>(Tick one)</w:t>
            </w:r>
          </w:p>
          <w:p w:rsidR="008059BE" w:rsidRPr="00DB52FD" w:rsidRDefault="008059BE" w:rsidP="00681E45">
            <w:pPr>
              <w:spacing w:after="0"/>
              <w:rPr>
                <w:sz w:val="22"/>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3"/>
              <w:gridCol w:w="8169"/>
            </w:tblGrid>
            <w:tr w:rsidR="008059BE" w:rsidRPr="00311ECA">
              <w:tc>
                <w:tcPr>
                  <w:tcW w:w="423" w:type="dxa"/>
                  <w:shd w:val="clear" w:color="auto" w:fill="FFFFFF"/>
                </w:tcPr>
                <w:p w:rsidR="008059BE" w:rsidRPr="00311ECA" w:rsidRDefault="008059BE" w:rsidP="00681E45">
                  <w:pPr>
                    <w:spacing w:after="0"/>
                    <w:rPr>
                      <w:sz w:val="22"/>
                      <w:szCs w:val="22"/>
                      <w:lang w:val="en-GB"/>
                    </w:rPr>
                  </w:pPr>
                </w:p>
              </w:tc>
              <w:tc>
                <w:tcPr>
                  <w:tcW w:w="8169" w:type="dxa"/>
                </w:tcPr>
                <w:p w:rsidR="008059BE" w:rsidRPr="00311ECA" w:rsidRDefault="008059BE" w:rsidP="00681E45">
                  <w:pPr>
                    <w:spacing w:after="0"/>
                    <w:rPr>
                      <w:sz w:val="22"/>
                      <w:szCs w:val="22"/>
                      <w:lang w:val="en-GB"/>
                    </w:rPr>
                  </w:pPr>
                  <w:r w:rsidRPr="00311ECA">
                    <w:rPr>
                      <w:sz w:val="22"/>
                      <w:szCs w:val="22"/>
                      <w:lang w:val="en-GB"/>
                    </w:rPr>
                    <w:t xml:space="preserve">Very </w:t>
                  </w:r>
                  <w:r>
                    <w:rPr>
                      <w:sz w:val="22"/>
                      <w:szCs w:val="22"/>
                      <w:lang w:val="en-GB"/>
                    </w:rPr>
                    <w:t>good</w:t>
                  </w:r>
                  <w:r w:rsidRPr="00311ECA">
                    <w:rPr>
                      <w:sz w:val="22"/>
                      <w:szCs w:val="22"/>
                      <w:lang w:val="en-GB"/>
                    </w:rPr>
                    <w:t xml:space="preserve">      </w:t>
                  </w:r>
                </w:p>
              </w:tc>
            </w:tr>
            <w:tr w:rsidR="008059BE" w:rsidRPr="00311ECA">
              <w:tc>
                <w:tcPr>
                  <w:tcW w:w="423" w:type="dxa"/>
                  <w:shd w:val="clear" w:color="auto" w:fill="FFFFFF"/>
                </w:tcPr>
                <w:p w:rsidR="008059BE" w:rsidRPr="00311ECA" w:rsidRDefault="008059BE" w:rsidP="00681E45">
                  <w:pPr>
                    <w:spacing w:after="0"/>
                    <w:rPr>
                      <w:sz w:val="22"/>
                      <w:szCs w:val="22"/>
                      <w:lang w:val="en-GB"/>
                    </w:rPr>
                  </w:pPr>
                </w:p>
              </w:tc>
              <w:tc>
                <w:tcPr>
                  <w:tcW w:w="8169" w:type="dxa"/>
                </w:tcPr>
                <w:p w:rsidR="008059BE" w:rsidRPr="00311ECA" w:rsidRDefault="008059BE" w:rsidP="00681E45">
                  <w:pPr>
                    <w:spacing w:after="0"/>
                    <w:rPr>
                      <w:sz w:val="22"/>
                      <w:szCs w:val="22"/>
                      <w:lang w:val="en-GB"/>
                    </w:rPr>
                  </w:pPr>
                  <w:r w:rsidRPr="00311ECA">
                    <w:rPr>
                      <w:sz w:val="22"/>
                      <w:szCs w:val="22"/>
                      <w:lang w:val="en-GB"/>
                    </w:rPr>
                    <w:t xml:space="preserve">Good       </w:t>
                  </w:r>
                </w:p>
              </w:tc>
            </w:tr>
            <w:tr w:rsidR="008059BE" w:rsidRPr="00311ECA">
              <w:tc>
                <w:tcPr>
                  <w:tcW w:w="423" w:type="dxa"/>
                  <w:shd w:val="clear" w:color="auto" w:fill="FFFFFF"/>
                </w:tcPr>
                <w:p w:rsidR="008059BE" w:rsidRPr="00311ECA" w:rsidRDefault="008059BE" w:rsidP="00681E45">
                  <w:pPr>
                    <w:spacing w:after="0"/>
                    <w:rPr>
                      <w:sz w:val="22"/>
                      <w:szCs w:val="22"/>
                      <w:lang w:val="en-GB"/>
                    </w:rPr>
                  </w:pPr>
                </w:p>
              </w:tc>
              <w:tc>
                <w:tcPr>
                  <w:tcW w:w="8169" w:type="dxa"/>
                </w:tcPr>
                <w:p w:rsidR="008059BE" w:rsidRPr="00311ECA" w:rsidRDefault="008059BE" w:rsidP="00681E45">
                  <w:pPr>
                    <w:spacing w:after="0"/>
                    <w:rPr>
                      <w:sz w:val="22"/>
                      <w:szCs w:val="22"/>
                      <w:lang w:val="en-GB"/>
                    </w:rPr>
                  </w:pPr>
                  <w:r w:rsidRPr="00311ECA">
                    <w:rPr>
                      <w:sz w:val="22"/>
                      <w:szCs w:val="22"/>
                      <w:lang w:val="en-GB"/>
                    </w:rPr>
                    <w:t xml:space="preserve">Average      </w:t>
                  </w:r>
                </w:p>
              </w:tc>
            </w:tr>
            <w:tr w:rsidR="008059BE" w:rsidRPr="00311ECA">
              <w:tc>
                <w:tcPr>
                  <w:tcW w:w="423" w:type="dxa"/>
                  <w:shd w:val="clear" w:color="auto" w:fill="FFFFFF"/>
                </w:tcPr>
                <w:p w:rsidR="008059BE" w:rsidRPr="00311ECA" w:rsidRDefault="008059BE" w:rsidP="00681E45">
                  <w:pPr>
                    <w:spacing w:after="0"/>
                    <w:rPr>
                      <w:sz w:val="22"/>
                      <w:szCs w:val="22"/>
                      <w:lang w:val="en-GB"/>
                    </w:rPr>
                  </w:pPr>
                </w:p>
              </w:tc>
              <w:tc>
                <w:tcPr>
                  <w:tcW w:w="8169" w:type="dxa"/>
                </w:tcPr>
                <w:p w:rsidR="008059BE" w:rsidRPr="00311ECA" w:rsidRDefault="008059BE" w:rsidP="00681E45">
                  <w:pPr>
                    <w:spacing w:after="0"/>
                    <w:rPr>
                      <w:sz w:val="22"/>
                      <w:szCs w:val="22"/>
                      <w:lang w:val="en-GB"/>
                    </w:rPr>
                  </w:pPr>
                  <w:r w:rsidRPr="00311ECA">
                    <w:rPr>
                      <w:sz w:val="22"/>
                      <w:szCs w:val="22"/>
                      <w:lang w:val="en-GB"/>
                    </w:rPr>
                    <w:t xml:space="preserve">Not so good       </w:t>
                  </w:r>
                </w:p>
              </w:tc>
            </w:tr>
            <w:tr w:rsidR="008059BE" w:rsidRPr="00311ECA">
              <w:tc>
                <w:tcPr>
                  <w:tcW w:w="423" w:type="dxa"/>
                  <w:shd w:val="clear" w:color="auto" w:fill="FFFFFF"/>
                </w:tcPr>
                <w:p w:rsidR="008059BE" w:rsidRPr="00311ECA" w:rsidRDefault="008059BE" w:rsidP="00681E45">
                  <w:pPr>
                    <w:spacing w:after="0"/>
                    <w:rPr>
                      <w:sz w:val="22"/>
                      <w:szCs w:val="22"/>
                      <w:lang w:val="en-GB"/>
                    </w:rPr>
                  </w:pPr>
                </w:p>
              </w:tc>
              <w:tc>
                <w:tcPr>
                  <w:tcW w:w="8169" w:type="dxa"/>
                </w:tcPr>
                <w:p w:rsidR="008059BE" w:rsidRPr="00311ECA" w:rsidRDefault="008059BE" w:rsidP="00681E45">
                  <w:pPr>
                    <w:spacing w:after="0"/>
                    <w:rPr>
                      <w:sz w:val="22"/>
                      <w:szCs w:val="22"/>
                      <w:lang w:val="en-GB"/>
                    </w:rPr>
                  </w:pPr>
                  <w:r w:rsidRPr="00311ECA">
                    <w:rPr>
                      <w:sz w:val="22"/>
                      <w:szCs w:val="22"/>
                      <w:lang w:val="en-GB"/>
                    </w:rPr>
                    <w:t>Bad</w:t>
                  </w:r>
                </w:p>
              </w:tc>
            </w:tr>
          </w:tbl>
          <w:p w:rsidR="008059BE" w:rsidRPr="00DB52FD" w:rsidRDefault="008059BE" w:rsidP="00681E45">
            <w:pPr>
              <w:spacing w:after="0"/>
              <w:rPr>
                <w:sz w:val="22"/>
                <w:szCs w:val="22"/>
                <w:lang w:val="en-GB"/>
              </w:rPr>
            </w:pPr>
            <w:r>
              <w:rPr>
                <w:sz w:val="22"/>
                <w:szCs w:val="22"/>
                <w:lang w:val="en-GB"/>
              </w:rPr>
              <w:t xml:space="preserve"> </w:t>
            </w:r>
          </w:p>
        </w:tc>
      </w:tr>
      <w:tr w:rsidR="008059BE" w:rsidRPr="00BD3886">
        <w:trPr>
          <w:cantSplit/>
        </w:trPr>
        <w:tc>
          <w:tcPr>
            <w:tcW w:w="423" w:type="dxa"/>
            <w:shd w:val="clear" w:color="auto" w:fill="F3F3F3"/>
          </w:tcPr>
          <w:p w:rsidR="008059BE" w:rsidRPr="009F2196" w:rsidRDefault="008059BE" w:rsidP="00681E45">
            <w:pPr>
              <w:spacing w:after="0"/>
              <w:rPr>
                <w:b/>
                <w:sz w:val="22"/>
                <w:szCs w:val="22"/>
                <w:lang w:val="en-GB"/>
              </w:rPr>
            </w:pPr>
            <w:r w:rsidRPr="009F2196">
              <w:rPr>
                <w:b/>
                <w:sz w:val="22"/>
                <w:szCs w:val="22"/>
                <w:lang w:val="en-GB"/>
              </w:rPr>
              <w:t>21</w:t>
            </w:r>
          </w:p>
        </w:tc>
        <w:tc>
          <w:tcPr>
            <w:tcW w:w="8818" w:type="dxa"/>
            <w:shd w:val="clear" w:color="auto" w:fill="F3F3F3"/>
          </w:tcPr>
          <w:p w:rsidR="008059BE" w:rsidRPr="00311ECA" w:rsidRDefault="008059BE" w:rsidP="00681E45">
            <w:pPr>
              <w:spacing w:after="0"/>
              <w:rPr>
                <w:b/>
                <w:sz w:val="22"/>
                <w:szCs w:val="22"/>
                <w:lang w:val="en-GB"/>
              </w:rPr>
            </w:pPr>
            <w:r>
              <w:rPr>
                <w:b/>
                <w:sz w:val="22"/>
                <w:szCs w:val="22"/>
                <w:lang w:val="en-GB"/>
              </w:rPr>
              <w:t>Do</w:t>
            </w:r>
            <w:r w:rsidRPr="00311ECA">
              <w:rPr>
                <w:b/>
                <w:sz w:val="22"/>
                <w:szCs w:val="22"/>
                <w:lang w:val="en-GB"/>
              </w:rPr>
              <w:t xml:space="preserve"> you have other comments or suggestions?</w:t>
            </w:r>
          </w:p>
          <w:p w:rsidR="008059BE" w:rsidRPr="00DB52FD" w:rsidRDefault="008059BE" w:rsidP="00681E45">
            <w:pPr>
              <w:spacing w:after="0"/>
              <w:rPr>
                <w:sz w:val="22"/>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87"/>
            </w:tblGrid>
            <w:tr w:rsidR="008059BE" w:rsidRPr="00311ECA">
              <w:tc>
                <w:tcPr>
                  <w:tcW w:w="8587" w:type="dxa"/>
                  <w:shd w:val="clear" w:color="auto" w:fill="FFFFFF"/>
                </w:tcPr>
                <w:p w:rsidR="008059BE" w:rsidRPr="00311ECA" w:rsidRDefault="008059BE" w:rsidP="00681E45">
                  <w:pPr>
                    <w:spacing w:after="0"/>
                    <w:rPr>
                      <w:sz w:val="22"/>
                      <w:szCs w:val="22"/>
                      <w:lang w:val="en-GB"/>
                    </w:rPr>
                  </w:pPr>
                </w:p>
                <w:p w:rsidR="008059BE" w:rsidRPr="00311ECA" w:rsidRDefault="008059BE" w:rsidP="00681E45">
                  <w:pPr>
                    <w:spacing w:after="0"/>
                    <w:rPr>
                      <w:sz w:val="22"/>
                      <w:szCs w:val="22"/>
                      <w:lang w:val="en-GB"/>
                    </w:rPr>
                  </w:pPr>
                </w:p>
                <w:p w:rsidR="008059BE" w:rsidRPr="00311ECA" w:rsidRDefault="008059BE" w:rsidP="00681E45">
                  <w:pPr>
                    <w:spacing w:after="0"/>
                    <w:rPr>
                      <w:sz w:val="22"/>
                      <w:szCs w:val="22"/>
                      <w:lang w:val="en-GB"/>
                    </w:rPr>
                  </w:pPr>
                </w:p>
              </w:tc>
            </w:tr>
          </w:tbl>
          <w:p w:rsidR="008059BE" w:rsidRPr="00DB52FD" w:rsidRDefault="008059BE" w:rsidP="00681E45">
            <w:pPr>
              <w:spacing w:after="0"/>
              <w:rPr>
                <w:sz w:val="22"/>
                <w:szCs w:val="22"/>
                <w:lang w:val="en-GB"/>
              </w:rPr>
            </w:pPr>
            <w:r>
              <w:rPr>
                <w:sz w:val="22"/>
                <w:szCs w:val="22"/>
                <w:lang w:val="en-GB"/>
              </w:rPr>
              <w:t xml:space="preserve"> </w:t>
            </w:r>
          </w:p>
        </w:tc>
      </w:tr>
    </w:tbl>
    <w:p w:rsidR="008059BE" w:rsidRDefault="008059BE" w:rsidP="008059BE">
      <w:pPr>
        <w:rPr>
          <w:lang w:val="en-GB"/>
        </w:rPr>
      </w:pPr>
    </w:p>
    <w:p w:rsidR="008059BE" w:rsidRPr="008059BE" w:rsidRDefault="008059BE" w:rsidP="00FF23A7">
      <w:pPr>
        <w:spacing w:after="0"/>
        <w:rPr>
          <w:lang w:val="en-GB"/>
        </w:rPr>
      </w:pPr>
    </w:p>
    <w:sectPr w:rsidR="008059BE" w:rsidRPr="008059BE" w:rsidSect="008E438D">
      <w:type w:val="continuous"/>
      <w:pgSz w:w="11900" w:h="16840"/>
      <w:pgMar w:top="1418" w:right="1418" w:bottom="1418" w:left="1418" w:header="709"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62DC" w:rsidRDefault="007B62DC" w:rsidP="008765DE">
      <w:pPr>
        <w:spacing w:after="0"/>
      </w:pPr>
      <w:r>
        <w:separator/>
      </w:r>
    </w:p>
  </w:endnote>
  <w:endnote w:type="continuationSeparator" w:id="0">
    <w:p w:rsidR="007B62DC" w:rsidRDefault="007B62DC" w:rsidP="008765D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atangChe">
    <w:panose1 w:val="02030609000101010101"/>
    <w:charset w:val="81"/>
    <w:family w:val="modern"/>
    <w:pitch w:val="fixed"/>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Lucida Grande">
    <w:charset w:val="00"/>
    <w:family w:val="auto"/>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5C62" w:rsidRDefault="00AE227F" w:rsidP="0077653F">
    <w:pPr>
      <w:pStyle w:val="Footer"/>
      <w:framePr w:wrap="around" w:vAnchor="text" w:hAnchor="margin" w:xAlign="center" w:y="1"/>
      <w:rPr>
        <w:rStyle w:val="PageNumber"/>
      </w:rPr>
    </w:pPr>
    <w:r>
      <w:rPr>
        <w:rStyle w:val="PageNumber"/>
      </w:rPr>
      <w:fldChar w:fldCharType="begin"/>
    </w:r>
    <w:r w:rsidR="00B75C62">
      <w:rPr>
        <w:rStyle w:val="PageNumber"/>
      </w:rPr>
      <w:instrText xml:space="preserve">PAGE  </w:instrText>
    </w:r>
    <w:r>
      <w:rPr>
        <w:rStyle w:val="PageNumber"/>
      </w:rPr>
      <w:fldChar w:fldCharType="end"/>
    </w:r>
  </w:p>
  <w:p w:rsidR="00B75C62" w:rsidRDefault="00B75C6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5C62" w:rsidRDefault="00AE227F" w:rsidP="0077653F">
    <w:pPr>
      <w:pStyle w:val="Footer"/>
      <w:framePr w:wrap="around" w:vAnchor="text" w:hAnchor="margin" w:xAlign="center" w:y="1"/>
      <w:rPr>
        <w:rStyle w:val="PageNumber"/>
      </w:rPr>
    </w:pPr>
    <w:r>
      <w:rPr>
        <w:rStyle w:val="PageNumber"/>
      </w:rPr>
      <w:fldChar w:fldCharType="begin"/>
    </w:r>
    <w:r w:rsidR="00B75C62">
      <w:rPr>
        <w:rStyle w:val="PageNumber"/>
      </w:rPr>
      <w:instrText xml:space="preserve">PAGE  </w:instrText>
    </w:r>
    <w:r>
      <w:rPr>
        <w:rStyle w:val="PageNumber"/>
      </w:rPr>
      <w:fldChar w:fldCharType="separate"/>
    </w:r>
    <w:r w:rsidR="000829F6">
      <w:rPr>
        <w:rStyle w:val="PageNumber"/>
        <w:noProof/>
      </w:rPr>
      <w:t>1</w:t>
    </w:r>
    <w:r>
      <w:rPr>
        <w:rStyle w:val="PageNumber"/>
      </w:rPr>
      <w:fldChar w:fldCharType="end"/>
    </w:r>
  </w:p>
  <w:p w:rsidR="00B75C62" w:rsidRDefault="00B75C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62DC" w:rsidRDefault="007B62DC" w:rsidP="008765DE">
      <w:pPr>
        <w:spacing w:after="0"/>
      </w:pPr>
      <w:r>
        <w:separator/>
      </w:r>
    </w:p>
  </w:footnote>
  <w:footnote w:type="continuationSeparator" w:id="0">
    <w:p w:rsidR="007B62DC" w:rsidRDefault="007B62DC" w:rsidP="008765DE">
      <w:pPr>
        <w:spacing w:after="0"/>
      </w:pPr>
      <w:r>
        <w:continuationSeparator/>
      </w:r>
    </w:p>
  </w:footnote>
  <w:footnote w:id="1">
    <w:p w:rsidR="00B75C62" w:rsidRPr="005A583D" w:rsidRDefault="00B75C62" w:rsidP="00F766E8">
      <w:pPr>
        <w:pStyle w:val="FootnoteText"/>
        <w:rPr>
          <w:lang w:val="en-US"/>
        </w:rPr>
      </w:pPr>
      <w:r>
        <w:rPr>
          <w:rStyle w:val="FootnoteReference"/>
        </w:rPr>
        <w:footnoteRef/>
      </w:r>
      <w:r w:rsidRPr="00C33E2D">
        <w:rPr>
          <w:lang w:val="en-US"/>
        </w:rPr>
        <w:t xml:space="preserve"> </w:t>
      </w:r>
      <w:r w:rsidRPr="00C33E2D">
        <w:rPr>
          <w:sz w:val="22"/>
          <w:lang w:val="en-US"/>
        </w:rPr>
        <w:t xml:space="preserve">An overview is provided in the WHO and FAO publication ”Understanding the Codex Alimentarius”, available </w:t>
      </w:r>
      <w:r w:rsidRPr="0081556B">
        <w:rPr>
          <w:sz w:val="22"/>
          <w:lang w:val="en-US"/>
        </w:rPr>
        <w:t xml:space="preserve">at </w:t>
      </w:r>
      <w:hyperlink r:id="rId1" w:history="1">
        <w:r w:rsidRPr="0081556B">
          <w:rPr>
            <w:rStyle w:val="Hyperlink"/>
            <w:rFonts w:ascii="Garamond" w:hAnsi="Garamond"/>
            <w:lang w:val="en-US"/>
          </w:rPr>
          <w:t>www.codexalimentarius.net</w:t>
        </w:r>
      </w:hyperlink>
      <w:r w:rsidRPr="00C33E2D">
        <w:rPr>
          <w:sz w:val="22"/>
          <w:lang w:val="en-US"/>
        </w:rPr>
        <w:t xml:space="preserve"> </w:t>
      </w:r>
    </w:p>
  </w:footnote>
  <w:footnote w:id="2">
    <w:p w:rsidR="00B75C62" w:rsidRPr="005A583D" w:rsidRDefault="00B75C62" w:rsidP="00F766E8">
      <w:pPr>
        <w:pStyle w:val="FootnoteText"/>
        <w:rPr>
          <w:lang w:val="en-US"/>
        </w:rPr>
      </w:pPr>
      <w:r>
        <w:rPr>
          <w:rStyle w:val="FootnoteReference"/>
        </w:rPr>
        <w:footnoteRef/>
      </w:r>
      <w:r>
        <w:rPr>
          <w:lang w:val="en-US"/>
        </w:rPr>
        <w:t xml:space="preserve"> </w:t>
      </w:r>
      <w:r w:rsidRPr="005567C7">
        <w:rPr>
          <w:sz w:val="22"/>
          <w:lang w:val="en-US"/>
        </w:rPr>
        <w:t>Project document “WHO/FAO project and fund for enhanced participation in Codex”, 17 June 2003</w:t>
      </w:r>
    </w:p>
  </w:footnote>
  <w:footnote w:id="3">
    <w:p w:rsidR="00B75C62" w:rsidRPr="00B75C62" w:rsidRDefault="00B75C62">
      <w:pPr>
        <w:pStyle w:val="FootnoteText"/>
        <w:rPr>
          <w:lang w:val="en-US"/>
        </w:rPr>
      </w:pPr>
      <w:r>
        <w:rPr>
          <w:rStyle w:val="FootnoteReference"/>
        </w:rPr>
        <w:footnoteRef/>
      </w:r>
      <w:r w:rsidRPr="00B75C62">
        <w:rPr>
          <w:lang w:val="en-US"/>
        </w:rPr>
        <w:t xml:space="preserve"> Validity – whether our data really allow us to conclude on the questions we answer; reliability – whether the data we have assembled are trustworthy, that is, for example if another interviewer would get the same response.  </w:t>
      </w:r>
    </w:p>
  </w:footnote>
  <w:footnote w:id="4">
    <w:p w:rsidR="00B75C62" w:rsidRPr="005A583D" w:rsidRDefault="00B75C62" w:rsidP="00F766E8">
      <w:pPr>
        <w:pStyle w:val="FootnoteText"/>
        <w:rPr>
          <w:lang w:val="en-US"/>
        </w:rPr>
      </w:pPr>
      <w:r>
        <w:rPr>
          <w:rStyle w:val="FootnoteReference"/>
          <w:rFonts w:ascii="Times" w:eastAsia="SimSun" w:hAnsi="Times"/>
        </w:rPr>
        <w:footnoteRef/>
      </w:r>
      <w:r w:rsidRPr="00E610C2">
        <w:rPr>
          <w:rFonts w:ascii="Times" w:hAnsi="Times"/>
          <w:lang w:val="en-US"/>
        </w:rPr>
        <w:t xml:space="preserve"> The common definition of impact in development cooperation is “</w:t>
      </w:r>
      <w:r w:rsidRPr="00E610C2">
        <w:rPr>
          <w:rFonts w:ascii="Times" w:hAnsi="Times"/>
          <w:i/>
          <w:lang w:val="en-US"/>
        </w:rPr>
        <w:t>positive and negative, primary and secondary long-term effects produced by a development intervention, directly or indirectly, intended or unintended</w:t>
      </w:r>
      <w:r w:rsidRPr="00E610C2">
        <w:rPr>
          <w:rFonts w:ascii="Times" w:hAnsi="Times"/>
          <w:lang w:val="en-US"/>
        </w:rPr>
        <w:t xml:space="preserve">” (Molund &amp; Schill 2004: 102). We use impact in the same sense, the purpose here is not to define the word but to find out and describe what it means in practice. </w:t>
      </w:r>
    </w:p>
  </w:footnote>
  <w:footnote w:id="5">
    <w:p w:rsidR="00B75C62" w:rsidRPr="005A583D" w:rsidRDefault="00B75C62" w:rsidP="00F766E8">
      <w:pPr>
        <w:pStyle w:val="FootnoteText"/>
        <w:rPr>
          <w:lang w:val="en-US"/>
        </w:rPr>
      </w:pPr>
      <w:r>
        <w:rPr>
          <w:rStyle w:val="FootnoteReference"/>
          <w:rFonts w:eastAsia="SimSun"/>
        </w:rPr>
        <w:footnoteRef/>
      </w:r>
      <w:r w:rsidRPr="00E610C2">
        <w:rPr>
          <w:lang w:val="en-US"/>
        </w:rPr>
        <w:t xml:space="preserve"> Evaluation is commonly defines as “a systematic inquiry into the worth or merit of an object” (Joint Committee on Standards, 1994)</w:t>
      </w:r>
    </w:p>
  </w:footnote>
  <w:footnote w:id="6">
    <w:p w:rsidR="00B75C62" w:rsidRPr="003863B2" w:rsidRDefault="00B75C62" w:rsidP="00F766E8">
      <w:pPr>
        <w:pStyle w:val="FootnoteText"/>
        <w:rPr>
          <w:lang w:val="en-GB"/>
        </w:rPr>
      </w:pPr>
      <w:r>
        <w:rPr>
          <w:rStyle w:val="FootnoteReference"/>
        </w:rPr>
        <w:footnoteRef/>
      </w:r>
      <w:r w:rsidRPr="005A583D">
        <w:rPr>
          <w:lang w:val="en-US"/>
        </w:rPr>
        <w:t xml:space="preserve"> </w:t>
      </w:r>
      <w:r w:rsidRPr="003863B2">
        <w:rPr>
          <w:lang w:val="en-GB"/>
        </w:rPr>
        <w:t>These categories of impact were derived from the empirical data obtained through country visits. The evaluation team did not define these impact categories in advance, nor did we get them from the project plans. Did we capture all categories of impact? The conceptual framework of impact categories is our own. It is based on the empirical findings but it is also supported by literature on institutional development.</w:t>
      </w:r>
      <w:r>
        <w:rPr>
          <w:lang w:val="en-GB"/>
        </w:rPr>
        <w:t xml:space="preserve"> Would it be possible to define other categories? Yes, in theory another country visit may have brought up some form of impact that was not seen in the countries visited.</w:t>
      </w:r>
      <w:r w:rsidRPr="003863B2">
        <w:rPr>
          <w:lang w:val="en-GB"/>
        </w:rPr>
        <w:t xml:space="preserve"> </w:t>
      </w:r>
      <w:r>
        <w:rPr>
          <w:lang w:val="en-GB"/>
        </w:rPr>
        <w:t xml:space="preserve">It is also possible that we missed, or misrepresented, some of the information we received. Nevertheless, these categories do capture all our findings – hence if we did not find any other form of impact, it was probably not to be found. </w:t>
      </w:r>
    </w:p>
  </w:footnote>
  <w:footnote w:id="7">
    <w:p w:rsidR="00B75C62" w:rsidRPr="005A583D" w:rsidRDefault="00B75C62" w:rsidP="00F766E8">
      <w:pPr>
        <w:pStyle w:val="FootnoteText"/>
        <w:rPr>
          <w:lang w:val="en-US"/>
        </w:rPr>
      </w:pPr>
      <w:r>
        <w:rPr>
          <w:rStyle w:val="FootnoteReference"/>
        </w:rPr>
        <w:footnoteRef/>
      </w:r>
      <w:r w:rsidRPr="00E610C2">
        <w:rPr>
          <w:lang w:val="en-US"/>
        </w:rPr>
        <w:t xml:space="preserve"> An interesting and complicating factor is that the European markets at times use other standards tha</w:t>
      </w:r>
      <w:r>
        <w:rPr>
          <w:lang w:val="en-US"/>
        </w:rPr>
        <w:t>n</w:t>
      </w:r>
      <w:r w:rsidRPr="00E610C2">
        <w:rPr>
          <w:lang w:val="en-US"/>
        </w:rPr>
        <w:t xml:space="preserve"> Codex standards, but that is a question relating to the position of Codex compared to other standards on the global arena and cannot be treated here. </w:t>
      </w:r>
    </w:p>
  </w:footnote>
  <w:footnote w:id="8">
    <w:p w:rsidR="00B75C62" w:rsidRPr="00203223" w:rsidRDefault="00B75C62">
      <w:pPr>
        <w:pStyle w:val="FootnoteText"/>
        <w:rPr>
          <w:lang w:val="en-US"/>
        </w:rPr>
      </w:pPr>
      <w:r>
        <w:rPr>
          <w:rStyle w:val="FootnoteReference"/>
        </w:rPr>
        <w:footnoteRef/>
      </w:r>
      <w:r w:rsidRPr="000207AC">
        <w:rPr>
          <w:lang w:val="en-US"/>
        </w:rPr>
        <w:t xml:space="preserve"> </w:t>
      </w:r>
      <w:r>
        <w:rPr>
          <w:lang w:val="en-US"/>
        </w:rPr>
        <w:t>All data on participation and financial information is from the CTF Secretariat.</w:t>
      </w:r>
    </w:p>
  </w:footnote>
  <w:footnote w:id="9">
    <w:p w:rsidR="00B75C62" w:rsidRPr="00BE0AA0" w:rsidRDefault="00B75C62" w:rsidP="006F7A43">
      <w:pPr>
        <w:pStyle w:val="FootnoteText"/>
        <w:rPr>
          <w:lang w:val="en-US"/>
        </w:rPr>
      </w:pPr>
      <w:r>
        <w:rPr>
          <w:rStyle w:val="FootnoteReference"/>
        </w:rPr>
        <w:footnoteRef/>
      </w:r>
      <w:r w:rsidRPr="00BE0AA0">
        <w:rPr>
          <w:lang w:val="en-US"/>
        </w:rPr>
        <w:t xml:space="preserve"> </w:t>
      </w:r>
      <w:r>
        <w:rPr>
          <w:lang w:val="en-US"/>
        </w:rPr>
        <w:t>For example, Ghana listed 95 delegates for the CCAFRICA organized in Ghana in 2009.</w:t>
      </w:r>
    </w:p>
  </w:footnote>
  <w:footnote w:id="10">
    <w:p w:rsidR="00D97A3A" w:rsidRPr="004464CA" w:rsidRDefault="00D97A3A" w:rsidP="00D97A3A">
      <w:pPr>
        <w:pStyle w:val="FootnoteText"/>
        <w:rPr>
          <w:lang w:val="en-US"/>
        </w:rPr>
      </w:pPr>
      <w:r>
        <w:rPr>
          <w:rStyle w:val="FootnoteReference"/>
        </w:rPr>
        <w:footnoteRef/>
      </w:r>
      <w:r w:rsidRPr="004464CA">
        <w:rPr>
          <w:lang w:val="en-US"/>
        </w:rPr>
        <w:t xml:space="preserve"> Seychelles graduated </w:t>
      </w:r>
      <w:r>
        <w:rPr>
          <w:lang w:val="en-US"/>
        </w:rPr>
        <w:t>in</w:t>
      </w:r>
      <w:r w:rsidRPr="004464CA">
        <w:rPr>
          <w:lang w:val="en-US"/>
        </w:rPr>
        <w:t xml:space="preserve"> 2007, </w:t>
      </w:r>
      <w:r>
        <w:rPr>
          <w:lang w:val="en-US"/>
        </w:rPr>
        <w:t>but</w:t>
      </w:r>
      <w:r w:rsidRPr="004464CA">
        <w:rPr>
          <w:lang w:val="en-US"/>
        </w:rPr>
        <w:t xml:space="preserve"> made a request to the </w:t>
      </w:r>
      <w:r>
        <w:rPr>
          <w:lang w:val="en-US"/>
        </w:rPr>
        <w:t>CTF</w:t>
      </w:r>
      <w:r w:rsidRPr="004464CA">
        <w:rPr>
          <w:lang w:val="en-US"/>
        </w:rPr>
        <w:t xml:space="preserve"> in 2009 to assist Seychelles as a small island state</w:t>
      </w:r>
      <w:r>
        <w:rPr>
          <w:lang w:val="en-US"/>
        </w:rPr>
        <w:t xml:space="preserve">, since </w:t>
      </w:r>
      <w:r w:rsidRPr="004464CA">
        <w:rPr>
          <w:lang w:val="en-US"/>
        </w:rPr>
        <w:t>Seychelles was founding it difficult to sustain its participation in Codex</w:t>
      </w:r>
      <w:r>
        <w:rPr>
          <w:lang w:val="en-US"/>
        </w:rPr>
        <w:t xml:space="preserve"> committees</w:t>
      </w:r>
      <w:r w:rsidRPr="004464CA">
        <w:rPr>
          <w:lang w:val="en-US"/>
        </w:rPr>
        <w:t xml:space="preserve">. </w:t>
      </w:r>
      <w:r>
        <w:rPr>
          <w:lang w:val="en-US"/>
        </w:rPr>
        <w:t>T</w:t>
      </w:r>
      <w:r w:rsidRPr="004464CA">
        <w:rPr>
          <w:lang w:val="en-US"/>
        </w:rPr>
        <w:t xml:space="preserve">he Consultative Group for </w:t>
      </w:r>
      <w:r>
        <w:rPr>
          <w:lang w:val="en-US"/>
        </w:rPr>
        <w:t xml:space="preserve">CTF </w:t>
      </w:r>
      <w:r w:rsidRPr="004464CA">
        <w:rPr>
          <w:lang w:val="en-US"/>
        </w:rPr>
        <w:t>offer</w:t>
      </w:r>
      <w:r>
        <w:rPr>
          <w:lang w:val="en-US"/>
        </w:rPr>
        <w:t>ed</w:t>
      </w:r>
      <w:r w:rsidRPr="004464CA">
        <w:rPr>
          <w:lang w:val="en-US"/>
        </w:rPr>
        <w:t xml:space="preserve"> an additional year of support </w:t>
      </w:r>
      <w:r>
        <w:rPr>
          <w:lang w:val="en-US"/>
        </w:rPr>
        <w:t>at</w:t>
      </w:r>
      <w:r w:rsidRPr="004464CA">
        <w:rPr>
          <w:lang w:val="en-US"/>
        </w:rPr>
        <w:t xml:space="preserve"> 50% to the Seychelles in 2009</w:t>
      </w:r>
      <w:r>
        <w:rPr>
          <w:lang w:val="en-US"/>
        </w:rPr>
        <w:t xml:space="preserve"> as part of the decision to support small island developing states with population of less than 1 million for an extra year at 50%</w:t>
      </w:r>
      <w:r w:rsidRPr="004464CA">
        <w:rPr>
          <w:lang w:val="en-US"/>
        </w:rPr>
        <w:t>.</w:t>
      </w:r>
    </w:p>
  </w:footnote>
  <w:footnote w:id="11">
    <w:p w:rsidR="00B75C62" w:rsidRPr="00367249" w:rsidRDefault="00B75C62">
      <w:pPr>
        <w:pStyle w:val="FootnoteText"/>
        <w:rPr>
          <w:lang w:val="en-US"/>
        </w:rPr>
      </w:pPr>
      <w:r>
        <w:rPr>
          <w:rStyle w:val="FootnoteReference"/>
        </w:rPr>
        <w:footnoteRef/>
      </w:r>
      <w:r w:rsidRPr="004A584F">
        <w:rPr>
          <w:lang w:val="en-US"/>
        </w:rPr>
        <w:t xml:space="preserve"> </w:t>
      </w:r>
      <w:r>
        <w:rPr>
          <w:lang w:val="en-US"/>
        </w:rPr>
        <w:t>C</w:t>
      </w:r>
      <w:r w:rsidRPr="00367249">
        <w:rPr>
          <w:lang w:val="en-US"/>
        </w:rPr>
        <w:t xml:space="preserve">ountries has used CTF to support participation of local scientist on Codex working groups or Codex committees but not participation at Joint FAO/WHO expert bodies such as JECFA or expert consultations. Attendance to these events are for invitation only and normally </w:t>
      </w:r>
      <w:r>
        <w:rPr>
          <w:lang w:val="en-US"/>
        </w:rPr>
        <w:t xml:space="preserve">the </w:t>
      </w:r>
      <w:r w:rsidRPr="00367249">
        <w:rPr>
          <w:lang w:val="en-US"/>
        </w:rPr>
        <w:t>cost of travel is covered by FAO and WHO. In the case of a local expert who participated in a JECFA or JEMRA meeting, they act as experts of these committees just during the duration of the event. When they participate later on in a Codex working group they act as experts from their country.</w:t>
      </w:r>
    </w:p>
  </w:footnote>
  <w:footnote w:id="12">
    <w:p w:rsidR="00B75C62" w:rsidRPr="00922C2D" w:rsidRDefault="00B75C62" w:rsidP="00493A69">
      <w:pPr>
        <w:pStyle w:val="FootnoteText"/>
        <w:rPr>
          <w:lang w:val="en-US"/>
        </w:rPr>
      </w:pPr>
      <w:r>
        <w:rPr>
          <w:rStyle w:val="FootnoteReference"/>
        </w:rPr>
        <w:footnoteRef/>
      </w:r>
      <w:r w:rsidRPr="00922C2D">
        <w:rPr>
          <w:lang w:val="en-US"/>
        </w:rPr>
        <w:t xml:space="preserve"> Initially, only three groups based o</w:t>
      </w:r>
      <w:r>
        <w:rPr>
          <w:lang w:val="en-US"/>
        </w:rPr>
        <w:t xml:space="preserve">n World Bank classification were foreseen, but it was extended to the current structure </w:t>
      </w:r>
      <w:r w:rsidRPr="00922C2D">
        <w:rPr>
          <w:lang w:val="en-US"/>
        </w:rPr>
        <w:t xml:space="preserve">in view of the desirability </w:t>
      </w:r>
      <w:r>
        <w:rPr>
          <w:lang w:val="en-US"/>
        </w:rPr>
        <w:t>to</w:t>
      </w:r>
      <w:r w:rsidRPr="00922C2D">
        <w:rPr>
          <w:lang w:val="en-US"/>
        </w:rPr>
        <w:t xml:space="preserve"> ta</w:t>
      </w:r>
      <w:r>
        <w:rPr>
          <w:lang w:val="en-US"/>
        </w:rPr>
        <w:t>ke</w:t>
      </w:r>
      <w:r w:rsidRPr="00922C2D">
        <w:rPr>
          <w:lang w:val="en-US"/>
        </w:rPr>
        <w:t xml:space="preserve"> into account other factors than those purely economic in</w:t>
      </w:r>
      <w:r>
        <w:rPr>
          <w:lang w:val="en-US"/>
        </w:rPr>
        <w:t xml:space="preserve"> n</w:t>
      </w:r>
      <w:r w:rsidRPr="00922C2D">
        <w:rPr>
          <w:lang w:val="en-US"/>
        </w:rPr>
        <w:t>ature</w:t>
      </w:r>
      <w:r>
        <w:rPr>
          <w:lang w:val="en-US"/>
        </w:rPr>
        <w:t>. (</w:t>
      </w:r>
      <w:r w:rsidRPr="00332D84">
        <w:rPr>
          <w:lang w:val="en-US"/>
        </w:rPr>
        <w:t>FAO/WHO Project and Fund for Enhanced Participation in Codex</w:t>
      </w:r>
      <w:r>
        <w:rPr>
          <w:lang w:val="en-US"/>
        </w:rPr>
        <w:t xml:space="preserve"> (2003)</w:t>
      </w:r>
      <w:r w:rsidRPr="00332D84">
        <w:rPr>
          <w:lang w:val="en-US"/>
        </w:rPr>
        <w:t>)</w:t>
      </w:r>
    </w:p>
  </w:footnote>
  <w:footnote w:id="13">
    <w:p w:rsidR="00B75C62" w:rsidRPr="00A67254" w:rsidRDefault="00B75C62">
      <w:pPr>
        <w:pStyle w:val="FootnoteText"/>
        <w:rPr>
          <w:lang w:val="en-US"/>
        </w:rPr>
      </w:pPr>
      <w:r>
        <w:rPr>
          <w:rStyle w:val="FootnoteReference"/>
        </w:rPr>
        <w:footnoteRef/>
      </w:r>
      <w:r w:rsidRPr="00A67254">
        <w:rPr>
          <w:lang w:val="en-US"/>
        </w:rPr>
        <w:t xml:space="preserve"> </w:t>
      </w:r>
      <w:hyperlink r:id="rId2" w:history="1">
        <w:r w:rsidRPr="00813853">
          <w:rPr>
            <w:rStyle w:val="Hyperlink"/>
            <w:rFonts w:ascii="Garamond" w:hAnsi="Garamond"/>
            <w:sz w:val="20"/>
            <w:szCs w:val="20"/>
            <w:lang w:val="en-US"/>
          </w:rPr>
          <w:t>http://www.standardsfacility.org/</w:t>
        </w:r>
      </w:hyperlink>
    </w:p>
  </w:footnote>
  <w:footnote w:id="14">
    <w:p w:rsidR="00B75C62" w:rsidRPr="00863EBF" w:rsidRDefault="00B75C62">
      <w:pPr>
        <w:pStyle w:val="FootnoteText"/>
        <w:rPr>
          <w:lang w:val="en-US"/>
        </w:rPr>
      </w:pPr>
      <w:r>
        <w:rPr>
          <w:rStyle w:val="FootnoteReference"/>
        </w:rPr>
        <w:footnoteRef/>
      </w:r>
      <w:r w:rsidRPr="00332D84">
        <w:rPr>
          <w:lang w:val="en-US"/>
        </w:rPr>
        <w:t xml:space="preserve"> There is also a Trade Standards Practitioners Network</w:t>
      </w:r>
      <w:r>
        <w:rPr>
          <w:lang w:val="en-US"/>
        </w:rPr>
        <w:t xml:space="preserve"> (TSPN) with a large number of members and partners, including STDF and IICA, which according to its website aims “</w:t>
      </w:r>
      <w:r w:rsidRPr="00332D84">
        <w:rPr>
          <w:i/>
          <w:lang w:val="en-US"/>
        </w:rPr>
        <w:t>to improve the effectiveness of initiatives that support developing country capacity and participation in the implementation of trade-related social, environment and food safety standards and related measures through information sharing, policy research and capacity building</w:t>
      </w:r>
      <w:r w:rsidRPr="00B544AC">
        <w:rPr>
          <w:lang w:val="en-US"/>
        </w:rPr>
        <w:t>.</w:t>
      </w:r>
      <w:r>
        <w:rPr>
          <w:lang w:val="en-US"/>
        </w:rPr>
        <w:t xml:space="preserve">” </w:t>
      </w:r>
      <w:r w:rsidRPr="00D53335">
        <w:rPr>
          <w:szCs w:val="20"/>
          <w:lang w:val="en-US"/>
        </w:rPr>
        <w:t>(</w:t>
      </w:r>
      <w:hyperlink r:id="rId3" w:history="1">
        <w:r w:rsidRPr="00813853">
          <w:rPr>
            <w:rStyle w:val="Hyperlink"/>
            <w:rFonts w:ascii="Garamond" w:hAnsi="Garamond"/>
            <w:sz w:val="20"/>
            <w:szCs w:val="20"/>
            <w:lang w:val="en-US"/>
          </w:rPr>
          <w:t>http://tradestandards.org</w:t>
        </w:r>
      </w:hyperlink>
      <w:r>
        <w:rPr>
          <w:lang w:val="en-US"/>
        </w:rPr>
        <w:t xml:space="preserve">). </w:t>
      </w:r>
    </w:p>
  </w:footnote>
  <w:footnote w:id="15">
    <w:p w:rsidR="00B75C62" w:rsidRPr="00863EBF" w:rsidRDefault="00B75C62">
      <w:pPr>
        <w:pStyle w:val="FootnoteText"/>
        <w:rPr>
          <w:lang w:val="en-US"/>
        </w:rPr>
      </w:pPr>
      <w:r>
        <w:rPr>
          <w:rStyle w:val="FootnoteReference"/>
        </w:rPr>
        <w:footnoteRef/>
      </w:r>
      <w:r w:rsidRPr="00332D84">
        <w:rPr>
          <w:lang w:val="en-US"/>
        </w:rPr>
        <w:t xml:space="preserve"> </w:t>
      </w:r>
      <w:hyperlink r:id="rId4" w:history="1">
        <w:r w:rsidRPr="00332D84">
          <w:rPr>
            <w:rStyle w:val="Hyperlink"/>
            <w:lang w:val="en-US"/>
          </w:rPr>
          <w:t>www.commark.org</w:t>
        </w:r>
      </w:hyperlink>
      <w:r w:rsidRPr="00332D84">
        <w:rPr>
          <w:lang w:val="en-US"/>
        </w:rPr>
        <w:t xml:space="preserve"> </w:t>
      </w:r>
    </w:p>
  </w:footnote>
  <w:footnote w:id="16">
    <w:p w:rsidR="00B75C62" w:rsidRPr="00101EF8" w:rsidRDefault="00B75C62" w:rsidP="008543B2">
      <w:pPr>
        <w:pStyle w:val="FootnoteText"/>
        <w:rPr>
          <w:lang w:val="en-US"/>
        </w:rPr>
      </w:pPr>
      <w:r>
        <w:rPr>
          <w:rStyle w:val="FootnoteReference"/>
        </w:rPr>
        <w:footnoteRef/>
      </w:r>
      <w:r w:rsidRPr="00101EF8">
        <w:rPr>
          <w:lang w:val="en-US"/>
        </w:rPr>
        <w:t xml:space="preserve"> Information </w:t>
      </w:r>
      <w:r>
        <w:rPr>
          <w:lang w:val="en-US"/>
        </w:rPr>
        <w:t>from</w:t>
      </w:r>
      <w:r w:rsidRPr="00101EF8">
        <w:rPr>
          <w:lang w:val="en-US"/>
        </w:rPr>
        <w:t xml:space="preserve"> FAO/WHO </w:t>
      </w:r>
      <w:r>
        <w:rPr>
          <w:lang w:val="en-US"/>
        </w:rPr>
        <w:t xml:space="preserve">(2007) </w:t>
      </w:r>
      <w:r w:rsidRPr="00101EF8">
        <w:rPr>
          <w:lang w:val="en-US"/>
        </w:rPr>
        <w:t xml:space="preserve">, the Global Initiative for Food-Related Scientific Advice, </w:t>
      </w:r>
      <w:r>
        <w:rPr>
          <w:lang w:val="en-US"/>
        </w:rPr>
        <w:t>and</w:t>
      </w:r>
      <w:r w:rsidRPr="00101EF8">
        <w:rPr>
          <w:lang w:val="en-US"/>
        </w:rPr>
        <w:t xml:space="preserve"> the FAO Food Control and Consumer Protection Group</w:t>
      </w:r>
    </w:p>
  </w:footnote>
  <w:footnote w:id="17">
    <w:p w:rsidR="00B75C62" w:rsidRPr="008543B2" w:rsidRDefault="00B75C62" w:rsidP="008543B2">
      <w:pPr>
        <w:pStyle w:val="FootnoteText"/>
        <w:rPr>
          <w:lang w:val="en-US"/>
        </w:rPr>
      </w:pPr>
      <w:r>
        <w:rPr>
          <w:rStyle w:val="FootnoteReference"/>
        </w:rPr>
        <w:footnoteRef/>
      </w:r>
      <w:r w:rsidRPr="00101EF8">
        <w:rPr>
          <w:lang w:val="en-US"/>
        </w:rPr>
        <w:t xml:space="preserve"> Inventory of FAO Activities to Build Codex Capacity 1995 – 2009. </w:t>
      </w:r>
      <w:r w:rsidRPr="008543B2">
        <w:rPr>
          <w:lang w:val="en-US"/>
        </w:rPr>
        <w:t>(work in progress as of 12 Feb.2010)</w:t>
      </w:r>
    </w:p>
  </w:footnote>
  <w:footnote w:id="18">
    <w:p w:rsidR="00B75C62" w:rsidRPr="00B75C62" w:rsidRDefault="00B75C62">
      <w:pPr>
        <w:pStyle w:val="FootnoteText"/>
        <w:rPr>
          <w:lang w:val="en-US"/>
        </w:rPr>
      </w:pPr>
      <w:r>
        <w:rPr>
          <w:rStyle w:val="FootnoteReference"/>
        </w:rPr>
        <w:footnoteRef/>
      </w:r>
      <w:r w:rsidRPr="00B75C62">
        <w:rPr>
          <w:lang w:val="en-US"/>
        </w:rPr>
        <w:t xml:space="preserve"> see for example evaluations of Sida International Training Programmes, UNESCO Workshop management (External Independnet Evaluation of UNESCO (forthcoming 2010). </w:t>
      </w:r>
    </w:p>
  </w:footnote>
  <w:footnote w:id="19">
    <w:p w:rsidR="007D25C7" w:rsidRPr="006F350D" w:rsidRDefault="007D25C7" w:rsidP="007D25C7">
      <w:pPr>
        <w:pStyle w:val="FootnoteText"/>
        <w:rPr>
          <w:lang w:val="en-US"/>
        </w:rPr>
      </w:pPr>
      <w:r>
        <w:rPr>
          <w:rStyle w:val="FootnoteReference"/>
        </w:rPr>
        <w:footnoteRef/>
      </w:r>
      <w:r w:rsidRPr="006F350D">
        <w:rPr>
          <w:lang w:val="en-US"/>
        </w:rPr>
        <w:t xml:space="preserve"> </w:t>
      </w:r>
      <w:r w:rsidR="00216460">
        <w:rPr>
          <w:lang w:val="en-GB"/>
        </w:rPr>
        <w:t>P</w:t>
      </w:r>
      <w:r w:rsidRPr="000207AC">
        <w:rPr>
          <w:lang w:val="en-GB"/>
        </w:rPr>
        <w:t>roponents of which would argue that only randomized control</w:t>
      </w:r>
      <w:r>
        <w:rPr>
          <w:lang w:val="en-GB"/>
        </w:rPr>
        <w:t>l</w:t>
      </w:r>
      <w:r w:rsidRPr="000207AC">
        <w:rPr>
          <w:lang w:val="en-GB"/>
        </w:rPr>
        <w:t>ed experiments provide reliable information on results.</w:t>
      </w:r>
      <w:r w:rsidRPr="006F350D">
        <w:rPr>
          <w:lang w:val="en-US"/>
        </w:rPr>
        <w:t xml:space="preserve"> </w:t>
      </w:r>
    </w:p>
  </w:footnote>
  <w:footnote w:id="20">
    <w:p w:rsidR="00B75C62" w:rsidRPr="00C015D0" w:rsidRDefault="00B75C62" w:rsidP="00231C30">
      <w:pPr>
        <w:pStyle w:val="FootnoteText"/>
        <w:rPr>
          <w:lang w:val="en-US"/>
        </w:rPr>
      </w:pPr>
      <w:r>
        <w:rPr>
          <w:rStyle w:val="FootnoteReference"/>
        </w:rPr>
        <w:footnoteRef/>
      </w:r>
      <w:r w:rsidRPr="00F02290">
        <w:rPr>
          <w:lang w:val="en-US"/>
        </w:rPr>
        <w:t xml:space="preserve"> </w:t>
      </w:r>
      <w:r>
        <w:rPr>
          <w:lang w:val="en-US"/>
        </w:rPr>
        <w:t xml:space="preserve">The full Project Document in English, French and Spanish, and summary objectives in all languages can be found at </w:t>
      </w:r>
      <w:r w:rsidRPr="00252A43">
        <w:rPr>
          <w:lang w:val="en-US"/>
        </w:rPr>
        <w:t>http://www.who.int/foodsafety/codex/trustfund/en/index1.html</w:t>
      </w:r>
    </w:p>
  </w:footnote>
  <w:footnote w:id="21">
    <w:p w:rsidR="00B75C62" w:rsidRPr="00C015D0" w:rsidRDefault="00B75C62" w:rsidP="00231C30">
      <w:pPr>
        <w:pStyle w:val="FootnoteText"/>
        <w:rPr>
          <w:lang w:val="en-US"/>
        </w:rPr>
      </w:pPr>
      <w:r>
        <w:rPr>
          <w:rStyle w:val="FootnoteReference"/>
          <w:rFonts w:cs="Arial"/>
        </w:rPr>
        <w:footnoteRef/>
      </w:r>
      <w:r w:rsidRPr="00B604C8">
        <w:rPr>
          <w:lang w:val="en-US"/>
        </w:rPr>
        <w:t xml:space="preserve"> </w:t>
      </w:r>
      <w:r w:rsidRPr="00B604C8">
        <w:rPr>
          <w:i/>
          <w:iCs/>
          <w:lang w:val="en-GB"/>
        </w:rPr>
        <w:t>The Development Assistance Committee Criteria for Evaluating Development Assistance</w:t>
      </w:r>
      <w:r>
        <w:rPr>
          <w:lang w:val="en-GB"/>
        </w:rPr>
        <w:t xml:space="preserve">, OECD (1991) available at </w:t>
      </w:r>
      <w:r w:rsidRPr="00866D48">
        <w:rPr>
          <w:lang w:val="en-GB"/>
        </w:rPr>
        <w:t>http://www.oecd.org/document/22/0,2340,en_2649_34435_2086550_1_1_1_1,00.html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D62F4D"/>
    <w:multiLevelType w:val="hybridMultilevel"/>
    <w:tmpl w:val="D7E87832"/>
    <w:lvl w:ilvl="0" w:tplc="0409000F">
      <w:start w:val="1"/>
      <w:numFmt w:val="decimal"/>
      <w:lvlText w:val="%1."/>
      <w:lvlJc w:val="left"/>
      <w:pPr>
        <w:tabs>
          <w:tab w:val="num" w:pos="765"/>
        </w:tabs>
        <w:ind w:left="765" w:hanging="360"/>
      </w:pPr>
      <w:rPr>
        <w:rFonts w:cs="Times New Roman" w:hint="default"/>
        <w:sz w:val="20"/>
      </w:rPr>
    </w:lvl>
    <w:lvl w:ilvl="1" w:tplc="04090003">
      <w:start w:val="1"/>
      <w:numFmt w:val="bullet"/>
      <w:lvlText w:val="o"/>
      <w:lvlJc w:val="left"/>
      <w:pPr>
        <w:tabs>
          <w:tab w:val="num" w:pos="1485"/>
        </w:tabs>
        <w:ind w:left="1485" w:hanging="360"/>
      </w:pPr>
      <w:rPr>
        <w:rFonts w:ascii="Courier New" w:hAnsi="Courier New" w:hint="default"/>
      </w:rPr>
    </w:lvl>
    <w:lvl w:ilvl="2" w:tplc="0409000F">
      <w:start w:val="1"/>
      <w:numFmt w:val="decimal"/>
      <w:lvlText w:val="%3."/>
      <w:lvlJc w:val="left"/>
      <w:pPr>
        <w:tabs>
          <w:tab w:val="num" w:pos="2205"/>
        </w:tabs>
        <w:ind w:left="2205" w:hanging="360"/>
      </w:pPr>
      <w:rPr>
        <w:rFonts w:cs="Times New Roman" w:hint="default"/>
        <w:sz w:val="20"/>
      </w:rPr>
    </w:lvl>
    <w:lvl w:ilvl="3" w:tplc="04090001" w:tentative="1">
      <w:start w:val="1"/>
      <w:numFmt w:val="bullet"/>
      <w:lvlText w:val=""/>
      <w:lvlJc w:val="left"/>
      <w:pPr>
        <w:tabs>
          <w:tab w:val="num" w:pos="2925"/>
        </w:tabs>
        <w:ind w:left="2925" w:hanging="360"/>
      </w:pPr>
      <w:rPr>
        <w:rFonts w:ascii="Symbol" w:hAnsi="Symbol" w:hint="default"/>
      </w:rPr>
    </w:lvl>
    <w:lvl w:ilvl="4" w:tplc="04090003" w:tentative="1">
      <w:start w:val="1"/>
      <w:numFmt w:val="bullet"/>
      <w:lvlText w:val="o"/>
      <w:lvlJc w:val="left"/>
      <w:pPr>
        <w:tabs>
          <w:tab w:val="num" w:pos="3645"/>
        </w:tabs>
        <w:ind w:left="3645" w:hanging="360"/>
      </w:pPr>
      <w:rPr>
        <w:rFonts w:ascii="Courier New" w:hAnsi="Courier New" w:hint="default"/>
      </w:rPr>
    </w:lvl>
    <w:lvl w:ilvl="5" w:tplc="04090005" w:tentative="1">
      <w:start w:val="1"/>
      <w:numFmt w:val="bullet"/>
      <w:lvlText w:val=""/>
      <w:lvlJc w:val="left"/>
      <w:pPr>
        <w:tabs>
          <w:tab w:val="num" w:pos="4365"/>
        </w:tabs>
        <w:ind w:left="4365" w:hanging="360"/>
      </w:pPr>
      <w:rPr>
        <w:rFonts w:ascii="Wingdings" w:hAnsi="Wingdings" w:hint="default"/>
      </w:rPr>
    </w:lvl>
    <w:lvl w:ilvl="6" w:tplc="04090001" w:tentative="1">
      <w:start w:val="1"/>
      <w:numFmt w:val="bullet"/>
      <w:lvlText w:val=""/>
      <w:lvlJc w:val="left"/>
      <w:pPr>
        <w:tabs>
          <w:tab w:val="num" w:pos="5085"/>
        </w:tabs>
        <w:ind w:left="5085" w:hanging="360"/>
      </w:pPr>
      <w:rPr>
        <w:rFonts w:ascii="Symbol" w:hAnsi="Symbol" w:hint="default"/>
      </w:rPr>
    </w:lvl>
    <w:lvl w:ilvl="7" w:tplc="04090003" w:tentative="1">
      <w:start w:val="1"/>
      <w:numFmt w:val="bullet"/>
      <w:lvlText w:val="o"/>
      <w:lvlJc w:val="left"/>
      <w:pPr>
        <w:tabs>
          <w:tab w:val="num" w:pos="5805"/>
        </w:tabs>
        <w:ind w:left="5805" w:hanging="360"/>
      </w:pPr>
      <w:rPr>
        <w:rFonts w:ascii="Courier New" w:hAnsi="Courier New" w:hint="default"/>
      </w:rPr>
    </w:lvl>
    <w:lvl w:ilvl="8" w:tplc="04090005" w:tentative="1">
      <w:start w:val="1"/>
      <w:numFmt w:val="bullet"/>
      <w:lvlText w:val=""/>
      <w:lvlJc w:val="left"/>
      <w:pPr>
        <w:tabs>
          <w:tab w:val="num" w:pos="6525"/>
        </w:tabs>
        <w:ind w:left="6525" w:hanging="360"/>
      </w:pPr>
      <w:rPr>
        <w:rFonts w:ascii="Wingdings" w:hAnsi="Wingdings" w:hint="default"/>
      </w:rPr>
    </w:lvl>
  </w:abstractNum>
  <w:abstractNum w:abstractNumId="1">
    <w:nsid w:val="10CE582D"/>
    <w:multiLevelType w:val="hybridMultilevel"/>
    <w:tmpl w:val="018EE75E"/>
    <w:lvl w:ilvl="0" w:tplc="D8A2393C">
      <w:start w:val="1"/>
      <w:numFmt w:val="decimal"/>
      <w:lvlText w:val="%1."/>
      <w:lvlJc w:val="left"/>
      <w:pPr>
        <w:tabs>
          <w:tab w:val="num" w:pos="720"/>
        </w:tabs>
        <w:ind w:left="720" w:hanging="360"/>
      </w:pPr>
      <w:rPr>
        <w:rFonts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A013DD1"/>
    <w:multiLevelType w:val="hybridMultilevel"/>
    <w:tmpl w:val="92F424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Symbol"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Symbol"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Symbol"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1BEF60C6"/>
    <w:multiLevelType w:val="hybridMultilevel"/>
    <w:tmpl w:val="B5006FBA"/>
    <w:lvl w:ilvl="0" w:tplc="041D0001">
      <w:start w:val="1"/>
      <w:numFmt w:val="bullet"/>
      <w:lvlText w:val=""/>
      <w:lvlJc w:val="left"/>
      <w:pPr>
        <w:ind w:left="2016" w:hanging="360"/>
      </w:pPr>
      <w:rPr>
        <w:rFonts w:ascii="Symbol" w:hAnsi="Symbol" w:hint="default"/>
      </w:rPr>
    </w:lvl>
    <w:lvl w:ilvl="1" w:tplc="041D0003" w:tentative="1">
      <w:start w:val="1"/>
      <w:numFmt w:val="bullet"/>
      <w:lvlText w:val="o"/>
      <w:lvlJc w:val="left"/>
      <w:pPr>
        <w:ind w:left="2736" w:hanging="360"/>
      </w:pPr>
      <w:rPr>
        <w:rFonts w:ascii="Courier New" w:hAnsi="Courier New" w:hint="default"/>
      </w:rPr>
    </w:lvl>
    <w:lvl w:ilvl="2" w:tplc="041D0005" w:tentative="1">
      <w:start w:val="1"/>
      <w:numFmt w:val="bullet"/>
      <w:lvlText w:val=""/>
      <w:lvlJc w:val="left"/>
      <w:pPr>
        <w:ind w:left="3456" w:hanging="360"/>
      </w:pPr>
      <w:rPr>
        <w:rFonts w:ascii="Wingdings" w:hAnsi="Wingdings" w:hint="default"/>
      </w:rPr>
    </w:lvl>
    <w:lvl w:ilvl="3" w:tplc="041D0001" w:tentative="1">
      <w:start w:val="1"/>
      <w:numFmt w:val="bullet"/>
      <w:lvlText w:val=""/>
      <w:lvlJc w:val="left"/>
      <w:pPr>
        <w:ind w:left="4176" w:hanging="360"/>
      </w:pPr>
      <w:rPr>
        <w:rFonts w:ascii="Symbol" w:hAnsi="Symbol" w:hint="default"/>
      </w:rPr>
    </w:lvl>
    <w:lvl w:ilvl="4" w:tplc="041D0003" w:tentative="1">
      <w:start w:val="1"/>
      <w:numFmt w:val="bullet"/>
      <w:lvlText w:val="o"/>
      <w:lvlJc w:val="left"/>
      <w:pPr>
        <w:ind w:left="4896" w:hanging="360"/>
      </w:pPr>
      <w:rPr>
        <w:rFonts w:ascii="Courier New" w:hAnsi="Courier New" w:hint="default"/>
      </w:rPr>
    </w:lvl>
    <w:lvl w:ilvl="5" w:tplc="041D0005" w:tentative="1">
      <w:start w:val="1"/>
      <w:numFmt w:val="bullet"/>
      <w:lvlText w:val=""/>
      <w:lvlJc w:val="left"/>
      <w:pPr>
        <w:ind w:left="5616" w:hanging="360"/>
      </w:pPr>
      <w:rPr>
        <w:rFonts w:ascii="Wingdings" w:hAnsi="Wingdings" w:hint="default"/>
      </w:rPr>
    </w:lvl>
    <w:lvl w:ilvl="6" w:tplc="041D0001" w:tentative="1">
      <w:start w:val="1"/>
      <w:numFmt w:val="bullet"/>
      <w:lvlText w:val=""/>
      <w:lvlJc w:val="left"/>
      <w:pPr>
        <w:ind w:left="6336" w:hanging="360"/>
      </w:pPr>
      <w:rPr>
        <w:rFonts w:ascii="Symbol" w:hAnsi="Symbol" w:hint="default"/>
      </w:rPr>
    </w:lvl>
    <w:lvl w:ilvl="7" w:tplc="041D0003" w:tentative="1">
      <w:start w:val="1"/>
      <w:numFmt w:val="bullet"/>
      <w:lvlText w:val="o"/>
      <w:lvlJc w:val="left"/>
      <w:pPr>
        <w:ind w:left="7056" w:hanging="360"/>
      </w:pPr>
      <w:rPr>
        <w:rFonts w:ascii="Courier New" w:hAnsi="Courier New" w:hint="default"/>
      </w:rPr>
    </w:lvl>
    <w:lvl w:ilvl="8" w:tplc="041D0005" w:tentative="1">
      <w:start w:val="1"/>
      <w:numFmt w:val="bullet"/>
      <w:lvlText w:val=""/>
      <w:lvlJc w:val="left"/>
      <w:pPr>
        <w:ind w:left="7776" w:hanging="360"/>
      </w:pPr>
      <w:rPr>
        <w:rFonts w:ascii="Wingdings" w:hAnsi="Wingdings" w:hint="default"/>
      </w:rPr>
    </w:lvl>
  </w:abstractNum>
  <w:abstractNum w:abstractNumId="4">
    <w:nsid w:val="1CE41345"/>
    <w:multiLevelType w:val="hybridMultilevel"/>
    <w:tmpl w:val="DFB271A4"/>
    <w:lvl w:ilvl="0" w:tplc="0409000F">
      <w:start w:val="1"/>
      <w:numFmt w:val="decimal"/>
      <w:lvlText w:val="%1."/>
      <w:lvlJc w:val="left"/>
      <w:pPr>
        <w:tabs>
          <w:tab w:val="num" w:pos="765"/>
        </w:tabs>
        <w:ind w:left="765" w:hanging="360"/>
      </w:pPr>
    </w:lvl>
    <w:lvl w:ilvl="1" w:tplc="04090019">
      <w:start w:val="1"/>
      <w:numFmt w:val="lowerLetter"/>
      <w:lvlText w:val="%2."/>
      <w:lvlJc w:val="left"/>
      <w:pPr>
        <w:tabs>
          <w:tab w:val="num" w:pos="1485"/>
        </w:tabs>
        <w:ind w:left="1485" w:hanging="360"/>
      </w:pPr>
      <w:rPr>
        <w:rFonts w:cs="Times New Roman"/>
      </w:rPr>
    </w:lvl>
    <w:lvl w:ilvl="2" w:tplc="0409001B" w:tentative="1">
      <w:start w:val="1"/>
      <w:numFmt w:val="lowerRoman"/>
      <w:lvlText w:val="%3."/>
      <w:lvlJc w:val="right"/>
      <w:pPr>
        <w:tabs>
          <w:tab w:val="num" w:pos="2205"/>
        </w:tabs>
        <w:ind w:left="2205" w:hanging="180"/>
      </w:pPr>
      <w:rPr>
        <w:rFonts w:cs="Times New Roman"/>
      </w:rPr>
    </w:lvl>
    <w:lvl w:ilvl="3" w:tplc="0409000F" w:tentative="1">
      <w:start w:val="1"/>
      <w:numFmt w:val="decimal"/>
      <w:lvlText w:val="%4."/>
      <w:lvlJc w:val="left"/>
      <w:pPr>
        <w:tabs>
          <w:tab w:val="num" w:pos="2925"/>
        </w:tabs>
        <w:ind w:left="2925" w:hanging="360"/>
      </w:pPr>
      <w:rPr>
        <w:rFonts w:cs="Times New Roman"/>
      </w:rPr>
    </w:lvl>
    <w:lvl w:ilvl="4" w:tplc="04090019" w:tentative="1">
      <w:start w:val="1"/>
      <w:numFmt w:val="lowerLetter"/>
      <w:lvlText w:val="%5."/>
      <w:lvlJc w:val="left"/>
      <w:pPr>
        <w:tabs>
          <w:tab w:val="num" w:pos="3645"/>
        </w:tabs>
        <w:ind w:left="3645" w:hanging="360"/>
      </w:pPr>
      <w:rPr>
        <w:rFonts w:cs="Times New Roman"/>
      </w:rPr>
    </w:lvl>
    <w:lvl w:ilvl="5" w:tplc="0409001B" w:tentative="1">
      <w:start w:val="1"/>
      <w:numFmt w:val="lowerRoman"/>
      <w:lvlText w:val="%6."/>
      <w:lvlJc w:val="right"/>
      <w:pPr>
        <w:tabs>
          <w:tab w:val="num" w:pos="4365"/>
        </w:tabs>
        <w:ind w:left="4365" w:hanging="180"/>
      </w:pPr>
      <w:rPr>
        <w:rFonts w:cs="Times New Roman"/>
      </w:rPr>
    </w:lvl>
    <w:lvl w:ilvl="6" w:tplc="0409000F" w:tentative="1">
      <w:start w:val="1"/>
      <w:numFmt w:val="decimal"/>
      <w:lvlText w:val="%7."/>
      <w:lvlJc w:val="left"/>
      <w:pPr>
        <w:tabs>
          <w:tab w:val="num" w:pos="5085"/>
        </w:tabs>
        <w:ind w:left="5085" w:hanging="360"/>
      </w:pPr>
      <w:rPr>
        <w:rFonts w:cs="Times New Roman"/>
      </w:rPr>
    </w:lvl>
    <w:lvl w:ilvl="7" w:tplc="04090019" w:tentative="1">
      <w:start w:val="1"/>
      <w:numFmt w:val="lowerLetter"/>
      <w:lvlText w:val="%8."/>
      <w:lvlJc w:val="left"/>
      <w:pPr>
        <w:tabs>
          <w:tab w:val="num" w:pos="5805"/>
        </w:tabs>
        <w:ind w:left="5805" w:hanging="360"/>
      </w:pPr>
      <w:rPr>
        <w:rFonts w:cs="Times New Roman"/>
      </w:rPr>
    </w:lvl>
    <w:lvl w:ilvl="8" w:tplc="0409001B" w:tentative="1">
      <w:start w:val="1"/>
      <w:numFmt w:val="lowerRoman"/>
      <w:lvlText w:val="%9."/>
      <w:lvlJc w:val="right"/>
      <w:pPr>
        <w:tabs>
          <w:tab w:val="num" w:pos="6525"/>
        </w:tabs>
        <w:ind w:left="6525" w:hanging="180"/>
      </w:pPr>
      <w:rPr>
        <w:rFonts w:cs="Times New Roman"/>
      </w:rPr>
    </w:lvl>
  </w:abstractNum>
  <w:abstractNum w:abstractNumId="5">
    <w:nsid w:val="1EF437B3"/>
    <w:multiLevelType w:val="hybridMultilevel"/>
    <w:tmpl w:val="41945C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Arial"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Arial"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Arial"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23F8161D"/>
    <w:multiLevelType w:val="hybridMultilevel"/>
    <w:tmpl w:val="026065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24017E03"/>
    <w:multiLevelType w:val="hybridMultilevel"/>
    <w:tmpl w:val="D6BC6B14"/>
    <w:lvl w:ilvl="0" w:tplc="041D000F">
      <w:start w:val="1"/>
      <w:numFmt w:val="decimal"/>
      <w:lvlText w:val="%1."/>
      <w:lvlJc w:val="left"/>
      <w:pPr>
        <w:ind w:left="2384" w:hanging="360"/>
      </w:pPr>
    </w:lvl>
    <w:lvl w:ilvl="1" w:tplc="041D0019" w:tentative="1">
      <w:start w:val="1"/>
      <w:numFmt w:val="lowerLetter"/>
      <w:lvlText w:val="%2."/>
      <w:lvlJc w:val="left"/>
      <w:pPr>
        <w:tabs>
          <w:tab w:val="num" w:pos="2384"/>
        </w:tabs>
        <w:ind w:left="2384" w:hanging="360"/>
      </w:pPr>
    </w:lvl>
    <w:lvl w:ilvl="2" w:tplc="041D001B" w:tentative="1">
      <w:start w:val="1"/>
      <w:numFmt w:val="lowerRoman"/>
      <w:lvlText w:val="%3."/>
      <w:lvlJc w:val="right"/>
      <w:pPr>
        <w:tabs>
          <w:tab w:val="num" w:pos="3104"/>
        </w:tabs>
        <w:ind w:left="3104" w:hanging="180"/>
      </w:pPr>
    </w:lvl>
    <w:lvl w:ilvl="3" w:tplc="041D000F" w:tentative="1">
      <w:start w:val="1"/>
      <w:numFmt w:val="decimal"/>
      <w:lvlText w:val="%4."/>
      <w:lvlJc w:val="left"/>
      <w:pPr>
        <w:tabs>
          <w:tab w:val="num" w:pos="3824"/>
        </w:tabs>
        <w:ind w:left="3824" w:hanging="360"/>
      </w:pPr>
    </w:lvl>
    <w:lvl w:ilvl="4" w:tplc="041D0019" w:tentative="1">
      <w:start w:val="1"/>
      <w:numFmt w:val="lowerLetter"/>
      <w:lvlText w:val="%5."/>
      <w:lvlJc w:val="left"/>
      <w:pPr>
        <w:tabs>
          <w:tab w:val="num" w:pos="4544"/>
        </w:tabs>
        <w:ind w:left="4544" w:hanging="360"/>
      </w:pPr>
    </w:lvl>
    <w:lvl w:ilvl="5" w:tplc="041D001B" w:tentative="1">
      <w:start w:val="1"/>
      <w:numFmt w:val="lowerRoman"/>
      <w:lvlText w:val="%6."/>
      <w:lvlJc w:val="right"/>
      <w:pPr>
        <w:tabs>
          <w:tab w:val="num" w:pos="5264"/>
        </w:tabs>
        <w:ind w:left="5264" w:hanging="180"/>
      </w:pPr>
    </w:lvl>
    <w:lvl w:ilvl="6" w:tplc="041D000F" w:tentative="1">
      <w:start w:val="1"/>
      <w:numFmt w:val="decimal"/>
      <w:lvlText w:val="%7."/>
      <w:lvlJc w:val="left"/>
      <w:pPr>
        <w:tabs>
          <w:tab w:val="num" w:pos="5984"/>
        </w:tabs>
        <w:ind w:left="5984" w:hanging="360"/>
      </w:pPr>
    </w:lvl>
    <w:lvl w:ilvl="7" w:tplc="041D0019" w:tentative="1">
      <w:start w:val="1"/>
      <w:numFmt w:val="lowerLetter"/>
      <w:lvlText w:val="%8."/>
      <w:lvlJc w:val="left"/>
      <w:pPr>
        <w:tabs>
          <w:tab w:val="num" w:pos="6704"/>
        </w:tabs>
        <w:ind w:left="6704" w:hanging="360"/>
      </w:pPr>
    </w:lvl>
    <w:lvl w:ilvl="8" w:tplc="041D001B" w:tentative="1">
      <w:start w:val="1"/>
      <w:numFmt w:val="lowerRoman"/>
      <w:lvlText w:val="%9."/>
      <w:lvlJc w:val="right"/>
      <w:pPr>
        <w:tabs>
          <w:tab w:val="num" w:pos="7424"/>
        </w:tabs>
        <w:ind w:left="7424" w:hanging="180"/>
      </w:pPr>
    </w:lvl>
  </w:abstractNum>
  <w:abstractNum w:abstractNumId="8">
    <w:nsid w:val="2568428B"/>
    <w:multiLevelType w:val="hybridMultilevel"/>
    <w:tmpl w:val="BBD8E6D2"/>
    <w:lvl w:ilvl="0" w:tplc="041D000F">
      <w:start w:val="1"/>
      <w:numFmt w:val="decimal"/>
      <w:lvlText w:val="%1."/>
      <w:lvlJc w:val="left"/>
      <w:pPr>
        <w:tabs>
          <w:tab w:val="num" w:pos="720"/>
        </w:tabs>
        <w:ind w:left="720" w:hanging="360"/>
      </w:pPr>
    </w:lvl>
    <w:lvl w:ilvl="1" w:tplc="2A92AFD2">
      <w:start w:val="2"/>
      <w:numFmt w:val="bullet"/>
      <w:lvlText w:val="-"/>
      <w:lvlJc w:val="left"/>
      <w:pPr>
        <w:tabs>
          <w:tab w:val="num" w:pos="1440"/>
        </w:tabs>
        <w:ind w:left="1440" w:hanging="360"/>
      </w:pPr>
      <w:rPr>
        <w:rFonts w:ascii="Garamond" w:eastAsia="Times New Roman" w:hAnsi="Garamond" w:cs="Times New Roman" w:hint="default"/>
      </w:r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9">
    <w:nsid w:val="2D961191"/>
    <w:multiLevelType w:val="hybridMultilevel"/>
    <w:tmpl w:val="501EED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369B1504"/>
    <w:multiLevelType w:val="hybridMultilevel"/>
    <w:tmpl w:val="1B921936"/>
    <w:lvl w:ilvl="0" w:tplc="040C0001">
      <w:start w:val="1"/>
      <w:numFmt w:val="bullet"/>
      <w:lvlText w:val=""/>
      <w:lvlJc w:val="left"/>
      <w:pPr>
        <w:ind w:left="1440" w:hanging="360"/>
      </w:pPr>
      <w:rPr>
        <w:rFonts w:ascii="Symbol" w:hAnsi="Symbol" w:hint="default"/>
      </w:rPr>
    </w:lvl>
    <w:lvl w:ilvl="1" w:tplc="040C0003">
      <w:start w:val="1"/>
      <w:numFmt w:val="bullet"/>
      <w:lvlText w:val="o"/>
      <w:lvlJc w:val="left"/>
      <w:pPr>
        <w:ind w:left="2160" w:hanging="360"/>
      </w:pPr>
      <w:rPr>
        <w:rFonts w:ascii="Courier New" w:hAnsi="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nsid w:val="388E5C0E"/>
    <w:multiLevelType w:val="hybridMultilevel"/>
    <w:tmpl w:val="93FA71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Arial"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Arial"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Arial"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3D2E4B54"/>
    <w:multiLevelType w:val="hybridMultilevel"/>
    <w:tmpl w:val="3CB67F76"/>
    <w:lvl w:ilvl="0" w:tplc="501829EC">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DB929A2"/>
    <w:multiLevelType w:val="hybridMultilevel"/>
    <w:tmpl w:val="D65E810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3DE9468D"/>
    <w:multiLevelType w:val="hybridMultilevel"/>
    <w:tmpl w:val="9A52BFBC"/>
    <w:lvl w:ilvl="0" w:tplc="041D000F">
      <w:start w:val="1"/>
      <w:numFmt w:val="decimal"/>
      <w:lvlText w:val="%1."/>
      <w:lvlJc w:val="left"/>
      <w:pPr>
        <w:tabs>
          <w:tab w:val="num" w:pos="1080"/>
        </w:tabs>
        <w:ind w:left="1080" w:hanging="360"/>
      </w:pPr>
    </w:lvl>
    <w:lvl w:ilvl="1" w:tplc="041D0019" w:tentative="1">
      <w:start w:val="1"/>
      <w:numFmt w:val="lowerLetter"/>
      <w:lvlText w:val="%2."/>
      <w:lvlJc w:val="left"/>
      <w:pPr>
        <w:tabs>
          <w:tab w:val="num" w:pos="1800"/>
        </w:tabs>
        <w:ind w:left="1800" w:hanging="360"/>
      </w:pPr>
    </w:lvl>
    <w:lvl w:ilvl="2" w:tplc="041D001B" w:tentative="1">
      <w:start w:val="1"/>
      <w:numFmt w:val="lowerRoman"/>
      <w:lvlText w:val="%3."/>
      <w:lvlJc w:val="right"/>
      <w:pPr>
        <w:tabs>
          <w:tab w:val="num" w:pos="2520"/>
        </w:tabs>
        <w:ind w:left="2520" w:hanging="180"/>
      </w:pPr>
    </w:lvl>
    <w:lvl w:ilvl="3" w:tplc="041D000F" w:tentative="1">
      <w:start w:val="1"/>
      <w:numFmt w:val="decimal"/>
      <w:lvlText w:val="%4."/>
      <w:lvlJc w:val="left"/>
      <w:pPr>
        <w:tabs>
          <w:tab w:val="num" w:pos="3240"/>
        </w:tabs>
        <w:ind w:left="3240" w:hanging="360"/>
      </w:pPr>
    </w:lvl>
    <w:lvl w:ilvl="4" w:tplc="041D0019" w:tentative="1">
      <w:start w:val="1"/>
      <w:numFmt w:val="lowerLetter"/>
      <w:lvlText w:val="%5."/>
      <w:lvlJc w:val="left"/>
      <w:pPr>
        <w:tabs>
          <w:tab w:val="num" w:pos="3960"/>
        </w:tabs>
        <w:ind w:left="3960" w:hanging="360"/>
      </w:pPr>
    </w:lvl>
    <w:lvl w:ilvl="5" w:tplc="041D001B" w:tentative="1">
      <w:start w:val="1"/>
      <w:numFmt w:val="lowerRoman"/>
      <w:lvlText w:val="%6."/>
      <w:lvlJc w:val="right"/>
      <w:pPr>
        <w:tabs>
          <w:tab w:val="num" w:pos="4680"/>
        </w:tabs>
        <w:ind w:left="4680" w:hanging="180"/>
      </w:pPr>
    </w:lvl>
    <w:lvl w:ilvl="6" w:tplc="041D000F" w:tentative="1">
      <w:start w:val="1"/>
      <w:numFmt w:val="decimal"/>
      <w:lvlText w:val="%7."/>
      <w:lvlJc w:val="left"/>
      <w:pPr>
        <w:tabs>
          <w:tab w:val="num" w:pos="5400"/>
        </w:tabs>
        <w:ind w:left="5400" w:hanging="360"/>
      </w:pPr>
    </w:lvl>
    <w:lvl w:ilvl="7" w:tplc="041D0019" w:tentative="1">
      <w:start w:val="1"/>
      <w:numFmt w:val="lowerLetter"/>
      <w:lvlText w:val="%8."/>
      <w:lvlJc w:val="left"/>
      <w:pPr>
        <w:tabs>
          <w:tab w:val="num" w:pos="6120"/>
        </w:tabs>
        <w:ind w:left="6120" w:hanging="360"/>
      </w:pPr>
    </w:lvl>
    <w:lvl w:ilvl="8" w:tplc="041D001B" w:tentative="1">
      <w:start w:val="1"/>
      <w:numFmt w:val="lowerRoman"/>
      <w:lvlText w:val="%9."/>
      <w:lvlJc w:val="right"/>
      <w:pPr>
        <w:tabs>
          <w:tab w:val="num" w:pos="6840"/>
        </w:tabs>
        <w:ind w:left="6840" w:hanging="180"/>
      </w:pPr>
    </w:lvl>
  </w:abstractNum>
  <w:abstractNum w:abstractNumId="15">
    <w:nsid w:val="3DF76288"/>
    <w:multiLevelType w:val="hybridMultilevel"/>
    <w:tmpl w:val="73CAA47C"/>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nsid w:val="3E1F7E47"/>
    <w:multiLevelType w:val="hybridMultilevel"/>
    <w:tmpl w:val="77D0C2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40D60DA4"/>
    <w:multiLevelType w:val="hybridMultilevel"/>
    <w:tmpl w:val="F39AF520"/>
    <w:lvl w:ilvl="0" w:tplc="04090001">
      <w:start w:val="1"/>
      <w:numFmt w:val="bullet"/>
      <w:lvlText w:val=""/>
      <w:lvlJc w:val="left"/>
      <w:pPr>
        <w:tabs>
          <w:tab w:val="num" w:pos="720"/>
        </w:tabs>
        <w:ind w:left="720" w:hanging="360"/>
      </w:pPr>
      <w:rPr>
        <w:rFonts w:ascii="Symbol" w:hAnsi="Symbol" w:hint="default"/>
      </w:rPr>
    </w:lvl>
    <w:lvl w:ilvl="1" w:tplc="501829EC">
      <w:start w:val="1"/>
      <w:numFmt w:val="bullet"/>
      <w:lvlText w:val=""/>
      <w:lvlJc w:val="left"/>
      <w:pPr>
        <w:tabs>
          <w:tab w:val="num" w:pos="1440"/>
        </w:tabs>
        <w:ind w:left="1440" w:hanging="360"/>
      </w:pPr>
      <w:rPr>
        <w:rFonts w:ascii="Symbol" w:hAnsi="Symbol" w:hint="default"/>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40F4903"/>
    <w:multiLevelType w:val="hybridMultilevel"/>
    <w:tmpl w:val="622A3CCA"/>
    <w:lvl w:ilvl="0" w:tplc="04090001">
      <w:start w:val="1"/>
      <w:numFmt w:val="bullet"/>
      <w:lvlText w:val=""/>
      <w:lvlJc w:val="left"/>
      <w:pPr>
        <w:tabs>
          <w:tab w:val="num" w:pos="1485"/>
        </w:tabs>
        <w:ind w:left="1485" w:hanging="360"/>
      </w:pPr>
      <w:rPr>
        <w:rFonts w:ascii="Symbol" w:hAnsi="Symbol" w:hint="default"/>
      </w:rPr>
    </w:lvl>
    <w:lvl w:ilvl="1" w:tplc="04090003">
      <w:start w:val="1"/>
      <w:numFmt w:val="bullet"/>
      <w:lvlText w:val="o"/>
      <w:lvlJc w:val="left"/>
      <w:pPr>
        <w:tabs>
          <w:tab w:val="num" w:pos="1485"/>
        </w:tabs>
        <w:ind w:left="1485" w:hanging="360"/>
      </w:pPr>
      <w:rPr>
        <w:rFonts w:ascii="Courier New" w:hAnsi="Courier New" w:hint="default"/>
      </w:rPr>
    </w:lvl>
    <w:lvl w:ilvl="2" w:tplc="0409000F">
      <w:start w:val="1"/>
      <w:numFmt w:val="decimal"/>
      <w:lvlText w:val="%3."/>
      <w:lvlJc w:val="left"/>
      <w:pPr>
        <w:tabs>
          <w:tab w:val="num" w:pos="2925"/>
        </w:tabs>
        <w:ind w:left="2925" w:hanging="360"/>
      </w:pPr>
      <w:rPr>
        <w:rFonts w:hint="default"/>
      </w:rPr>
    </w:lvl>
    <w:lvl w:ilvl="3" w:tplc="04090001" w:tentative="1">
      <w:start w:val="1"/>
      <w:numFmt w:val="bullet"/>
      <w:lvlText w:val=""/>
      <w:lvlJc w:val="left"/>
      <w:pPr>
        <w:tabs>
          <w:tab w:val="num" w:pos="3645"/>
        </w:tabs>
        <w:ind w:left="3645" w:hanging="360"/>
      </w:pPr>
      <w:rPr>
        <w:rFonts w:ascii="Symbol" w:hAnsi="Symbol" w:hint="default"/>
      </w:rPr>
    </w:lvl>
    <w:lvl w:ilvl="4" w:tplc="04090003" w:tentative="1">
      <w:start w:val="1"/>
      <w:numFmt w:val="bullet"/>
      <w:lvlText w:val="o"/>
      <w:lvlJc w:val="left"/>
      <w:pPr>
        <w:tabs>
          <w:tab w:val="num" w:pos="4365"/>
        </w:tabs>
        <w:ind w:left="4365" w:hanging="360"/>
      </w:pPr>
      <w:rPr>
        <w:rFonts w:ascii="Courier New" w:hAnsi="Courier New" w:hint="default"/>
      </w:rPr>
    </w:lvl>
    <w:lvl w:ilvl="5" w:tplc="04090005" w:tentative="1">
      <w:start w:val="1"/>
      <w:numFmt w:val="bullet"/>
      <w:lvlText w:val=""/>
      <w:lvlJc w:val="left"/>
      <w:pPr>
        <w:tabs>
          <w:tab w:val="num" w:pos="5085"/>
        </w:tabs>
        <w:ind w:left="5085" w:hanging="360"/>
      </w:pPr>
      <w:rPr>
        <w:rFonts w:ascii="Wingdings" w:hAnsi="Wingdings" w:hint="default"/>
      </w:rPr>
    </w:lvl>
    <w:lvl w:ilvl="6" w:tplc="04090001" w:tentative="1">
      <w:start w:val="1"/>
      <w:numFmt w:val="bullet"/>
      <w:lvlText w:val=""/>
      <w:lvlJc w:val="left"/>
      <w:pPr>
        <w:tabs>
          <w:tab w:val="num" w:pos="5805"/>
        </w:tabs>
        <w:ind w:left="5805" w:hanging="360"/>
      </w:pPr>
      <w:rPr>
        <w:rFonts w:ascii="Symbol" w:hAnsi="Symbol" w:hint="default"/>
      </w:rPr>
    </w:lvl>
    <w:lvl w:ilvl="7" w:tplc="04090003" w:tentative="1">
      <w:start w:val="1"/>
      <w:numFmt w:val="bullet"/>
      <w:lvlText w:val="o"/>
      <w:lvlJc w:val="left"/>
      <w:pPr>
        <w:tabs>
          <w:tab w:val="num" w:pos="6525"/>
        </w:tabs>
        <w:ind w:left="6525" w:hanging="360"/>
      </w:pPr>
      <w:rPr>
        <w:rFonts w:ascii="Courier New" w:hAnsi="Courier New" w:hint="default"/>
      </w:rPr>
    </w:lvl>
    <w:lvl w:ilvl="8" w:tplc="04090005" w:tentative="1">
      <w:start w:val="1"/>
      <w:numFmt w:val="bullet"/>
      <w:lvlText w:val=""/>
      <w:lvlJc w:val="left"/>
      <w:pPr>
        <w:tabs>
          <w:tab w:val="num" w:pos="7245"/>
        </w:tabs>
        <w:ind w:left="7245" w:hanging="360"/>
      </w:pPr>
      <w:rPr>
        <w:rFonts w:ascii="Wingdings" w:hAnsi="Wingdings" w:hint="default"/>
      </w:rPr>
    </w:lvl>
  </w:abstractNum>
  <w:abstractNum w:abstractNumId="19">
    <w:nsid w:val="495F05BB"/>
    <w:multiLevelType w:val="hybridMultilevel"/>
    <w:tmpl w:val="24529F70"/>
    <w:lvl w:ilvl="0" w:tplc="041D000F">
      <w:start w:val="1"/>
      <w:numFmt w:val="decimal"/>
      <w:lvlText w:val="%1."/>
      <w:lvlJc w:val="left"/>
      <w:pPr>
        <w:ind w:left="1440" w:hanging="360"/>
      </w:pPr>
    </w:lvl>
    <w:lvl w:ilvl="1" w:tplc="041D0019" w:tentative="1">
      <w:start w:val="1"/>
      <w:numFmt w:val="lowerLetter"/>
      <w:lvlText w:val="%2."/>
      <w:lvlJc w:val="left"/>
      <w:pPr>
        <w:tabs>
          <w:tab w:val="num" w:pos="2160"/>
        </w:tabs>
        <w:ind w:left="2160" w:hanging="360"/>
      </w:pPr>
    </w:lvl>
    <w:lvl w:ilvl="2" w:tplc="041D001B" w:tentative="1">
      <w:start w:val="1"/>
      <w:numFmt w:val="lowerRoman"/>
      <w:lvlText w:val="%3."/>
      <w:lvlJc w:val="right"/>
      <w:pPr>
        <w:tabs>
          <w:tab w:val="num" w:pos="2880"/>
        </w:tabs>
        <w:ind w:left="2880" w:hanging="180"/>
      </w:pPr>
    </w:lvl>
    <w:lvl w:ilvl="3" w:tplc="041D000F" w:tentative="1">
      <w:start w:val="1"/>
      <w:numFmt w:val="decimal"/>
      <w:lvlText w:val="%4."/>
      <w:lvlJc w:val="left"/>
      <w:pPr>
        <w:tabs>
          <w:tab w:val="num" w:pos="3600"/>
        </w:tabs>
        <w:ind w:left="3600" w:hanging="360"/>
      </w:pPr>
    </w:lvl>
    <w:lvl w:ilvl="4" w:tplc="041D0019" w:tentative="1">
      <w:start w:val="1"/>
      <w:numFmt w:val="lowerLetter"/>
      <w:lvlText w:val="%5."/>
      <w:lvlJc w:val="left"/>
      <w:pPr>
        <w:tabs>
          <w:tab w:val="num" w:pos="4320"/>
        </w:tabs>
        <w:ind w:left="4320" w:hanging="360"/>
      </w:pPr>
    </w:lvl>
    <w:lvl w:ilvl="5" w:tplc="041D001B" w:tentative="1">
      <w:start w:val="1"/>
      <w:numFmt w:val="lowerRoman"/>
      <w:lvlText w:val="%6."/>
      <w:lvlJc w:val="right"/>
      <w:pPr>
        <w:tabs>
          <w:tab w:val="num" w:pos="5040"/>
        </w:tabs>
        <w:ind w:left="5040" w:hanging="180"/>
      </w:pPr>
    </w:lvl>
    <w:lvl w:ilvl="6" w:tplc="041D000F" w:tentative="1">
      <w:start w:val="1"/>
      <w:numFmt w:val="decimal"/>
      <w:lvlText w:val="%7."/>
      <w:lvlJc w:val="left"/>
      <w:pPr>
        <w:tabs>
          <w:tab w:val="num" w:pos="5760"/>
        </w:tabs>
        <w:ind w:left="5760" w:hanging="360"/>
      </w:pPr>
    </w:lvl>
    <w:lvl w:ilvl="7" w:tplc="041D0019" w:tentative="1">
      <w:start w:val="1"/>
      <w:numFmt w:val="lowerLetter"/>
      <w:lvlText w:val="%8."/>
      <w:lvlJc w:val="left"/>
      <w:pPr>
        <w:tabs>
          <w:tab w:val="num" w:pos="6480"/>
        </w:tabs>
        <w:ind w:left="6480" w:hanging="360"/>
      </w:pPr>
    </w:lvl>
    <w:lvl w:ilvl="8" w:tplc="041D001B" w:tentative="1">
      <w:start w:val="1"/>
      <w:numFmt w:val="lowerRoman"/>
      <w:lvlText w:val="%9."/>
      <w:lvlJc w:val="right"/>
      <w:pPr>
        <w:tabs>
          <w:tab w:val="num" w:pos="7200"/>
        </w:tabs>
        <w:ind w:left="7200" w:hanging="180"/>
      </w:pPr>
    </w:lvl>
  </w:abstractNum>
  <w:abstractNum w:abstractNumId="20">
    <w:nsid w:val="4BBD6729"/>
    <w:multiLevelType w:val="hybridMultilevel"/>
    <w:tmpl w:val="E1B6A5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Arial"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Arial"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Arial"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4D435AE6"/>
    <w:multiLevelType w:val="hybridMultilevel"/>
    <w:tmpl w:val="026AF692"/>
    <w:lvl w:ilvl="0" w:tplc="041D000F">
      <w:start w:val="1"/>
      <w:numFmt w:val="decimal"/>
      <w:lvlText w:val="%1."/>
      <w:lvlJc w:val="left"/>
      <w:pPr>
        <w:ind w:left="784" w:hanging="360"/>
      </w:pPr>
    </w:lvl>
    <w:lvl w:ilvl="1" w:tplc="041D0019" w:tentative="1">
      <w:start w:val="1"/>
      <w:numFmt w:val="lowerLetter"/>
      <w:lvlText w:val="%2."/>
      <w:lvlJc w:val="left"/>
      <w:pPr>
        <w:ind w:left="1504" w:hanging="360"/>
      </w:pPr>
    </w:lvl>
    <w:lvl w:ilvl="2" w:tplc="041D001B" w:tentative="1">
      <w:start w:val="1"/>
      <w:numFmt w:val="lowerRoman"/>
      <w:lvlText w:val="%3."/>
      <w:lvlJc w:val="right"/>
      <w:pPr>
        <w:ind w:left="2224" w:hanging="180"/>
      </w:pPr>
    </w:lvl>
    <w:lvl w:ilvl="3" w:tplc="041D000F" w:tentative="1">
      <w:start w:val="1"/>
      <w:numFmt w:val="decimal"/>
      <w:lvlText w:val="%4."/>
      <w:lvlJc w:val="left"/>
      <w:pPr>
        <w:ind w:left="2944" w:hanging="360"/>
      </w:pPr>
    </w:lvl>
    <w:lvl w:ilvl="4" w:tplc="041D0019" w:tentative="1">
      <w:start w:val="1"/>
      <w:numFmt w:val="lowerLetter"/>
      <w:lvlText w:val="%5."/>
      <w:lvlJc w:val="left"/>
      <w:pPr>
        <w:ind w:left="3664" w:hanging="360"/>
      </w:pPr>
    </w:lvl>
    <w:lvl w:ilvl="5" w:tplc="041D001B" w:tentative="1">
      <w:start w:val="1"/>
      <w:numFmt w:val="lowerRoman"/>
      <w:lvlText w:val="%6."/>
      <w:lvlJc w:val="right"/>
      <w:pPr>
        <w:ind w:left="4384" w:hanging="180"/>
      </w:pPr>
    </w:lvl>
    <w:lvl w:ilvl="6" w:tplc="041D000F" w:tentative="1">
      <w:start w:val="1"/>
      <w:numFmt w:val="decimal"/>
      <w:lvlText w:val="%7."/>
      <w:lvlJc w:val="left"/>
      <w:pPr>
        <w:ind w:left="5104" w:hanging="360"/>
      </w:pPr>
    </w:lvl>
    <w:lvl w:ilvl="7" w:tplc="041D0019" w:tentative="1">
      <w:start w:val="1"/>
      <w:numFmt w:val="lowerLetter"/>
      <w:lvlText w:val="%8."/>
      <w:lvlJc w:val="left"/>
      <w:pPr>
        <w:ind w:left="5824" w:hanging="360"/>
      </w:pPr>
    </w:lvl>
    <w:lvl w:ilvl="8" w:tplc="041D001B" w:tentative="1">
      <w:start w:val="1"/>
      <w:numFmt w:val="lowerRoman"/>
      <w:lvlText w:val="%9."/>
      <w:lvlJc w:val="right"/>
      <w:pPr>
        <w:ind w:left="6544" w:hanging="180"/>
      </w:pPr>
    </w:lvl>
  </w:abstractNum>
  <w:abstractNum w:abstractNumId="22">
    <w:nsid w:val="50773BF4"/>
    <w:multiLevelType w:val="hybridMultilevel"/>
    <w:tmpl w:val="9588FD3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50B74D07"/>
    <w:multiLevelType w:val="hybridMultilevel"/>
    <w:tmpl w:val="A1223A96"/>
    <w:lvl w:ilvl="0" w:tplc="041D000F">
      <w:start w:val="1"/>
      <w:numFmt w:val="decimal"/>
      <w:lvlText w:val="%1."/>
      <w:lvlJc w:val="left"/>
      <w:pPr>
        <w:tabs>
          <w:tab w:val="num" w:pos="720"/>
        </w:tabs>
        <w:ind w:left="720" w:hanging="360"/>
      </w:p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24">
    <w:nsid w:val="52B07AAC"/>
    <w:multiLevelType w:val="hybridMultilevel"/>
    <w:tmpl w:val="346204DE"/>
    <w:lvl w:ilvl="0" w:tplc="501829EC">
      <w:start w:val="1"/>
      <w:numFmt w:val="bullet"/>
      <w:lvlText w:val=""/>
      <w:lvlJc w:val="left"/>
      <w:pPr>
        <w:tabs>
          <w:tab w:val="num" w:pos="720"/>
        </w:tabs>
        <w:ind w:left="720" w:hanging="360"/>
      </w:pPr>
      <w:rPr>
        <w:rFonts w:ascii="Symbol" w:hAnsi="Symbol" w:hint="default"/>
        <w:sz w:val="20"/>
      </w:rPr>
    </w:lvl>
    <w:lvl w:ilvl="1" w:tplc="D250F028">
      <w:start w:val="1"/>
      <w:numFmt w:val="bullet"/>
      <w:lvlText w:val=""/>
      <w:lvlJc w:val="left"/>
      <w:pPr>
        <w:tabs>
          <w:tab w:val="num" w:pos="1440"/>
        </w:tabs>
        <w:ind w:left="1440" w:hanging="360"/>
      </w:pPr>
      <w:rPr>
        <w:rFonts w:ascii="Symbol" w:hAnsi="Symbol" w:hint="default"/>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652606F"/>
    <w:multiLevelType w:val="multilevel"/>
    <w:tmpl w:val="AB08023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6">
    <w:nsid w:val="56937F9C"/>
    <w:multiLevelType w:val="hybridMultilevel"/>
    <w:tmpl w:val="B6BCC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nsid w:val="571B7963"/>
    <w:multiLevelType w:val="hybridMultilevel"/>
    <w:tmpl w:val="566021F2"/>
    <w:lvl w:ilvl="0" w:tplc="501829EC">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C516162"/>
    <w:multiLevelType w:val="hybridMultilevel"/>
    <w:tmpl w:val="782239F6"/>
    <w:lvl w:ilvl="0" w:tplc="BE8A49FE">
      <w:numFmt w:val="bullet"/>
      <w:lvlText w:val="-"/>
      <w:lvlJc w:val="left"/>
      <w:pPr>
        <w:tabs>
          <w:tab w:val="num" w:pos="720"/>
        </w:tabs>
        <w:ind w:left="720" w:hanging="360"/>
      </w:pPr>
      <w:rPr>
        <w:rFonts w:ascii="Tahoma" w:eastAsia="@BatangChe" w:hAnsi="Tahoma" w:cs="@BatangChe" w:hint="default"/>
      </w:rPr>
    </w:lvl>
    <w:lvl w:ilvl="1" w:tplc="041D000F">
      <w:start w:val="1"/>
      <w:numFmt w:val="decimal"/>
      <w:lvlText w:val="%2."/>
      <w:lvlJc w:val="left"/>
      <w:pPr>
        <w:tabs>
          <w:tab w:val="num" w:pos="1440"/>
        </w:tabs>
        <w:ind w:left="1440" w:hanging="360"/>
      </w:pPr>
      <w:rPr>
        <w:rFonts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BatangChe"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BatangChe"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29">
    <w:nsid w:val="6214724A"/>
    <w:multiLevelType w:val="hybridMultilevel"/>
    <w:tmpl w:val="893AE514"/>
    <w:lvl w:ilvl="0" w:tplc="041D000F">
      <w:start w:val="1"/>
      <w:numFmt w:val="decimal"/>
      <w:lvlText w:val="%1."/>
      <w:lvlJc w:val="left"/>
      <w:pPr>
        <w:ind w:left="1440" w:hanging="360"/>
      </w:pPr>
    </w:lvl>
    <w:lvl w:ilvl="1" w:tplc="041D0019" w:tentative="1">
      <w:start w:val="1"/>
      <w:numFmt w:val="lowerLetter"/>
      <w:lvlText w:val="%2."/>
      <w:lvlJc w:val="left"/>
      <w:pPr>
        <w:tabs>
          <w:tab w:val="num" w:pos="2160"/>
        </w:tabs>
        <w:ind w:left="2160" w:hanging="360"/>
      </w:pPr>
    </w:lvl>
    <w:lvl w:ilvl="2" w:tplc="041D001B" w:tentative="1">
      <w:start w:val="1"/>
      <w:numFmt w:val="lowerRoman"/>
      <w:lvlText w:val="%3."/>
      <w:lvlJc w:val="right"/>
      <w:pPr>
        <w:tabs>
          <w:tab w:val="num" w:pos="2880"/>
        </w:tabs>
        <w:ind w:left="2880" w:hanging="180"/>
      </w:pPr>
    </w:lvl>
    <w:lvl w:ilvl="3" w:tplc="041D000F" w:tentative="1">
      <w:start w:val="1"/>
      <w:numFmt w:val="decimal"/>
      <w:lvlText w:val="%4."/>
      <w:lvlJc w:val="left"/>
      <w:pPr>
        <w:tabs>
          <w:tab w:val="num" w:pos="3600"/>
        </w:tabs>
        <w:ind w:left="3600" w:hanging="360"/>
      </w:pPr>
    </w:lvl>
    <w:lvl w:ilvl="4" w:tplc="041D0019" w:tentative="1">
      <w:start w:val="1"/>
      <w:numFmt w:val="lowerLetter"/>
      <w:lvlText w:val="%5."/>
      <w:lvlJc w:val="left"/>
      <w:pPr>
        <w:tabs>
          <w:tab w:val="num" w:pos="4320"/>
        </w:tabs>
        <w:ind w:left="4320" w:hanging="360"/>
      </w:pPr>
    </w:lvl>
    <w:lvl w:ilvl="5" w:tplc="041D001B" w:tentative="1">
      <w:start w:val="1"/>
      <w:numFmt w:val="lowerRoman"/>
      <w:lvlText w:val="%6."/>
      <w:lvlJc w:val="right"/>
      <w:pPr>
        <w:tabs>
          <w:tab w:val="num" w:pos="5040"/>
        </w:tabs>
        <w:ind w:left="5040" w:hanging="180"/>
      </w:pPr>
    </w:lvl>
    <w:lvl w:ilvl="6" w:tplc="041D000F" w:tentative="1">
      <w:start w:val="1"/>
      <w:numFmt w:val="decimal"/>
      <w:lvlText w:val="%7."/>
      <w:lvlJc w:val="left"/>
      <w:pPr>
        <w:tabs>
          <w:tab w:val="num" w:pos="5760"/>
        </w:tabs>
        <w:ind w:left="5760" w:hanging="360"/>
      </w:pPr>
    </w:lvl>
    <w:lvl w:ilvl="7" w:tplc="041D0019" w:tentative="1">
      <w:start w:val="1"/>
      <w:numFmt w:val="lowerLetter"/>
      <w:lvlText w:val="%8."/>
      <w:lvlJc w:val="left"/>
      <w:pPr>
        <w:tabs>
          <w:tab w:val="num" w:pos="6480"/>
        </w:tabs>
        <w:ind w:left="6480" w:hanging="360"/>
      </w:pPr>
    </w:lvl>
    <w:lvl w:ilvl="8" w:tplc="041D001B" w:tentative="1">
      <w:start w:val="1"/>
      <w:numFmt w:val="lowerRoman"/>
      <w:lvlText w:val="%9."/>
      <w:lvlJc w:val="right"/>
      <w:pPr>
        <w:tabs>
          <w:tab w:val="num" w:pos="7200"/>
        </w:tabs>
        <w:ind w:left="7200" w:hanging="180"/>
      </w:pPr>
    </w:lvl>
  </w:abstractNum>
  <w:abstractNum w:abstractNumId="30">
    <w:nsid w:val="6D785944"/>
    <w:multiLevelType w:val="hybridMultilevel"/>
    <w:tmpl w:val="B7829424"/>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nsid w:val="6F240D47"/>
    <w:multiLevelType w:val="hybridMultilevel"/>
    <w:tmpl w:val="044079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nsid w:val="7A41533E"/>
    <w:multiLevelType w:val="hybridMultilevel"/>
    <w:tmpl w:val="5ECACA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Arial"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Arial"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Arial" w:hint="default"/>
      </w:rPr>
    </w:lvl>
    <w:lvl w:ilvl="8" w:tplc="041D0005" w:tentative="1">
      <w:start w:val="1"/>
      <w:numFmt w:val="bullet"/>
      <w:lvlText w:val=""/>
      <w:lvlJc w:val="left"/>
      <w:pPr>
        <w:ind w:left="6480" w:hanging="360"/>
      </w:pPr>
      <w:rPr>
        <w:rFonts w:ascii="Wingdings" w:hAnsi="Wingdings" w:hint="default"/>
      </w:rPr>
    </w:lvl>
  </w:abstractNum>
  <w:abstractNum w:abstractNumId="33">
    <w:nsid w:val="7A8C1137"/>
    <w:multiLevelType w:val="hybridMultilevel"/>
    <w:tmpl w:val="5114EFF2"/>
    <w:lvl w:ilvl="0" w:tplc="04090003">
      <w:start w:val="1"/>
      <w:numFmt w:val="bullet"/>
      <w:lvlText w:val="o"/>
      <w:lvlJc w:val="left"/>
      <w:pPr>
        <w:tabs>
          <w:tab w:val="num" w:pos="1485"/>
        </w:tabs>
        <w:ind w:left="1485" w:hanging="360"/>
      </w:pPr>
      <w:rPr>
        <w:rFonts w:ascii="Courier New" w:hAnsi="Courier New" w:cs="Arial" w:hint="default"/>
        <w:sz w:val="20"/>
      </w:rPr>
    </w:lvl>
    <w:lvl w:ilvl="1" w:tplc="04090019">
      <w:start w:val="1"/>
      <w:numFmt w:val="lowerLetter"/>
      <w:lvlText w:val="%2."/>
      <w:lvlJc w:val="left"/>
      <w:pPr>
        <w:tabs>
          <w:tab w:val="num" w:pos="2205"/>
        </w:tabs>
        <w:ind w:left="2205" w:hanging="360"/>
      </w:pPr>
      <w:rPr>
        <w:rFonts w:cs="Times New Roman"/>
      </w:rPr>
    </w:lvl>
    <w:lvl w:ilvl="2" w:tplc="0409001B" w:tentative="1">
      <w:start w:val="1"/>
      <w:numFmt w:val="lowerRoman"/>
      <w:lvlText w:val="%3."/>
      <w:lvlJc w:val="right"/>
      <w:pPr>
        <w:tabs>
          <w:tab w:val="num" w:pos="2925"/>
        </w:tabs>
        <w:ind w:left="2925" w:hanging="180"/>
      </w:pPr>
      <w:rPr>
        <w:rFonts w:cs="Times New Roman"/>
      </w:rPr>
    </w:lvl>
    <w:lvl w:ilvl="3" w:tplc="0409000F" w:tentative="1">
      <w:start w:val="1"/>
      <w:numFmt w:val="decimal"/>
      <w:lvlText w:val="%4."/>
      <w:lvlJc w:val="left"/>
      <w:pPr>
        <w:tabs>
          <w:tab w:val="num" w:pos="3645"/>
        </w:tabs>
        <w:ind w:left="3645" w:hanging="360"/>
      </w:pPr>
      <w:rPr>
        <w:rFonts w:cs="Times New Roman"/>
      </w:rPr>
    </w:lvl>
    <w:lvl w:ilvl="4" w:tplc="04090019" w:tentative="1">
      <w:start w:val="1"/>
      <w:numFmt w:val="lowerLetter"/>
      <w:lvlText w:val="%5."/>
      <w:lvlJc w:val="left"/>
      <w:pPr>
        <w:tabs>
          <w:tab w:val="num" w:pos="4365"/>
        </w:tabs>
        <w:ind w:left="4365" w:hanging="360"/>
      </w:pPr>
      <w:rPr>
        <w:rFonts w:cs="Times New Roman"/>
      </w:rPr>
    </w:lvl>
    <w:lvl w:ilvl="5" w:tplc="0409001B" w:tentative="1">
      <w:start w:val="1"/>
      <w:numFmt w:val="lowerRoman"/>
      <w:lvlText w:val="%6."/>
      <w:lvlJc w:val="right"/>
      <w:pPr>
        <w:tabs>
          <w:tab w:val="num" w:pos="5085"/>
        </w:tabs>
        <w:ind w:left="5085" w:hanging="180"/>
      </w:pPr>
      <w:rPr>
        <w:rFonts w:cs="Times New Roman"/>
      </w:rPr>
    </w:lvl>
    <w:lvl w:ilvl="6" w:tplc="0409000F" w:tentative="1">
      <w:start w:val="1"/>
      <w:numFmt w:val="decimal"/>
      <w:lvlText w:val="%7."/>
      <w:lvlJc w:val="left"/>
      <w:pPr>
        <w:tabs>
          <w:tab w:val="num" w:pos="5805"/>
        </w:tabs>
        <w:ind w:left="5805" w:hanging="360"/>
      </w:pPr>
      <w:rPr>
        <w:rFonts w:cs="Times New Roman"/>
      </w:rPr>
    </w:lvl>
    <w:lvl w:ilvl="7" w:tplc="04090019" w:tentative="1">
      <w:start w:val="1"/>
      <w:numFmt w:val="lowerLetter"/>
      <w:lvlText w:val="%8."/>
      <w:lvlJc w:val="left"/>
      <w:pPr>
        <w:tabs>
          <w:tab w:val="num" w:pos="6525"/>
        </w:tabs>
        <w:ind w:left="6525" w:hanging="360"/>
      </w:pPr>
      <w:rPr>
        <w:rFonts w:cs="Times New Roman"/>
      </w:rPr>
    </w:lvl>
    <w:lvl w:ilvl="8" w:tplc="0409001B" w:tentative="1">
      <w:start w:val="1"/>
      <w:numFmt w:val="lowerRoman"/>
      <w:lvlText w:val="%9."/>
      <w:lvlJc w:val="right"/>
      <w:pPr>
        <w:tabs>
          <w:tab w:val="num" w:pos="7245"/>
        </w:tabs>
        <w:ind w:left="7245" w:hanging="180"/>
      </w:pPr>
      <w:rPr>
        <w:rFonts w:cs="Times New Roman"/>
      </w:rPr>
    </w:lvl>
  </w:abstractNum>
  <w:abstractNum w:abstractNumId="34">
    <w:nsid w:val="7B276727"/>
    <w:multiLevelType w:val="multilevel"/>
    <w:tmpl w:val="FBFEC3B6"/>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3"/>
  </w:num>
  <w:num w:numId="2">
    <w:abstractNumId w:val="34"/>
  </w:num>
  <w:num w:numId="3">
    <w:abstractNumId w:val="9"/>
  </w:num>
  <w:num w:numId="4">
    <w:abstractNumId w:val="31"/>
  </w:num>
  <w:num w:numId="5">
    <w:abstractNumId w:val="32"/>
  </w:num>
  <w:num w:numId="6">
    <w:abstractNumId w:val="11"/>
  </w:num>
  <w:num w:numId="7">
    <w:abstractNumId w:val="13"/>
  </w:num>
  <w:num w:numId="8">
    <w:abstractNumId w:val="22"/>
  </w:num>
  <w:num w:numId="9">
    <w:abstractNumId w:val="6"/>
  </w:num>
  <w:num w:numId="10">
    <w:abstractNumId w:val="30"/>
  </w:num>
  <w:num w:numId="11">
    <w:abstractNumId w:val="21"/>
  </w:num>
  <w:num w:numId="12">
    <w:abstractNumId w:val="10"/>
  </w:num>
  <w:num w:numId="13">
    <w:abstractNumId w:val="17"/>
  </w:num>
  <w:num w:numId="14">
    <w:abstractNumId w:val="24"/>
  </w:num>
  <w:num w:numId="15">
    <w:abstractNumId w:val="0"/>
  </w:num>
  <w:num w:numId="16">
    <w:abstractNumId w:val="12"/>
  </w:num>
  <w:num w:numId="17">
    <w:abstractNumId w:val="15"/>
  </w:num>
  <w:num w:numId="18">
    <w:abstractNumId w:val="27"/>
  </w:num>
  <w:num w:numId="19">
    <w:abstractNumId w:val="4"/>
  </w:num>
  <w:num w:numId="20">
    <w:abstractNumId w:val="18"/>
  </w:num>
  <w:num w:numId="21">
    <w:abstractNumId w:val="16"/>
  </w:num>
  <w:num w:numId="22">
    <w:abstractNumId w:val="33"/>
  </w:num>
  <w:num w:numId="23">
    <w:abstractNumId w:val="1"/>
  </w:num>
  <w:num w:numId="24">
    <w:abstractNumId w:val="26"/>
  </w:num>
  <w:num w:numId="25">
    <w:abstractNumId w:val="2"/>
  </w:num>
  <w:num w:numId="26">
    <w:abstractNumId w:val="5"/>
  </w:num>
  <w:num w:numId="27">
    <w:abstractNumId w:val="20"/>
  </w:num>
  <w:num w:numId="28">
    <w:abstractNumId w:val="25"/>
  </w:num>
  <w:num w:numId="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8"/>
  </w:num>
  <w:num w:numId="38">
    <w:abstractNumId w:val="28"/>
  </w:num>
  <w:num w:numId="39">
    <w:abstractNumId w:val="23"/>
  </w:num>
  <w:num w:numId="40">
    <w:abstractNumId w:val="29"/>
  </w:num>
  <w:num w:numId="41">
    <w:abstractNumId w:val="19"/>
  </w:num>
  <w:num w:numId="42">
    <w:abstractNumId w:val="7"/>
  </w:num>
  <w:num w:numId="43">
    <w:abstractNumId w:val="14"/>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defaultTabStop w:val="1304"/>
  <w:hyphenationZone w:val="425"/>
  <w:defaultTableStyle w:val="MediumGrid3-Accent1"/>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23A7"/>
    <w:rsid w:val="00006155"/>
    <w:rsid w:val="00011CA7"/>
    <w:rsid w:val="0001533C"/>
    <w:rsid w:val="00015C3F"/>
    <w:rsid w:val="000207AC"/>
    <w:rsid w:val="000239A3"/>
    <w:rsid w:val="00027A1C"/>
    <w:rsid w:val="00030AAE"/>
    <w:rsid w:val="00032F8D"/>
    <w:rsid w:val="00054561"/>
    <w:rsid w:val="00061606"/>
    <w:rsid w:val="00061C26"/>
    <w:rsid w:val="000719E3"/>
    <w:rsid w:val="000829F6"/>
    <w:rsid w:val="00083B86"/>
    <w:rsid w:val="00084175"/>
    <w:rsid w:val="00097557"/>
    <w:rsid w:val="00097AC2"/>
    <w:rsid w:val="00097DEA"/>
    <w:rsid w:val="000A1139"/>
    <w:rsid w:val="000B2228"/>
    <w:rsid w:val="000D257E"/>
    <w:rsid w:val="000D3982"/>
    <w:rsid w:val="000D6860"/>
    <w:rsid w:val="000F3C9A"/>
    <w:rsid w:val="000F6792"/>
    <w:rsid w:val="001007C1"/>
    <w:rsid w:val="00107494"/>
    <w:rsid w:val="00117572"/>
    <w:rsid w:val="001178F3"/>
    <w:rsid w:val="00122CF0"/>
    <w:rsid w:val="0012497C"/>
    <w:rsid w:val="00124F1E"/>
    <w:rsid w:val="00133B29"/>
    <w:rsid w:val="00136EA2"/>
    <w:rsid w:val="001527DA"/>
    <w:rsid w:val="0015309D"/>
    <w:rsid w:val="00170C6A"/>
    <w:rsid w:val="001905F3"/>
    <w:rsid w:val="00190EC8"/>
    <w:rsid w:val="0019509D"/>
    <w:rsid w:val="001A444A"/>
    <w:rsid w:val="001B18DA"/>
    <w:rsid w:val="001B39F5"/>
    <w:rsid w:val="001C6613"/>
    <w:rsid w:val="001F0172"/>
    <w:rsid w:val="00200F5A"/>
    <w:rsid w:val="00203223"/>
    <w:rsid w:val="0020324E"/>
    <w:rsid w:val="00214E7E"/>
    <w:rsid w:val="00215CBE"/>
    <w:rsid w:val="00216460"/>
    <w:rsid w:val="00221282"/>
    <w:rsid w:val="00223ABE"/>
    <w:rsid w:val="00231C30"/>
    <w:rsid w:val="00240781"/>
    <w:rsid w:val="00251A3D"/>
    <w:rsid w:val="0026372C"/>
    <w:rsid w:val="0027594B"/>
    <w:rsid w:val="002936F4"/>
    <w:rsid w:val="00293887"/>
    <w:rsid w:val="002963B3"/>
    <w:rsid w:val="00296706"/>
    <w:rsid w:val="002A1824"/>
    <w:rsid w:val="002B4DD2"/>
    <w:rsid w:val="002B526C"/>
    <w:rsid w:val="002C1EFE"/>
    <w:rsid w:val="0030576E"/>
    <w:rsid w:val="00320595"/>
    <w:rsid w:val="00321756"/>
    <w:rsid w:val="00332D84"/>
    <w:rsid w:val="00347BED"/>
    <w:rsid w:val="00351F66"/>
    <w:rsid w:val="00354A1B"/>
    <w:rsid w:val="00366A0E"/>
    <w:rsid w:val="00367249"/>
    <w:rsid w:val="00371C1F"/>
    <w:rsid w:val="00374855"/>
    <w:rsid w:val="0039217A"/>
    <w:rsid w:val="003A01EF"/>
    <w:rsid w:val="003A30E0"/>
    <w:rsid w:val="003A659A"/>
    <w:rsid w:val="003B182E"/>
    <w:rsid w:val="003B6553"/>
    <w:rsid w:val="003C1B51"/>
    <w:rsid w:val="003C4A10"/>
    <w:rsid w:val="003C6D9E"/>
    <w:rsid w:val="003F51B6"/>
    <w:rsid w:val="003F587B"/>
    <w:rsid w:val="00401968"/>
    <w:rsid w:val="004022CA"/>
    <w:rsid w:val="00406D61"/>
    <w:rsid w:val="0041590A"/>
    <w:rsid w:val="004173F7"/>
    <w:rsid w:val="00420AC7"/>
    <w:rsid w:val="00420F0E"/>
    <w:rsid w:val="004337DF"/>
    <w:rsid w:val="00434660"/>
    <w:rsid w:val="00444762"/>
    <w:rsid w:val="0044711F"/>
    <w:rsid w:val="0045040C"/>
    <w:rsid w:val="004849E2"/>
    <w:rsid w:val="004877D4"/>
    <w:rsid w:val="00493A69"/>
    <w:rsid w:val="004A54F7"/>
    <w:rsid w:val="004A584F"/>
    <w:rsid w:val="004B6C19"/>
    <w:rsid w:val="004C02DF"/>
    <w:rsid w:val="004C1F44"/>
    <w:rsid w:val="004C603E"/>
    <w:rsid w:val="004E3BD1"/>
    <w:rsid w:val="004E4861"/>
    <w:rsid w:val="004F08A8"/>
    <w:rsid w:val="004F1BD7"/>
    <w:rsid w:val="00500F6D"/>
    <w:rsid w:val="0050637B"/>
    <w:rsid w:val="00510870"/>
    <w:rsid w:val="00511B1B"/>
    <w:rsid w:val="00535A8C"/>
    <w:rsid w:val="0053657E"/>
    <w:rsid w:val="00537A70"/>
    <w:rsid w:val="005431E4"/>
    <w:rsid w:val="0055654E"/>
    <w:rsid w:val="005567C7"/>
    <w:rsid w:val="00570384"/>
    <w:rsid w:val="0058499E"/>
    <w:rsid w:val="005936C8"/>
    <w:rsid w:val="00595760"/>
    <w:rsid w:val="005A3D7C"/>
    <w:rsid w:val="005C17D9"/>
    <w:rsid w:val="005D3395"/>
    <w:rsid w:val="005D63EA"/>
    <w:rsid w:val="005D6547"/>
    <w:rsid w:val="005E1E20"/>
    <w:rsid w:val="005E22AD"/>
    <w:rsid w:val="005E7EFC"/>
    <w:rsid w:val="005F0255"/>
    <w:rsid w:val="0060351C"/>
    <w:rsid w:val="00603A72"/>
    <w:rsid w:val="00603DFC"/>
    <w:rsid w:val="00607A52"/>
    <w:rsid w:val="00617EAC"/>
    <w:rsid w:val="00620D0E"/>
    <w:rsid w:val="00642C15"/>
    <w:rsid w:val="0065674A"/>
    <w:rsid w:val="00662E00"/>
    <w:rsid w:val="00667142"/>
    <w:rsid w:val="006777F4"/>
    <w:rsid w:val="006912AC"/>
    <w:rsid w:val="00691D18"/>
    <w:rsid w:val="006B2A33"/>
    <w:rsid w:val="006B5C29"/>
    <w:rsid w:val="006C1B45"/>
    <w:rsid w:val="006E3390"/>
    <w:rsid w:val="006E4270"/>
    <w:rsid w:val="006F7A43"/>
    <w:rsid w:val="00707785"/>
    <w:rsid w:val="007108D4"/>
    <w:rsid w:val="00734881"/>
    <w:rsid w:val="00742BFE"/>
    <w:rsid w:val="0074368A"/>
    <w:rsid w:val="00747228"/>
    <w:rsid w:val="00762772"/>
    <w:rsid w:val="007736C8"/>
    <w:rsid w:val="0077653F"/>
    <w:rsid w:val="00781F36"/>
    <w:rsid w:val="007A2CA7"/>
    <w:rsid w:val="007B2048"/>
    <w:rsid w:val="007B2372"/>
    <w:rsid w:val="007B62DC"/>
    <w:rsid w:val="007D25C7"/>
    <w:rsid w:val="007D326C"/>
    <w:rsid w:val="007D4620"/>
    <w:rsid w:val="007D6DA1"/>
    <w:rsid w:val="007E5792"/>
    <w:rsid w:val="007F18C1"/>
    <w:rsid w:val="008059BE"/>
    <w:rsid w:val="00810855"/>
    <w:rsid w:val="00813853"/>
    <w:rsid w:val="0081556B"/>
    <w:rsid w:val="00827934"/>
    <w:rsid w:val="00832FBB"/>
    <w:rsid w:val="00847F16"/>
    <w:rsid w:val="008512F4"/>
    <w:rsid w:val="008543B2"/>
    <w:rsid w:val="00863EBF"/>
    <w:rsid w:val="00863F6F"/>
    <w:rsid w:val="00873F43"/>
    <w:rsid w:val="008765DE"/>
    <w:rsid w:val="008778EF"/>
    <w:rsid w:val="00891257"/>
    <w:rsid w:val="008A77A9"/>
    <w:rsid w:val="008C3C08"/>
    <w:rsid w:val="008D1B1A"/>
    <w:rsid w:val="008E09B6"/>
    <w:rsid w:val="008E438D"/>
    <w:rsid w:val="008F2A79"/>
    <w:rsid w:val="0090057D"/>
    <w:rsid w:val="00902B28"/>
    <w:rsid w:val="00907186"/>
    <w:rsid w:val="0091454E"/>
    <w:rsid w:val="009229D4"/>
    <w:rsid w:val="00923C1B"/>
    <w:rsid w:val="00924C00"/>
    <w:rsid w:val="00927CF7"/>
    <w:rsid w:val="00933237"/>
    <w:rsid w:val="009349D8"/>
    <w:rsid w:val="0094421A"/>
    <w:rsid w:val="009446EA"/>
    <w:rsid w:val="00953F7D"/>
    <w:rsid w:val="00956E50"/>
    <w:rsid w:val="00972D6A"/>
    <w:rsid w:val="00975035"/>
    <w:rsid w:val="00977B64"/>
    <w:rsid w:val="009A40A4"/>
    <w:rsid w:val="009B72A3"/>
    <w:rsid w:val="009B78CA"/>
    <w:rsid w:val="009C52D8"/>
    <w:rsid w:val="009D40CD"/>
    <w:rsid w:val="009E1D70"/>
    <w:rsid w:val="009F0398"/>
    <w:rsid w:val="009F7DD9"/>
    <w:rsid w:val="00A053C1"/>
    <w:rsid w:val="00A06F58"/>
    <w:rsid w:val="00A22316"/>
    <w:rsid w:val="00A23258"/>
    <w:rsid w:val="00A54ACB"/>
    <w:rsid w:val="00A60364"/>
    <w:rsid w:val="00A67254"/>
    <w:rsid w:val="00A712F4"/>
    <w:rsid w:val="00A74679"/>
    <w:rsid w:val="00A80451"/>
    <w:rsid w:val="00A841C4"/>
    <w:rsid w:val="00A84844"/>
    <w:rsid w:val="00A85346"/>
    <w:rsid w:val="00AB08A6"/>
    <w:rsid w:val="00AB4E07"/>
    <w:rsid w:val="00AB6E40"/>
    <w:rsid w:val="00AC0607"/>
    <w:rsid w:val="00AC249D"/>
    <w:rsid w:val="00AC6E09"/>
    <w:rsid w:val="00AD460C"/>
    <w:rsid w:val="00AD5F85"/>
    <w:rsid w:val="00AE227F"/>
    <w:rsid w:val="00AE24BC"/>
    <w:rsid w:val="00B05308"/>
    <w:rsid w:val="00B06891"/>
    <w:rsid w:val="00B11B93"/>
    <w:rsid w:val="00B136D7"/>
    <w:rsid w:val="00B16083"/>
    <w:rsid w:val="00B30B05"/>
    <w:rsid w:val="00B3591D"/>
    <w:rsid w:val="00B40A2A"/>
    <w:rsid w:val="00B43267"/>
    <w:rsid w:val="00B447DB"/>
    <w:rsid w:val="00B536F5"/>
    <w:rsid w:val="00B544AC"/>
    <w:rsid w:val="00B65DBE"/>
    <w:rsid w:val="00B67CA2"/>
    <w:rsid w:val="00B73B5C"/>
    <w:rsid w:val="00B75C62"/>
    <w:rsid w:val="00B869E9"/>
    <w:rsid w:val="00BA33C5"/>
    <w:rsid w:val="00BA5A74"/>
    <w:rsid w:val="00BB4E1B"/>
    <w:rsid w:val="00BC35A3"/>
    <w:rsid w:val="00BC6B07"/>
    <w:rsid w:val="00BD3FA0"/>
    <w:rsid w:val="00BD403F"/>
    <w:rsid w:val="00BE4A8A"/>
    <w:rsid w:val="00BF07E2"/>
    <w:rsid w:val="00BF218F"/>
    <w:rsid w:val="00C00006"/>
    <w:rsid w:val="00C02113"/>
    <w:rsid w:val="00C03588"/>
    <w:rsid w:val="00C12D26"/>
    <w:rsid w:val="00C33E2D"/>
    <w:rsid w:val="00C44844"/>
    <w:rsid w:val="00C468EF"/>
    <w:rsid w:val="00C510F9"/>
    <w:rsid w:val="00C6233F"/>
    <w:rsid w:val="00C629E2"/>
    <w:rsid w:val="00C704A3"/>
    <w:rsid w:val="00C709BB"/>
    <w:rsid w:val="00C837A6"/>
    <w:rsid w:val="00C915EC"/>
    <w:rsid w:val="00CF0FCF"/>
    <w:rsid w:val="00D1457E"/>
    <w:rsid w:val="00D16A9F"/>
    <w:rsid w:val="00D32D76"/>
    <w:rsid w:val="00D378E7"/>
    <w:rsid w:val="00D44C17"/>
    <w:rsid w:val="00D53335"/>
    <w:rsid w:val="00D6073E"/>
    <w:rsid w:val="00D6220C"/>
    <w:rsid w:val="00D7429D"/>
    <w:rsid w:val="00D85203"/>
    <w:rsid w:val="00D9571F"/>
    <w:rsid w:val="00D97835"/>
    <w:rsid w:val="00D97A3A"/>
    <w:rsid w:val="00DC314F"/>
    <w:rsid w:val="00DC50AB"/>
    <w:rsid w:val="00DD66AB"/>
    <w:rsid w:val="00DE23CE"/>
    <w:rsid w:val="00DE7A5A"/>
    <w:rsid w:val="00DF07E1"/>
    <w:rsid w:val="00DF5479"/>
    <w:rsid w:val="00E16D75"/>
    <w:rsid w:val="00E23862"/>
    <w:rsid w:val="00E33BFC"/>
    <w:rsid w:val="00E4655B"/>
    <w:rsid w:val="00E610C2"/>
    <w:rsid w:val="00E63755"/>
    <w:rsid w:val="00E71772"/>
    <w:rsid w:val="00E91B87"/>
    <w:rsid w:val="00E954E4"/>
    <w:rsid w:val="00E95E15"/>
    <w:rsid w:val="00EA7F14"/>
    <w:rsid w:val="00EB053A"/>
    <w:rsid w:val="00EB7364"/>
    <w:rsid w:val="00ED21EA"/>
    <w:rsid w:val="00EE347A"/>
    <w:rsid w:val="00EE3DE9"/>
    <w:rsid w:val="00EE6537"/>
    <w:rsid w:val="00EF4722"/>
    <w:rsid w:val="00F11635"/>
    <w:rsid w:val="00F2642F"/>
    <w:rsid w:val="00F4485C"/>
    <w:rsid w:val="00F511DD"/>
    <w:rsid w:val="00F553A9"/>
    <w:rsid w:val="00F62EEA"/>
    <w:rsid w:val="00F634FE"/>
    <w:rsid w:val="00F63A7E"/>
    <w:rsid w:val="00F72633"/>
    <w:rsid w:val="00F766E8"/>
    <w:rsid w:val="00F80CE2"/>
    <w:rsid w:val="00F968D8"/>
    <w:rsid w:val="00FA7218"/>
    <w:rsid w:val="00FB2271"/>
    <w:rsid w:val="00FB39D4"/>
    <w:rsid w:val="00FB67C9"/>
    <w:rsid w:val="00FB743D"/>
    <w:rsid w:val="00FD4F70"/>
    <w:rsid w:val="00FF23A7"/>
    <w:rsid w:val="00FF46A2"/>
    <w:rsid w:val="00FF4C73"/>
  </w:rsids>
  <m:mathPr>
    <m:mathFont m:val="Cambria Math"/>
    <m:brkBin m:val="before"/>
    <m:brkBinSub m:val="--"/>
    <m:smallFrac m:val="0"/>
    <m:dispDef m:val="0"/>
    <m:lMargin m:val="0"/>
    <m:rMargin m:val="0"/>
    <m:defJc m:val="centerGroup"/>
    <m:wrapRight/>
    <m:intLim m:val="subSup"/>
    <m:naryLim m:val="subSup"/>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sv-SE" w:eastAsia="en-US" w:bidi="ar-SA"/>
      </w:rPr>
    </w:rPrDefault>
    <w:pPrDefault/>
  </w:docDefaults>
  <w:latentStyles w:defLockedState="0" w:defUIPriority="0" w:defSemiHidden="0" w:defUnhideWhenUsed="0" w:defQFormat="0" w:count="267">
    <w:lsdException w:name="heading 2" w:qFormat="1"/>
    <w:lsdException w:name="heading 3"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table of figures" w:uiPriority="99"/>
    <w:lsdException w:name="footnote reference" w:uiPriority="99"/>
    <w:lsdException w:name="Hyperlink" w:uiPriority="99"/>
    <w:lsdException w:name="Balloon Text" w:uiPriority="99"/>
    <w:lsdException w:name="List Paragraph" w:uiPriority="34"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915EC"/>
    <w:pPr>
      <w:spacing w:after="240"/>
      <w:jc w:val="both"/>
    </w:pPr>
    <w:rPr>
      <w:rFonts w:ascii="Garamond" w:eastAsia="Times New Roman" w:hAnsi="Garamond" w:cs="Times New Roman"/>
      <w:lang w:eastAsia="sv-SE"/>
    </w:rPr>
  </w:style>
  <w:style w:type="paragraph" w:styleId="Heading1">
    <w:name w:val="heading 1"/>
    <w:basedOn w:val="Normal"/>
    <w:next w:val="Normal"/>
    <w:link w:val="Heading1Char"/>
    <w:rsid w:val="00406D61"/>
    <w:pPr>
      <w:keepNext/>
      <w:keepLines/>
      <w:spacing w:before="480" w:after="0"/>
      <w:outlineLvl w:val="0"/>
    </w:pPr>
    <w:rPr>
      <w:rFonts w:asciiTheme="majorHAnsi" w:eastAsiaTheme="majorEastAsia" w:hAnsiTheme="majorHAnsi" w:cstheme="majorBidi"/>
      <w:b/>
      <w:bCs/>
      <w:color w:val="345A8A" w:themeColor="accent1" w:themeShade="B5"/>
      <w:sz w:val="36"/>
      <w:szCs w:val="32"/>
    </w:rPr>
  </w:style>
  <w:style w:type="paragraph" w:styleId="Heading2">
    <w:name w:val="heading 2"/>
    <w:basedOn w:val="Normal"/>
    <w:next w:val="Normal"/>
    <w:link w:val="Heading2Char"/>
    <w:qFormat/>
    <w:rsid w:val="00406D61"/>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qFormat/>
    <w:rsid w:val="007D462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rsid w:val="0050637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4BC6"/>
    <w:rPr>
      <w:rFonts w:ascii="Lucida Grande" w:hAnsi="Lucida Grande"/>
      <w:sz w:val="18"/>
      <w:szCs w:val="18"/>
    </w:rPr>
  </w:style>
  <w:style w:type="character" w:customStyle="1" w:styleId="BubbeltextChar">
    <w:name w:val="Bubbeltext Char"/>
    <w:basedOn w:val="DefaultParagraphFont"/>
    <w:uiPriority w:val="99"/>
    <w:semiHidden/>
    <w:rsid w:val="003C53C5"/>
    <w:rPr>
      <w:rFonts w:ascii="Lucida Grande" w:hAnsi="Lucida Grande"/>
      <w:sz w:val="18"/>
      <w:szCs w:val="18"/>
    </w:rPr>
  </w:style>
  <w:style w:type="character" w:customStyle="1" w:styleId="BubbeltextChar0">
    <w:name w:val="Bubbeltext Char"/>
    <w:basedOn w:val="DefaultParagraphFont"/>
    <w:uiPriority w:val="99"/>
    <w:semiHidden/>
    <w:rsid w:val="006C5F31"/>
    <w:rPr>
      <w:rFonts w:ascii="Lucida Grande" w:hAnsi="Lucida Grande"/>
      <w:sz w:val="18"/>
      <w:szCs w:val="18"/>
    </w:rPr>
  </w:style>
  <w:style w:type="character" w:customStyle="1" w:styleId="Heading1Char">
    <w:name w:val="Heading 1 Char"/>
    <w:basedOn w:val="DefaultParagraphFont"/>
    <w:link w:val="Heading1"/>
    <w:rsid w:val="00406D61"/>
    <w:rPr>
      <w:rFonts w:asciiTheme="majorHAnsi" w:eastAsiaTheme="majorEastAsia" w:hAnsiTheme="majorHAnsi" w:cstheme="majorBidi"/>
      <w:b/>
      <w:bCs/>
      <w:color w:val="345A8A" w:themeColor="accent1" w:themeShade="B5"/>
      <w:sz w:val="36"/>
      <w:szCs w:val="32"/>
      <w:lang w:eastAsia="sv-SE"/>
    </w:rPr>
  </w:style>
  <w:style w:type="character" w:customStyle="1" w:styleId="Heading2Char">
    <w:name w:val="Heading 2 Char"/>
    <w:basedOn w:val="DefaultParagraphFont"/>
    <w:link w:val="Heading2"/>
    <w:rsid w:val="00406D61"/>
    <w:rPr>
      <w:rFonts w:asciiTheme="majorHAnsi" w:eastAsiaTheme="majorEastAsia" w:hAnsiTheme="majorHAnsi" w:cstheme="majorBidi"/>
      <w:b/>
      <w:bCs/>
      <w:color w:val="4F81BD" w:themeColor="accent1"/>
      <w:sz w:val="28"/>
      <w:szCs w:val="26"/>
      <w:lang w:eastAsia="sv-SE"/>
    </w:rPr>
  </w:style>
  <w:style w:type="character" w:customStyle="1" w:styleId="BalloonTextChar">
    <w:name w:val="Balloon Text Char"/>
    <w:basedOn w:val="DefaultParagraphFont"/>
    <w:link w:val="BalloonText"/>
    <w:uiPriority w:val="99"/>
    <w:semiHidden/>
    <w:rsid w:val="00D84BC6"/>
    <w:rPr>
      <w:rFonts w:ascii="Lucida Grande" w:hAnsi="Lucida Grande"/>
      <w:sz w:val="18"/>
      <w:szCs w:val="18"/>
    </w:rPr>
  </w:style>
  <w:style w:type="character" w:customStyle="1" w:styleId="BubbeltextChar1">
    <w:name w:val="Bubbeltext Char"/>
    <w:basedOn w:val="DefaultParagraphFont"/>
    <w:uiPriority w:val="99"/>
    <w:semiHidden/>
    <w:rsid w:val="00D84BC6"/>
    <w:rPr>
      <w:rFonts w:ascii="Lucida Grande" w:hAnsi="Lucida Grande"/>
      <w:sz w:val="18"/>
      <w:szCs w:val="18"/>
    </w:rPr>
  </w:style>
  <w:style w:type="character" w:customStyle="1" w:styleId="BubbeltextChar2">
    <w:name w:val="Bubbeltext Char"/>
    <w:basedOn w:val="DefaultParagraphFont"/>
    <w:uiPriority w:val="99"/>
    <w:semiHidden/>
    <w:rsid w:val="00D84BC6"/>
    <w:rPr>
      <w:rFonts w:ascii="Lucida Grande" w:hAnsi="Lucida Grande"/>
      <w:sz w:val="18"/>
      <w:szCs w:val="18"/>
    </w:rPr>
  </w:style>
  <w:style w:type="paragraph" w:styleId="FootnoteText">
    <w:name w:val="footnote text"/>
    <w:basedOn w:val="Normal"/>
    <w:link w:val="FootnoteTextChar"/>
    <w:uiPriority w:val="99"/>
    <w:rsid w:val="001178F3"/>
    <w:pPr>
      <w:spacing w:after="0"/>
    </w:pPr>
    <w:rPr>
      <w:sz w:val="20"/>
    </w:rPr>
  </w:style>
  <w:style w:type="character" w:customStyle="1" w:styleId="FootnoteTextChar">
    <w:name w:val="Footnote Text Char"/>
    <w:basedOn w:val="DefaultParagraphFont"/>
    <w:link w:val="FootnoteText"/>
    <w:uiPriority w:val="99"/>
    <w:rsid w:val="001178F3"/>
    <w:rPr>
      <w:rFonts w:ascii="Garamond" w:eastAsia="Times New Roman" w:hAnsi="Garamond" w:cs="Times New Roman"/>
      <w:sz w:val="20"/>
      <w:lang w:eastAsia="sv-SE"/>
    </w:rPr>
  </w:style>
  <w:style w:type="character" w:styleId="FootnoteReference">
    <w:name w:val="footnote reference"/>
    <w:basedOn w:val="DefaultParagraphFont"/>
    <w:uiPriority w:val="99"/>
    <w:rsid w:val="00ED21EA"/>
    <w:rPr>
      <w:vertAlign w:val="superscript"/>
    </w:rPr>
  </w:style>
  <w:style w:type="character" w:styleId="Hyperlink">
    <w:name w:val="Hyperlink"/>
    <w:basedOn w:val="DefaultParagraphFont"/>
    <w:uiPriority w:val="99"/>
    <w:rsid w:val="008C3C08"/>
    <w:rPr>
      <w:rFonts w:asciiTheme="minorHAnsi" w:hAnsiTheme="minorHAnsi"/>
      <w:color w:val="0000FF" w:themeColor="hyperlink"/>
      <w:sz w:val="22"/>
      <w:u w:val="single"/>
    </w:rPr>
  </w:style>
  <w:style w:type="paragraph" w:styleId="ListParagraph">
    <w:name w:val="List Paragraph"/>
    <w:basedOn w:val="Normal"/>
    <w:uiPriority w:val="34"/>
    <w:qFormat/>
    <w:rsid w:val="000F3C9A"/>
    <w:pPr>
      <w:spacing w:before="120"/>
      <w:ind w:left="720"/>
    </w:pPr>
  </w:style>
  <w:style w:type="paragraph" w:styleId="TOC1">
    <w:name w:val="toc 1"/>
    <w:basedOn w:val="Normal"/>
    <w:next w:val="Normal"/>
    <w:autoRedefine/>
    <w:uiPriority w:val="39"/>
    <w:rsid w:val="00847F16"/>
    <w:pPr>
      <w:spacing w:before="120" w:after="0"/>
    </w:pPr>
    <w:rPr>
      <w:rFonts w:asciiTheme="minorHAnsi" w:hAnsiTheme="minorHAnsi"/>
      <w:b/>
      <w:caps/>
      <w:sz w:val="22"/>
      <w:szCs w:val="22"/>
    </w:rPr>
  </w:style>
  <w:style w:type="paragraph" w:styleId="TOC2">
    <w:name w:val="toc 2"/>
    <w:basedOn w:val="Normal"/>
    <w:next w:val="Normal"/>
    <w:autoRedefine/>
    <w:uiPriority w:val="39"/>
    <w:rsid w:val="00231C30"/>
    <w:pPr>
      <w:spacing w:after="0"/>
      <w:ind w:left="240"/>
    </w:pPr>
    <w:rPr>
      <w:rFonts w:asciiTheme="minorHAnsi" w:hAnsiTheme="minorHAnsi"/>
      <w:sz w:val="22"/>
      <w:szCs w:val="22"/>
    </w:rPr>
  </w:style>
  <w:style w:type="paragraph" w:styleId="TOC3">
    <w:name w:val="toc 3"/>
    <w:basedOn w:val="Normal"/>
    <w:next w:val="Normal"/>
    <w:autoRedefine/>
    <w:uiPriority w:val="39"/>
    <w:rsid w:val="00847F16"/>
    <w:pPr>
      <w:spacing w:after="0"/>
      <w:ind w:left="480"/>
    </w:pPr>
    <w:rPr>
      <w:rFonts w:asciiTheme="minorHAnsi" w:hAnsiTheme="minorHAnsi"/>
      <w:i/>
      <w:sz w:val="22"/>
      <w:szCs w:val="22"/>
    </w:rPr>
  </w:style>
  <w:style w:type="paragraph" w:styleId="TOC4">
    <w:name w:val="toc 4"/>
    <w:basedOn w:val="Normal"/>
    <w:next w:val="Normal"/>
    <w:autoRedefine/>
    <w:uiPriority w:val="39"/>
    <w:rsid w:val="009A40A4"/>
    <w:pPr>
      <w:spacing w:after="0"/>
      <w:ind w:left="720"/>
    </w:pPr>
    <w:rPr>
      <w:rFonts w:asciiTheme="minorHAnsi" w:hAnsiTheme="minorHAnsi"/>
      <w:szCs w:val="18"/>
      <w:lang w:val="en-GB"/>
    </w:rPr>
  </w:style>
  <w:style w:type="paragraph" w:styleId="TOC5">
    <w:name w:val="toc 5"/>
    <w:basedOn w:val="Normal"/>
    <w:next w:val="Normal"/>
    <w:autoRedefine/>
    <w:uiPriority w:val="39"/>
    <w:rsid w:val="00847F16"/>
    <w:pPr>
      <w:spacing w:after="0"/>
      <w:ind w:left="960"/>
    </w:pPr>
    <w:rPr>
      <w:rFonts w:asciiTheme="minorHAnsi" w:hAnsiTheme="minorHAnsi"/>
      <w:sz w:val="18"/>
      <w:szCs w:val="18"/>
    </w:rPr>
  </w:style>
  <w:style w:type="paragraph" w:styleId="TOC6">
    <w:name w:val="toc 6"/>
    <w:basedOn w:val="Normal"/>
    <w:next w:val="Normal"/>
    <w:autoRedefine/>
    <w:uiPriority w:val="39"/>
    <w:rsid w:val="00847F16"/>
    <w:pPr>
      <w:spacing w:after="0"/>
      <w:ind w:left="1200"/>
    </w:pPr>
    <w:rPr>
      <w:rFonts w:asciiTheme="minorHAnsi" w:hAnsiTheme="minorHAnsi"/>
      <w:sz w:val="18"/>
      <w:szCs w:val="18"/>
    </w:rPr>
  </w:style>
  <w:style w:type="paragraph" w:styleId="TOC7">
    <w:name w:val="toc 7"/>
    <w:basedOn w:val="Normal"/>
    <w:next w:val="Normal"/>
    <w:autoRedefine/>
    <w:uiPriority w:val="39"/>
    <w:rsid w:val="00847F16"/>
    <w:pPr>
      <w:spacing w:after="0"/>
      <w:ind w:left="1440"/>
    </w:pPr>
    <w:rPr>
      <w:rFonts w:asciiTheme="minorHAnsi" w:hAnsiTheme="minorHAnsi"/>
      <w:sz w:val="18"/>
      <w:szCs w:val="18"/>
    </w:rPr>
  </w:style>
  <w:style w:type="paragraph" w:styleId="TOC8">
    <w:name w:val="toc 8"/>
    <w:basedOn w:val="Normal"/>
    <w:next w:val="Normal"/>
    <w:autoRedefine/>
    <w:uiPriority w:val="39"/>
    <w:rsid w:val="00847F16"/>
    <w:pPr>
      <w:spacing w:after="0"/>
      <w:ind w:left="1680"/>
    </w:pPr>
    <w:rPr>
      <w:rFonts w:asciiTheme="minorHAnsi" w:hAnsiTheme="minorHAnsi"/>
      <w:sz w:val="18"/>
      <w:szCs w:val="18"/>
    </w:rPr>
  </w:style>
  <w:style w:type="paragraph" w:styleId="TOC9">
    <w:name w:val="toc 9"/>
    <w:basedOn w:val="Normal"/>
    <w:next w:val="Normal"/>
    <w:autoRedefine/>
    <w:uiPriority w:val="39"/>
    <w:rsid w:val="00847F16"/>
    <w:pPr>
      <w:spacing w:after="0"/>
      <w:ind w:left="1920"/>
    </w:pPr>
    <w:rPr>
      <w:rFonts w:asciiTheme="minorHAnsi" w:hAnsiTheme="minorHAnsi"/>
      <w:sz w:val="18"/>
      <w:szCs w:val="18"/>
    </w:rPr>
  </w:style>
  <w:style w:type="paragraph" w:styleId="Footer">
    <w:name w:val="footer"/>
    <w:basedOn w:val="Normal"/>
    <w:link w:val="FooterChar"/>
    <w:uiPriority w:val="99"/>
    <w:rsid w:val="0077653F"/>
    <w:pPr>
      <w:tabs>
        <w:tab w:val="center" w:pos="4703"/>
        <w:tab w:val="right" w:pos="9406"/>
      </w:tabs>
      <w:spacing w:after="0"/>
    </w:pPr>
  </w:style>
  <w:style w:type="character" w:customStyle="1" w:styleId="FooterChar">
    <w:name w:val="Footer Char"/>
    <w:basedOn w:val="DefaultParagraphFont"/>
    <w:link w:val="Footer"/>
    <w:uiPriority w:val="99"/>
    <w:rsid w:val="0077653F"/>
    <w:rPr>
      <w:rFonts w:ascii="Garamond" w:eastAsia="Times New Roman" w:hAnsi="Garamond" w:cs="Times New Roman"/>
      <w:lang w:eastAsia="sv-SE"/>
    </w:rPr>
  </w:style>
  <w:style w:type="character" w:styleId="PageNumber">
    <w:name w:val="page number"/>
    <w:basedOn w:val="DefaultParagraphFont"/>
    <w:rsid w:val="0077653F"/>
  </w:style>
  <w:style w:type="table" w:styleId="MediumGrid3-Accent3">
    <w:name w:val="Medium Grid 3 Accent 3"/>
    <w:basedOn w:val="TableNormal"/>
    <w:uiPriority w:val="69"/>
    <w:rsid w:val="00827934"/>
    <w:rPr>
      <w:sz w:val="22"/>
      <w:szCs w:val="22"/>
      <w:lang w:eastAsia="sv-SE"/>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6E3BC" w:themeFill="accent3" w:themeFillTint="66"/>
    </w:tcPr>
    <w:tblStylePr w:type="firstRow">
      <w:rPr>
        <w:b/>
        <w:bCs/>
        <w:i w:val="0"/>
        <w:iCs w:val="0"/>
        <w:color w:val="FFFFFF" w:themeColor="background1"/>
      </w:rPr>
      <w:tblPr/>
      <w:tcPr>
        <w:shd w:val="clear" w:color="auto" w:fill="00B050"/>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shd w:val="clear" w:color="auto" w:fill="D6E3BC" w:themeFill="accent3" w:themeFillTint="6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paragraph" w:styleId="TableofFigures">
    <w:name w:val="table of figures"/>
    <w:basedOn w:val="Normal"/>
    <w:next w:val="Normal"/>
    <w:uiPriority w:val="99"/>
    <w:rsid w:val="007A2CA7"/>
    <w:pPr>
      <w:spacing w:after="0"/>
      <w:ind w:left="851" w:hanging="851"/>
    </w:pPr>
    <w:rPr>
      <w:rFonts w:asciiTheme="minorHAnsi" w:hAnsiTheme="minorHAnsi"/>
      <w:sz w:val="22"/>
    </w:rPr>
  </w:style>
  <w:style w:type="table" w:styleId="TableGrid">
    <w:name w:val="Table Grid"/>
    <w:basedOn w:val="TableNormal"/>
    <w:rsid w:val="006F7A4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99"/>
    <w:qFormat/>
    <w:rsid w:val="001178F3"/>
    <w:pPr>
      <w:spacing w:after="200"/>
    </w:pPr>
    <w:rPr>
      <w:b/>
      <w:bCs/>
      <w:sz w:val="22"/>
      <w:szCs w:val="18"/>
    </w:rPr>
  </w:style>
  <w:style w:type="paragraph" w:styleId="Title">
    <w:name w:val="Title"/>
    <w:basedOn w:val="Normal"/>
    <w:next w:val="Normal"/>
    <w:link w:val="TitleChar"/>
    <w:rsid w:val="006F7A4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F7A43"/>
    <w:rPr>
      <w:rFonts w:asciiTheme="majorHAnsi" w:eastAsiaTheme="majorEastAsia" w:hAnsiTheme="majorHAnsi" w:cstheme="majorBidi"/>
      <w:color w:val="17365D" w:themeColor="text2" w:themeShade="BF"/>
      <w:spacing w:val="5"/>
      <w:kern w:val="28"/>
      <w:sz w:val="52"/>
      <w:szCs w:val="52"/>
      <w:lang w:eastAsia="sv-SE"/>
    </w:rPr>
  </w:style>
  <w:style w:type="paragraph" w:styleId="BodyText">
    <w:name w:val="Body Text"/>
    <w:basedOn w:val="Normal"/>
    <w:link w:val="BodyTextChar"/>
    <w:rsid w:val="006F7A43"/>
    <w:pPr>
      <w:spacing w:after="120" w:line="276" w:lineRule="auto"/>
    </w:pPr>
    <w:rPr>
      <w:rFonts w:ascii="Calibri" w:eastAsia="Calibri" w:hAnsi="Calibri" w:cs="Arial"/>
      <w:sz w:val="22"/>
      <w:szCs w:val="22"/>
      <w:lang w:val="fr-FR" w:eastAsia="en-US"/>
    </w:rPr>
  </w:style>
  <w:style w:type="character" w:customStyle="1" w:styleId="BodyTextChar">
    <w:name w:val="Body Text Char"/>
    <w:basedOn w:val="DefaultParagraphFont"/>
    <w:link w:val="BodyText"/>
    <w:rsid w:val="006F7A43"/>
    <w:rPr>
      <w:rFonts w:ascii="Calibri" w:eastAsia="Calibri" w:hAnsi="Calibri" w:cs="Arial"/>
      <w:sz w:val="22"/>
      <w:szCs w:val="22"/>
      <w:lang w:val="fr-FR"/>
    </w:rPr>
  </w:style>
  <w:style w:type="table" w:styleId="LightList-Accent3">
    <w:name w:val="Light List Accent 3"/>
    <w:basedOn w:val="TableNormal"/>
    <w:uiPriority w:val="61"/>
    <w:rsid w:val="006F7A43"/>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Header">
    <w:name w:val="header"/>
    <w:basedOn w:val="Normal"/>
    <w:link w:val="HeaderChar"/>
    <w:rsid w:val="006F7A43"/>
    <w:pPr>
      <w:tabs>
        <w:tab w:val="center" w:pos="4536"/>
        <w:tab w:val="right" w:pos="9072"/>
      </w:tabs>
      <w:spacing w:after="0"/>
    </w:pPr>
  </w:style>
  <w:style w:type="character" w:customStyle="1" w:styleId="HeaderChar">
    <w:name w:val="Header Char"/>
    <w:basedOn w:val="DefaultParagraphFont"/>
    <w:link w:val="Header"/>
    <w:rsid w:val="006F7A43"/>
    <w:rPr>
      <w:rFonts w:ascii="Garamond" w:eastAsia="Times New Roman" w:hAnsi="Garamond" w:cs="Times New Roman"/>
      <w:lang w:eastAsia="sv-SE"/>
    </w:rPr>
  </w:style>
  <w:style w:type="character" w:customStyle="1" w:styleId="longtext">
    <w:name w:val="long_text"/>
    <w:basedOn w:val="DefaultParagraphFont"/>
    <w:rsid w:val="006F7A43"/>
  </w:style>
  <w:style w:type="paragraph" w:customStyle="1" w:styleId="Default">
    <w:name w:val="Default"/>
    <w:rsid w:val="006F7A43"/>
    <w:pPr>
      <w:autoSpaceDE w:val="0"/>
      <w:autoSpaceDN w:val="0"/>
      <w:adjustRightInd w:val="0"/>
    </w:pPr>
    <w:rPr>
      <w:rFonts w:ascii="Times New Roman" w:hAnsi="Times New Roman" w:cs="Times New Roman"/>
      <w:color w:val="000000"/>
    </w:rPr>
  </w:style>
  <w:style w:type="paragraph" w:styleId="DocumentMap">
    <w:name w:val="Document Map"/>
    <w:basedOn w:val="Normal"/>
    <w:link w:val="DocumentMapChar"/>
    <w:rsid w:val="006F7A43"/>
    <w:pPr>
      <w:spacing w:after="0"/>
    </w:pPr>
    <w:rPr>
      <w:rFonts w:ascii="Tahoma" w:hAnsi="Tahoma" w:cs="Tahoma"/>
      <w:sz w:val="16"/>
      <w:szCs w:val="16"/>
    </w:rPr>
  </w:style>
  <w:style w:type="character" w:customStyle="1" w:styleId="DocumentMapChar">
    <w:name w:val="Document Map Char"/>
    <w:basedOn w:val="DefaultParagraphFont"/>
    <w:link w:val="DocumentMap"/>
    <w:rsid w:val="006F7A43"/>
    <w:rPr>
      <w:rFonts w:ascii="Tahoma" w:eastAsia="Times New Roman" w:hAnsi="Tahoma" w:cs="Tahoma"/>
      <w:sz w:val="16"/>
      <w:szCs w:val="16"/>
      <w:lang w:eastAsia="sv-SE"/>
    </w:rPr>
  </w:style>
  <w:style w:type="paragraph" w:styleId="BodyText2">
    <w:name w:val="Body Text 2"/>
    <w:basedOn w:val="Normal"/>
    <w:link w:val="BodyText2Char"/>
    <w:uiPriority w:val="99"/>
    <w:rsid w:val="009229D4"/>
    <w:pPr>
      <w:spacing w:after="120" w:line="480" w:lineRule="auto"/>
    </w:pPr>
  </w:style>
  <w:style w:type="character" w:customStyle="1" w:styleId="BodyText2Char">
    <w:name w:val="Body Text 2 Char"/>
    <w:basedOn w:val="DefaultParagraphFont"/>
    <w:link w:val="BodyText2"/>
    <w:uiPriority w:val="99"/>
    <w:rsid w:val="009229D4"/>
    <w:rPr>
      <w:rFonts w:ascii="Garamond" w:eastAsia="Times New Roman" w:hAnsi="Garamond" w:cs="Times New Roman"/>
      <w:lang w:eastAsia="sv-SE"/>
    </w:rPr>
  </w:style>
  <w:style w:type="paragraph" w:styleId="BlockText">
    <w:name w:val="Block Text"/>
    <w:basedOn w:val="Normal"/>
    <w:rsid w:val="009229D4"/>
    <w:pPr>
      <w:tabs>
        <w:tab w:val="left" w:pos="720"/>
      </w:tabs>
      <w:spacing w:after="0"/>
      <w:ind w:left="810" w:right="778"/>
    </w:pPr>
    <w:rPr>
      <w:rFonts w:ascii="Times" w:eastAsia="Times" w:hAnsi="Times"/>
      <w:sz w:val="22"/>
      <w:szCs w:val="20"/>
      <w:lang w:val="en-GB" w:eastAsia="zh-CN"/>
    </w:rPr>
  </w:style>
  <w:style w:type="character" w:customStyle="1" w:styleId="Heading3Char">
    <w:name w:val="Heading 3 Char"/>
    <w:basedOn w:val="DefaultParagraphFont"/>
    <w:link w:val="Heading3"/>
    <w:rsid w:val="007D4620"/>
    <w:rPr>
      <w:rFonts w:asciiTheme="majorHAnsi" w:eastAsiaTheme="majorEastAsia" w:hAnsiTheme="majorHAnsi" w:cstheme="majorBidi"/>
      <w:b/>
      <w:bCs/>
      <w:color w:val="4F81BD" w:themeColor="accent1"/>
      <w:lang w:eastAsia="sv-SE"/>
    </w:rPr>
  </w:style>
  <w:style w:type="character" w:styleId="CommentReference">
    <w:name w:val="annotation reference"/>
    <w:basedOn w:val="DefaultParagraphFont"/>
    <w:uiPriority w:val="99"/>
    <w:rsid w:val="0055654E"/>
    <w:rPr>
      <w:sz w:val="16"/>
      <w:szCs w:val="16"/>
    </w:rPr>
  </w:style>
  <w:style w:type="paragraph" w:styleId="CommentText">
    <w:name w:val="annotation text"/>
    <w:basedOn w:val="Normal"/>
    <w:link w:val="CommentTextChar"/>
    <w:uiPriority w:val="99"/>
    <w:rsid w:val="0055654E"/>
    <w:rPr>
      <w:sz w:val="20"/>
      <w:szCs w:val="20"/>
    </w:rPr>
  </w:style>
  <w:style w:type="character" w:customStyle="1" w:styleId="CommentTextChar">
    <w:name w:val="Comment Text Char"/>
    <w:basedOn w:val="DefaultParagraphFont"/>
    <w:link w:val="CommentText"/>
    <w:uiPriority w:val="99"/>
    <w:rsid w:val="0055654E"/>
    <w:rPr>
      <w:rFonts w:ascii="Garamond" w:eastAsia="Times New Roman" w:hAnsi="Garamond" w:cs="Times New Roman"/>
      <w:sz w:val="20"/>
      <w:szCs w:val="20"/>
      <w:lang w:eastAsia="sv-SE"/>
    </w:rPr>
  </w:style>
  <w:style w:type="paragraph" w:styleId="CommentSubject">
    <w:name w:val="annotation subject"/>
    <w:basedOn w:val="CommentText"/>
    <w:next w:val="CommentText"/>
    <w:link w:val="CommentSubjectChar"/>
    <w:rsid w:val="0055654E"/>
    <w:rPr>
      <w:b/>
      <w:bCs/>
    </w:rPr>
  </w:style>
  <w:style w:type="character" w:customStyle="1" w:styleId="CommentSubjectChar">
    <w:name w:val="Comment Subject Char"/>
    <w:basedOn w:val="CommentTextChar"/>
    <w:link w:val="CommentSubject"/>
    <w:rsid w:val="0055654E"/>
    <w:rPr>
      <w:rFonts w:ascii="Garamond" w:eastAsia="Times New Roman" w:hAnsi="Garamond" w:cs="Times New Roman"/>
      <w:b/>
      <w:bCs/>
      <w:sz w:val="20"/>
      <w:szCs w:val="20"/>
      <w:lang w:eastAsia="sv-SE"/>
    </w:rPr>
  </w:style>
  <w:style w:type="paragraph" w:styleId="Revision">
    <w:name w:val="Revision"/>
    <w:hidden/>
    <w:rsid w:val="00C709BB"/>
    <w:rPr>
      <w:rFonts w:ascii="Garamond" w:eastAsia="Times New Roman" w:hAnsi="Garamond" w:cs="Times New Roman"/>
      <w:lang w:eastAsia="sv-SE"/>
    </w:rPr>
  </w:style>
  <w:style w:type="table" w:styleId="ColorfulList-Accent4">
    <w:name w:val="Colorful List Accent 4"/>
    <w:basedOn w:val="TableNormal"/>
    <w:rsid w:val="00827934"/>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Grid-Accent3">
    <w:name w:val="Colorful Grid Accent 3"/>
    <w:basedOn w:val="TableNormal"/>
    <w:rsid w:val="00827934"/>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3-Accent1">
    <w:name w:val="Medium Grid 3 Accent 1"/>
    <w:basedOn w:val="TableNormal"/>
    <w:rsid w:val="00117572"/>
    <w:rPr>
      <w:sz w:val="20"/>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rFonts w:asciiTheme="minorHAnsi" w:hAnsiTheme="minorHAnsi"/>
        <w:b/>
        <w:bCs/>
        <w:i w:val="0"/>
        <w:iCs w:val="0"/>
        <w:color w:val="FFFFFF" w:themeColor="background1"/>
        <w:sz w:val="20"/>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val="0"/>
        <w:bCs/>
        <w:i w:val="0"/>
        <w:iCs w:val="0"/>
        <w:color w:val="auto"/>
      </w:rPr>
      <w:tblPr/>
      <w:tcPr>
        <w:shd w:val="clear" w:color="auto" w:fill="DBE5F1" w:themeFill="accent1" w:themeFillTint="3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shd w:val="clear" w:color="auto" w:fill="DBE5F1" w:themeFill="accent1" w:themeFillTint="33"/>
      </w:tcPr>
    </w:tblStylePr>
    <w:tblStylePr w:type="band2Horz">
      <w:tblPr/>
      <w:tcPr>
        <w:shd w:val="clear" w:color="auto" w:fill="DBE5F1" w:themeFill="accent1" w:themeFillTint="33"/>
      </w:tcPr>
    </w:tblStylePr>
  </w:style>
  <w:style w:type="paragraph" w:customStyle="1" w:styleId="Liststycke1">
    <w:name w:val="Liststycke1"/>
    <w:basedOn w:val="Normal"/>
    <w:rsid w:val="00231C30"/>
    <w:pPr>
      <w:spacing w:after="200" w:line="276" w:lineRule="auto"/>
      <w:ind w:left="720"/>
      <w:contextualSpacing/>
      <w:jc w:val="left"/>
    </w:pPr>
    <w:rPr>
      <w:rFonts w:ascii="Calibri" w:eastAsia="Calibri" w:hAnsi="Calibri" w:cs="Arial"/>
      <w:sz w:val="22"/>
      <w:szCs w:val="22"/>
      <w:lang w:val="fr-FR" w:eastAsia="en-US"/>
    </w:rPr>
  </w:style>
  <w:style w:type="table" w:styleId="MediumGrid3-Accent5">
    <w:name w:val="Medium Grid 3 Accent 5"/>
    <w:basedOn w:val="TableNormal"/>
    <w:rsid w:val="00231C3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styleId="Emphasis">
    <w:name w:val="Emphasis"/>
    <w:basedOn w:val="DefaultParagraphFont"/>
    <w:uiPriority w:val="20"/>
    <w:qFormat/>
    <w:rsid w:val="00BC35A3"/>
    <w:rPr>
      <w:i/>
      <w:iCs/>
    </w:rPr>
  </w:style>
  <w:style w:type="character" w:customStyle="1" w:styleId="Heading4Char">
    <w:name w:val="Heading 4 Char"/>
    <w:basedOn w:val="DefaultParagraphFont"/>
    <w:link w:val="Heading4"/>
    <w:rsid w:val="0050637B"/>
    <w:rPr>
      <w:rFonts w:asciiTheme="majorHAnsi" w:eastAsiaTheme="majorEastAsia" w:hAnsiTheme="majorHAnsi" w:cstheme="majorBidi"/>
      <w:b/>
      <w:bCs/>
      <w:i/>
      <w:iCs/>
      <w:color w:val="4F81BD" w:themeColor="accent1"/>
      <w:lang w:eastAsia="sv-S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sv-SE" w:eastAsia="en-US" w:bidi="ar-SA"/>
      </w:rPr>
    </w:rPrDefault>
    <w:pPrDefault/>
  </w:docDefaults>
  <w:latentStyles w:defLockedState="0" w:defUIPriority="0" w:defSemiHidden="0" w:defUnhideWhenUsed="0" w:defQFormat="0" w:count="267">
    <w:lsdException w:name="heading 2" w:qFormat="1"/>
    <w:lsdException w:name="heading 3"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table of figures" w:uiPriority="99"/>
    <w:lsdException w:name="footnote reference" w:uiPriority="99"/>
    <w:lsdException w:name="Hyperlink" w:uiPriority="99"/>
    <w:lsdException w:name="Balloon Text" w:uiPriority="99"/>
    <w:lsdException w:name="List Paragraph" w:uiPriority="34"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915EC"/>
    <w:pPr>
      <w:spacing w:after="240"/>
      <w:jc w:val="both"/>
    </w:pPr>
    <w:rPr>
      <w:rFonts w:ascii="Garamond" w:eastAsia="Times New Roman" w:hAnsi="Garamond" w:cs="Times New Roman"/>
      <w:lang w:eastAsia="sv-SE"/>
    </w:rPr>
  </w:style>
  <w:style w:type="paragraph" w:styleId="Heading1">
    <w:name w:val="heading 1"/>
    <w:basedOn w:val="Normal"/>
    <w:next w:val="Normal"/>
    <w:link w:val="Heading1Char"/>
    <w:rsid w:val="00406D61"/>
    <w:pPr>
      <w:keepNext/>
      <w:keepLines/>
      <w:spacing w:before="480" w:after="0"/>
      <w:outlineLvl w:val="0"/>
    </w:pPr>
    <w:rPr>
      <w:rFonts w:asciiTheme="majorHAnsi" w:eastAsiaTheme="majorEastAsia" w:hAnsiTheme="majorHAnsi" w:cstheme="majorBidi"/>
      <w:b/>
      <w:bCs/>
      <w:color w:val="345A8A" w:themeColor="accent1" w:themeShade="B5"/>
      <w:sz w:val="36"/>
      <w:szCs w:val="32"/>
    </w:rPr>
  </w:style>
  <w:style w:type="paragraph" w:styleId="Heading2">
    <w:name w:val="heading 2"/>
    <w:basedOn w:val="Normal"/>
    <w:next w:val="Normal"/>
    <w:link w:val="Heading2Char"/>
    <w:qFormat/>
    <w:rsid w:val="00406D61"/>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qFormat/>
    <w:rsid w:val="007D462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rsid w:val="0050637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4BC6"/>
    <w:rPr>
      <w:rFonts w:ascii="Lucida Grande" w:hAnsi="Lucida Grande"/>
      <w:sz w:val="18"/>
      <w:szCs w:val="18"/>
    </w:rPr>
  </w:style>
  <w:style w:type="character" w:customStyle="1" w:styleId="BubbeltextChar">
    <w:name w:val="Bubbeltext Char"/>
    <w:basedOn w:val="DefaultParagraphFont"/>
    <w:uiPriority w:val="99"/>
    <w:semiHidden/>
    <w:rsid w:val="003C53C5"/>
    <w:rPr>
      <w:rFonts w:ascii="Lucida Grande" w:hAnsi="Lucida Grande"/>
      <w:sz w:val="18"/>
      <w:szCs w:val="18"/>
    </w:rPr>
  </w:style>
  <w:style w:type="character" w:customStyle="1" w:styleId="BubbeltextChar0">
    <w:name w:val="Bubbeltext Char"/>
    <w:basedOn w:val="DefaultParagraphFont"/>
    <w:uiPriority w:val="99"/>
    <w:semiHidden/>
    <w:rsid w:val="006C5F31"/>
    <w:rPr>
      <w:rFonts w:ascii="Lucida Grande" w:hAnsi="Lucida Grande"/>
      <w:sz w:val="18"/>
      <w:szCs w:val="18"/>
    </w:rPr>
  </w:style>
  <w:style w:type="character" w:customStyle="1" w:styleId="Heading1Char">
    <w:name w:val="Heading 1 Char"/>
    <w:basedOn w:val="DefaultParagraphFont"/>
    <w:link w:val="Heading1"/>
    <w:rsid w:val="00406D61"/>
    <w:rPr>
      <w:rFonts w:asciiTheme="majorHAnsi" w:eastAsiaTheme="majorEastAsia" w:hAnsiTheme="majorHAnsi" w:cstheme="majorBidi"/>
      <w:b/>
      <w:bCs/>
      <w:color w:val="345A8A" w:themeColor="accent1" w:themeShade="B5"/>
      <w:sz w:val="36"/>
      <w:szCs w:val="32"/>
      <w:lang w:eastAsia="sv-SE"/>
    </w:rPr>
  </w:style>
  <w:style w:type="character" w:customStyle="1" w:styleId="Heading2Char">
    <w:name w:val="Heading 2 Char"/>
    <w:basedOn w:val="DefaultParagraphFont"/>
    <w:link w:val="Heading2"/>
    <w:rsid w:val="00406D61"/>
    <w:rPr>
      <w:rFonts w:asciiTheme="majorHAnsi" w:eastAsiaTheme="majorEastAsia" w:hAnsiTheme="majorHAnsi" w:cstheme="majorBidi"/>
      <w:b/>
      <w:bCs/>
      <w:color w:val="4F81BD" w:themeColor="accent1"/>
      <w:sz w:val="28"/>
      <w:szCs w:val="26"/>
      <w:lang w:eastAsia="sv-SE"/>
    </w:rPr>
  </w:style>
  <w:style w:type="character" w:customStyle="1" w:styleId="BalloonTextChar">
    <w:name w:val="Balloon Text Char"/>
    <w:basedOn w:val="DefaultParagraphFont"/>
    <w:link w:val="BalloonText"/>
    <w:uiPriority w:val="99"/>
    <w:semiHidden/>
    <w:rsid w:val="00D84BC6"/>
    <w:rPr>
      <w:rFonts w:ascii="Lucida Grande" w:hAnsi="Lucida Grande"/>
      <w:sz w:val="18"/>
      <w:szCs w:val="18"/>
    </w:rPr>
  </w:style>
  <w:style w:type="character" w:customStyle="1" w:styleId="BubbeltextChar1">
    <w:name w:val="Bubbeltext Char"/>
    <w:basedOn w:val="DefaultParagraphFont"/>
    <w:uiPriority w:val="99"/>
    <w:semiHidden/>
    <w:rsid w:val="00D84BC6"/>
    <w:rPr>
      <w:rFonts w:ascii="Lucida Grande" w:hAnsi="Lucida Grande"/>
      <w:sz w:val="18"/>
      <w:szCs w:val="18"/>
    </w:rPr>
  </w:style>
  <w:style w:type="character" w:customStyle="1" w:styleId="BubbeltextChar2">
    <w:name w:val="Bubbeltext Char"/>
    <w:basedOn w:val="DefaultParagraphFont"/>
    <w:uiPriority w:val="99"/>
    <w:semiHidden/>
    <w:rsid w:val="00D84BC6"/>
    <w:rPr>
      <w:rFonts w:ascii="Lucida Grande" w:hAnsi="Lucida Grande"/>
      <w:sz w:val="18"/>
      <w:szCs w:val="18"/>
    </w:rPr>
  </w:style>
  <w:style w:type="paragraph" w:styleId="FootnoteText">
    <w:name w:val="footnote text"/>
    <w:basedOn w:val="Normal"/>
    <w:link w:val="FootnoteTextChar"/>
    <w:uiPriority w:val="99"/>
    <w:rsid w:val="001178F3"/>
    <w:pPr>
      <w:spacing w:after="0"/>
    </w:pPr>
    <w:rPr>
      <w:sz w:val="20"/>
    </w:rPr>
  </w:style>
  <w:style w:type="character" w:customStyle="1" w:styleId="FootnoteTextChar">
    <w:name w:val="Footnote Text Char"/>
    <w:basedOn w:val="DefaultParagraphFont"/>
    <w:link w:val="FootnoteText"/>
    <w:uiPriority w:val="99"/>
    <w:rsid w:val="001178F3"/>
    <w:rPr>
      <w:rFonts w:ascii="Garamond" w:eastAsia="Times New Roman" w:hAnsi="Garamond" w:cs="Times New Roman"/>
      <w:sz w:val="20"/>
      <w:lang w:eastAsia="sv-SE"/>
    </w:rPr>
  </w:style>
  <w:style w:type="character" w:styleId="FootnoteReference">
    <w:name w:val="footnote reference"/>
    <w:basedOn w:val="DefaultParagraphFont"/>
    <w:uiPriority w:val="99"/>
    <w:rsid w:val="00ED21EA"/>
    <w:rPr>
      <w:vertAlign w:val="superscript"/>
    </w:rPr>
  </w:style>
  <w:style w:type="character" w:styleId="Hyperlink">
    <w:name w:val="Hyperlink"/>
    <w:basedOn w:val="DefaultParagraphFont"/>
    <w:uiPriority w:val="99"/>
    <w:rsid w:val="008C3C08"/>
    <w:rPr>
      <w:rFonts w:asciiTheme="minorHAnsi" w:hAnsiTheme="minorHAnsi"/>
      <w:color w:val="0000FF" w:themeColor="hyperlink"/>
      <w:sz w:val="22"/>
      <w:u w:val="single"/>
    </w:rPr>
  </w:style>
  <w:style w:type="paragraph" w:styleId="ListParagraph">
    <w:name w:val="List Paragraph"/>
    <w:basedOn w:val="Normal"/>
    <w:uiPriority w:val="34"/>
    <w:qFormat/>
    <w:rsid w:val="000F3C9A"/>
    <w:pPr>
      <w:spacing w:before="120"/>
      <w:ind w:left="720"/>
    </w:pPr>
  </w:style>
  <w:style w:type="paragraph" w:styleId="TOC1">
    <w:name w:val="toc 1"/>
    <w:basedOn w:val="Normal"/>
    <w:next w:val="Normal"/>
    <w:autoRedefine/>
    <w:uiPriority w:val="39"/>
    <w:rsid w:val="00847F16"/>
    <w:pPr>
      <w:spacing w:before="120" w:after="0"/>
    </w:pPr>
    <w:rPr>
      <w:rFonts w:asciiTheme="minorHAnsi" w:hAnsiTheme="minorHAnsi"/>
      <w:b/>
      <w:caps/>
      <w:sz w:val="22"/>
      <w:szCs w:val="22"/>
    </w:rPr>
  </w:style>
  <w:style w:type="paragraph" w:styleId="TOC2">
    <w:name w:val="toc 2"/>
    <w:basedOn w:val="Normal"/>
    <w:next w:val="Normal"/>
    <w:autoRedefine/>
    <w:uiPriority w:val="39"/>
    <w:rsid w:val="00231C30"/>
    <w:pPr>
      <w:spacing w:after="0"/>
      <w:ind w:left="240"/>
    </w:pPr>
    <w:rPr>
      <w:rFonts w:asciiTheme="minorHAnsi" w:hAnsiTheme="minorHAnsi"/>
      <w:sz w:val="22"/>
      <w:szCs w:val="22"/>
    </w:rPr>
  </w:style>
  <w:style w:type="paragraph" w:styleId="TOC3">
    <w:name w:val="toc 3"/>
    <w:basedOn w:val="Normal"/>
    <w:next w:val="Normal"/>
    <w:autoRedefine/>
    <w:uiPriority w:val="39"/>
    <w:rsid w:val="00847F16"/>
    <w:pPr>
      <w:spacing w:after="0"/>
      <w:ind w:left="480"/>
    </w:pPr>
    <w:rPr>
      <w:rFonts w:asciiTheme="minorHAnsi" w:hAnsiTheme="minorHAnsi"/>
      <w:i/>
      <w:sz w:val="22"/>
      <w:szCs w:val="22"/>
    </w:rPr>
  </w:style>
  <w:style w:type="paragraph" w:styleId="TOC4">
    <w:name w:val="toc 4"/>
    <w:basedOn w:val="Normal"/>
    <w:next w:val="Normal"/>
    <w:autoRedefine/>
    <w:uiPriority w:val="39"/>
    <w:rsid w:val="009A40A4"/>
    <w:pPr>
      <w:spacing w:after="0"/>
      <w:ind w:left="720"/>
    </w:pPr>
    <w:rPr>
      <w:rFonts w:asciiTheme="minorHAnsi" w:hAnsiTheme="minorHAnsi"/>
      <w:szCs w:val="18"/>
      <w:lang w:val="en-GB"/>
    </w:rPr>
  </w:style>
  <w:style w:type="paragraph" w:styleId="TOC5">
    <w:name w:val="toc 5"/>
    <w:basedOn w:val="Normal"/>
    <w:next w:val="Normal"/>
    <w:autoRedefine/>
    <w:uiPriority w:val="39"/>
    <w:rsid w:val="00847F16"/>
    <w:pPr>
      <w:spacing w:after="0"/>
      <w:ind w:left="960"/>
    </w:pPr>
    <w:rPr>
      <w:rFonts w:asciiTheme="minorHAnsi" w:hAnsiTheme="minorHAnsi"/>
      <w:sz w:val="18"/>
      <w:szCs w:val="18"/>
    </w:rPr>
  </w:style>
  <w:style w:type="paragraph" w:styleId="TOC6">
    <w:name w:val="toc 6"/>
    <w:basedOn w:val="Normal"/>
    <w:next w:val="Normal"/>
    <w:autoRedefine/>
    <w:uiPriority w:val="39"/>
    <w:rsid w:val="00847F16"/>
    <w:pPr>
      <w:spacing w:after="0"/>
      <w:ind w:left="1200"/>
    </w:pPr>
    <w:rPr>
      <w:rFonts w:asciiTheme="minorHAnsi" w:hAnsiTheme="minorHAnsi"/>
      <w:sz w:val="18"/>
      <w:szCs w:val="18"/>
    </w:rPr>
  </w:style>
  <w:style w:type="paragraph" w:styleId="TOC7">
    <w:name w:val="toc 7"/>
    <w:basedOn w:val="Normal"/>
    <w:next w:val="Normal"/>
    <w:autoRedefine/>
    <w:uiPriority w:val="39"/>
    <w:rsid w:val="00847F16"/>
    <w:pPr>
      <w:spacing w:after="0"/>
      <w:ind w:left="1440"/>
    </w:pPr>
    <w:rPr>
      <w:rFonts w:asciiTheme="minorHAnsi" w:hAnsiTheme="minorHAnsi"/>
      <w:sz w:val="18"/>
      <w:szCs w:val="18"/>
    </w:rPr>
  </w:style>
  <w:style w:type="paragraph" w:styleId="TOC8">
    <w:name w:val="toc 8"/>
    <w:basedOn w:val="Normal"/>
    <w:next w:val="Normal"/>
    <w:autoRedefine/>
    <w:uiPriority w:val="39"/>
    <w:rsid w:val="00847F16"/>
    <w:pPr>
      <w:spacing w:after="0"/>
      <w:ind w:left="1680"/>
    </w:pPr>
    <w:rPr>
      <w:rFonts w:asciiTheme="minorHAnsi" w:hAnsiTheme="minorHAnsi"/>
      <w:sz w:val="18"/>
      <w:szCs w:val="18"/>
    </w:rPr>
  </w:style>
  <w:style w:type="paragraph" w:styleId="TOC9">
    <w:name w:val="toc 9"/>
    <w:basedOn w:val="Normal"/>
    <w:next w:val="Normal"/>
    <w:autoRedefine/>
    <w:uiPriority w:val="39"/>
    <w:rsid w:val="00847F16"/>
    <w:pPr>
      <w:spacing w:after="0"/>
      <w:ind w:left="1920"/>
    </w:pPr>
    <w:rPr>
      <w:rFonts w:asciiTheme="minorHAnsi" w:hAnsiTheme="minorHAnsi"/>
      <w:sz w:val="18"/>
      <w:szCs w:val="18"/>
    </w:rPr>
  </w:style>
  <w:style w:type="paragraph" w:styleId="Footer">
    <w:name w:val="footer"/>
    <w:basedOn w:val="Normal"/>
    <w:link w:val="FooterChar"/>
    <w:uiPriority w:val="99"/>
    <w:rsid w:val="0077653F"/>
    <w:pPr>
      <w:tabs>
        <w:tab w:val="center" w:pos="4703"/>
        <w:tab w:val="right" w:pos="9406"/>
      </w:tabs>
      <w:spacing w:after="0"/>
    </w:pPr>
  </w:style>
  <w:style w:type="character" w:customStyle="1" w:styleId="FooterChar">
    <w:name w:val="Footer Char"/>
    <w:basedOn w:val="DefaultParagraphFont"/>
    <w:link w:val="Footer"/>
    <w:uiPriority w:val="99"/>
    <w:rsid w:val="0077653F"/>
    <w:rPr>
      <w:rFonts w:ascii="Garamond" w:eastAsia="Times New Roman" w:hAnsi="Garamond" w:cs="Times New Roman"/>
      <w:lang w:eastAsia="sv-SE"/>
    </w:rPr>
  </w:style>
  <w:style w:type="character" w:styleId="PageNumber">
    <w:name w:val="page number"/>
    <w:basedOn w:val="DefaultParagraphFont"/>
    <w:rsid w:val="0077653F"/>
  </w:style>
  <w:style w:type="table" w:styleId="MediumGrid3-Accent3">
    <w:name w:val="Medium Grid 3 Accent 3"/>
    <w:basedOn w:val="TableNormal"/>
    <w:uiPriority w:val="69"/>
    <w:rsid w:val="00827934"/>
    <w:rPr>
      <w:sz w:val="22"/>
      <w:szCs w:val="22"/>
      <w:lang w:eastAsia="sv-SE"/>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6E3BC" w:themeFill="accent3" w:themeFillTint="66"/>
    </w:tcPr>
    <w:tblStylePr w:type="firstRow">
      <w:rPr>
        <w:b/>
        <w:bCs/>
        <w:i w:val="0"/>
        <w:iCs w:val="0"/>
        <w:color w:val="FFFFFF" w:themeColor="background1"/>
      </w:rPr>
      <w:tblPr/>
      <w:tcPr>
        <w:shd w:val="clear" w:color="auto" w:fill="00B050"/>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shd w:val="clear" w:color="auto" w:fill="D6E3BC" w:themeFill="accent3" w:themeFillTint="6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paragraph" w:styleId="TableofFigures">
    <w:name w:val="table of figures"/>
    <w:basedOn w:val="Normal"/>
    <w:next w:val="Normal"/>
    <w:uiPriority w:val="99"/>
    <w:rsid w:val="007A2CA7"/>
    <w:pPr>
      <w:spacing w:after="0"/>
      <w:ind w:left="851" w:hanging="851"/>
    </w:pPr>
    <w:rPr>
      <w:rFonts w:asciiTheme="minorHAnsi" w:hAnsiTheme="minorHAnsi"/>
      <w:sz w:val="22"/>
    </w:rPr>
  </w:style>
  <w:style w:type="table" w:styleId="TableGrid">
    <w:name w:val="Table Grid"/>
    <w:basedOn w:val="TableNormal"/>
    <w:rsid w:val="006F7A4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99"/>
    <w:qFormat/>
    <w:rsid w:val="001178F3"/>
    <w:pPr>
      <w:spacing w:after="200"/>
    </w:pPr>
    <w:rPr>
      <w:b/>
      <w:bCs/>
      <w:sz w:val="22"/>
      <w:szCs w:val="18"/>
    </w:rPr>
  </w:style>
  <w:style w:type="paragraph" w:styleId="Title">
    <w:name w:val="Title"/>
    <w:basedOn w:val="Normal"/>
    <w:next w:val="Normal"/>
    <w:link w:val="TitleChar"/>
    <w:rsid w:val="006F7A4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F7A43"/>
    <w:rPr>
      <w:rFonts w:asciiTheme="majorHAnsi" w:eastAsiaTheme="majorEastAsia" w:hAnsiTheme="majorHAnsi" w:cstheme="majorBidi"/>
      <w:color w:val="17365D" w:themeColor="text2" w:themeShade="BF"/>
      <w:spacing w:val="5"/>
      <w:kern w:val="28"/>
      <w:sz w:val="52"/>
      <w:szCs w:val="52"/>
      <w:lang w:eastAsia="sv-SE"/>
    </w:rPr>
  </w:style>
  <w:style w:type="paragraph" w:styleId="BodyText">
    <w:name w:val="Body Text"/>
    <w:basedOn w:val="Normal"/>
    <w:link w:val="BodyTextChar"/>
    <w:rsid w:val="006F7A43"/>
    <w:pPr>
      <w:spacing w:after="120" w:line="276" w:lineRule="auto"/>
    </w:pPr>
    <w:rPr>
      <w:rFonts w:ascii="Calibri" w:eastAsia="Calibri" w:hAnsi="Calibri" w:cs="Arial"/>
      <w:sz w:val="22"/>
      <w:szCs w:val="22"/>
      <w:lang w:val="fr-FR" w:eastAsia="en-US"/>
    </w:rPr>
  </w:style>
  <w:style w:type="character" w:customStyle="1" w:styleId="BodyTextChar">
    <w:name w:val="Body Text Char"/>
    <w:basedOn w:val="DefaultParagraphFont"/>
    <w:link w:val="BodyText"/>
    <w:rsid w:val="006F7A43"/>
    <w:rPr>
      <w:rFonts w:ascii="Calibri" w:eastAsia="Calibri" w:hAnsi="Calibri" w:cs="Arial"/>
      <w:sz w:val="22"/>
      <w:szCs w:val="22"/>
      <w:lang w:val="fr-FR"/>
    </w:rPr>
  </w:style>
  <w:style w:type="table" w:styleId="LightList-Accent3">
    <w:name w:val="Light List Accent 3"/>
    <w:basedOn w:val="TableNormal"/>
    <w:uiPriority w:val="61"/>
    <w:rsid w:val="006F7A43"/>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Header">
    <w:name w:val="header"/>
    <w:basedOn w:val="Normal"/>
    <w:link w:val="HeaderChar"/>
    <w:rsid w:val="006F7A43"/>
    <w:pPr>
      <w:tabs>
        <w:tab w:val="center" w:pos="4536"/>
        <w:tab w:val="right" w:pos="9072"/>
      </w:tabs>
      <w:spacing w:after="0"/>
    </w:pPr>
  </w:style>
  <w:style w:type="character" w:customStyle="1" w:styleId="HeaderChar">
    <w:name w:val="Header Char"/>
    <w:basedOn w:val="DefaultParagraphFont"/>
    <w:link w:val="Header"/>
    <w:rsid w:val="006F7A43"/>
    <w:rPr>
      <w:rFonts w:ascii="Garamond" w:eastAsia="Times New Roman" w:hAnsi="Garamond" w:cs="Times New Roman"/>
      <w:lang w:eastAsia="sv-SE"/>
    </w:rPr>
  </w:style>
  <w:style w:type="character" w:customStyle="1" w:styleId="longtext">
    <w:name w:val="long_text"/>
    <w:basedOn w:val="DefaultParagraphFont"/>
    <w:rsid w:val="006F7A43"/>
  </w:style>
  <w:style w:type="paragraph" w:customStyle="1" w:styleId="Default">
    <w:name w:val="Default"/>
    <w:rsid w:val="006F7A43"/>
    <w:pPr>
      <w:autoSpaceDE w:val="0"/>
      <w:autoSpaceDN w:val="0"/>
      <w:adjustRightInd w:val="0"/>
    </w:pPr>
    <w:rPr>
      <w:rFonts w:ascii="Times New Roman" w:hAnsi="Times New Roman" w:cs="Times New Roman"/>
      <w:color w:val="000000"/>
    </w:rPr>
  </w:style>
  <w:style w:type="paragraph" w:styleId="DocumentMap">
    <w:name w:val="Document Map"/>
    <w:basedOn w:val="Normal"/>
    <w:link w:val="DocumentMapChar"/>
    <w:rsid w:val="006F7A43"/>
    <w:pPr>
      <w:spacing w:after="0"/>
    </w:pPr>
    <w:rPr>
      <w:rFonts w:ascii="Tahoma" w:hAnsi="Tahoma" w:cs="Tahoma"/>
      <w:sz w:val="16"/>
      <w:szCs w:val="16"/>
    </w:rPr>
  </w:style>
  <w:style w:type="character" w:customStyle="1" w:styleId="DocumentMapChar">
    <w:name w:val="Document Map Char"/>
    <w:basedOn w:val="DefaultParagraphFont"/>
    <w:link w:val="DocumentMap"/>
    <w:rsid w:val="006F7A43"/>
    <w:rPr>
      <w:rFonts w:ascii="Tahoma" w:eastAsia="Times New Roman" w:hAnsi="Tahoma" w:cs="Tahoma"/>
      <w:sz w:val="16"/>
      <w:szCs w:val="16"/>
      <w:lang w:eastAsia="sv-SE"/>
    </w:rPr>
  </w:style>
  <w:style w:type="paragraph" w:styleId="BodyText2">
    <w:name w:val="Body Text 2"/>
    <w:basedOn w:val="Normal"/>
    <w:link w:val="BodyText2Char"/>
    <w:uiPriority w:val="99"/>
    <w:rsid w:val="009229D4"/>
    <w:pPr>
      <w:spacing w:after="120" w:line="480" w:lineRule="auto"/>
    </w:pPr>
  </w:style>
  <w:style w:type="character" w:customStyle="1" w:styleId="BodyText2Char">
    <w:name w:val="Body Text 2 Char"/>
    <w:basedOn w:val="DefaultParagraphFont"/>
    <w:link w:val="BodyText2"/>
    <w:uiPriority w:val="99"/>
    <w:rsid w:val="009229D4"/>
    <w:rPr>
      <w:rFonts w:ascii="Garamond" w:eastAsia="Times New Roman" w:hAnsi="Garamond" w:cs="Times New Roman"/>
      <w:lang w:eastAsia="sv-SE"/>
    </w:rPr>
  </w:style>
  <w:style w:type="paragraph" w:styleId="BlockText">
    <w:name w:val="Block Text"/>
    <w:basedOn w:val="Normal"/>
    <w:rsid w:val="009229D4"/>
    <w:pPr>
      <w:tabs>
        <w:tab w:val="left" w:pos="720"/>
      </w:tabs>
      <w:spacing w:after="0"/>
      <w:ind w:left="810" w:right="778"/>
    </w:pPr>
    <w:rPr>
      <w:rFonts w:ascii="Times" w:eastAsia="Times" w:hAnsi="Times"/>
      <w:sz w:val="22"/>
      <w:szCs w:val="20"/>
      <w:lang w:val="en-GB" w:eastAsia="zh-CN"/>
    </w:rPr>
  </w:style>
  <w:style w:type="character" w:customStyle="1" w:styleId="Heading3Char">
    <w:name w:val="Heading 3 Char"/>
    <w:basedOn w:val="DefaultParagraphFont"/>
    <w:link w:val="Heading3"/>
    <w:rsid w:val="007D4620"/>
    <w:rPr>
      <w:rFonts w:asciiTheme="majorHAnsi" w:eastAsiaTheme="majorEastAsia" w:hAnsiTheme="majorHAnsi" w:cstheme="majorBidi"/>
      <w:b/>
      <w:bCs/>
      <w:color w:val="4F81BD" w:themeColor="accent1"/>
      <w:lang w:eastAsia="sv-SE"/>
    </w:rPr>
  </w:style>
  <w:style w:type="character" w:styleId="CommentReference">
    <w:name w:val="annotation reference"/>
    <w:basedOn w:val="DefaultParagraphFont"/>
    <w:uiPriority w:val="99"/>
    <w:rsid w:val="0055654E"/>
    <w:rPr>
      <w:sz w:val="16"/>
      <w:szCs w:val="16"/>
    </w:rPr>
  </w:style>
  <w:style w:type="paragraph" w:styleId="CommentText">
    <w:name w:val="annotation text"/>
    <w:basedOn w:val="Normal"/>
    <w:link w:val="CommentTextChar"/>
    <w:uiPriority w:val="99"/>
    <w:rsid w:val="0055654E"/>
    <w:rPr>
      <w:sz w:val="20"/>
      <w:szCs w:val="20"/>
    </w:rPr>
  </w:style>
  <w:style w:type="character" w:customStyle="1" w:styleId="CommentTextChar">
    <w:name w:val="Comment Text Char"/>
    <w:basedOn w:val="DefaultParagraphFont"/>
    <w:link w:val="CommentText"/>
    <w:uiPriority w:val="99"/>
    <w:rsid w:val="0055654E"/>
    <w:rPr>
      <w:rFonts w:ascii="Garamond" w:eastAsia="Times New Roman" w:hAnsi="Garamond" w:cs="Times New Roman"/>
      <w:sz w:val="20"/>
      <w:szCs w:val="20"/>
      <w:lang w:eastAsia="sv-SE"/>
    </w:rPr>
  </w:style>
  <w:style w:type="paragraph" w:styleId="CommentSubject">
    <w:name w:val="annotation subject"/>
    <w:basedOn w:val="CommentText"/>
    <w:next w:val="CommentText"/>
    <w:link w:val="CommentSubjectChar"/>
    <w:rsid w:val="0055654E"/>
    <w:rPr>
      <w:b/>
      <w:bCs/>
    </w:rPr>
  </w:style>
  <w:style w:type="character" w:customStyle="1" w:styleId="CommentSubjectChar">
    <w:name w:val="Comment Subject Char"/>
    <w:basedOn w:val="CommentTextChar"/>
    <w:link w:val="CommentSubject"/>
    <w:rsid w:val="0055654E"/>
    <w:rPr>
      <w:rFonts w:ascii="Garamond" w:eastAsia="Times New Roman" w:hAnsi="Garamond" w:cs="Times New Roman"/>
      <w:b/>
      <w:bCs/>
      <w:sz w:val="20"/>
      <w:szCs w:val="20"/>
      <w:lang w:eastAsia="sv-SE"/>
    </w:rPr>
  </w:style>
  <w:style w:type="paragraph" w:styleId="Revision">
    <w:name w:val="Revision"/>
    <w:hidden/>
    <w:rsid w:val="00C709BB"/>
    <w:rPr>
      <w:rFonts w:ascii="Garamond" w:eastAsia="Times New Roman" w:hAnsi="Garamond" w:cs="Times New Roman"/>
      <w:lang w:eastAsia="sv-SE"/>
    </w:rPr>
  </w:style>
  <w:style w:type="table" w:styleId="ColorfulList-Accent4">
    <w:name w:val="Colorful List Accent 4"/>
    <w:basedOn w:val="TableNormal"/>
    <w:rsid w:val="00827934"/>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Grid-Accent3">
    <w:name w:val="Colorful Grid Accent 3"/>
    <w:basedOn w:val="TableNormal"/>
    <w:rsid w:val="00827934"/>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3-Accent1">
    <w:name w:val="Medium Grid 3 Accent 1"/>
    <w:basedOn w:val="TableNormal"/>
    <w:rsid w:val="00117572"/>
    <w:rPr>
      <w:sz w:val="20"/>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rFonts w:asciiTheme="minorHAnsi" w:hAnsiTheme="minorHAnsi"/>
        <w:b/>
        <w:bCs/>
        <w:i w:val="0"/>
        <w:iCs w:val="0"/>
        <w:color w:val="FFFFFF" w:themeColor="background1"/>
        <w:sz w:val="20"/>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val="0"/>
        <w:bCs/>
        <w:i w:val="0"/>
        <w:iCs w:val="0"/>
        <w:color w:val="auto"/>
      </w:rPr>
      <w:tblPr/>
      <w:tcPr>
        <w:shd w:val="clear" w:color="auto" w:fill="DBE5F1" w:themeFill="accent1" w:themeFillTint="3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shd w:val="clear" w:color="auto" w:fill="DBE5F1" w:themeFill="accent1" w:themeFillTint="33"/>
      </w:tcPr>
    </w:tblStylePr>
    <w:tblStylePr w:type="band2Horz">
      <w:tblPr/>
      <w:tcPr>
        <w:shd w:val="clear" w:color="auto" w:fill="DBE5F1" w:themeFill="accent1" w:themeFillTint="33"/>
      </w:tcPr>
    </w:tblStylePr>
  </w:style>
  <w:style w:type="paragraph" w:customStyle="1" w:styleId="Liststycke1">
    <w:name w:val="Liststycke1"/>
    <w:basedOn w:val="Normal"/>
    <w:rsid w:val="00231C30"/>
    <w:pPr>
      <w:spacing w:after="200" w:line="276" w:lineRule="auto"/>
      <w:ind w:left="720"/>
      <w:contextualSpacing/>
      <w:jc w:val="left"/>
    </w:pPr>
    <w:rPr>
      <w:rFonts w:ascii="Calibri" w:eastAsia="Calibri" w:hAnsi="Calibri" w:cs="Arial"/>
      <w:sz w:val="22"/>
      <w:szCs w:val="22"/>
      <w:lang w:val="fr-FR" w:eastAsia="en-US"/>
    </w:rPr>
  </w:style>
  <w:style w:type="table" w:styleId="MediumGrid3-Accent5">
    <w:name w:val="Medium Grid 3 Accent 5"/>
    <w:basedOn w:val="TableNormal"/>
    <w:rsid w:val="00231C3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styleId="Emphasis">
    <w:name w:val="Emphasis"/>
    <w:basedOn w:val="DefaultParagraphFont"/>
    <w:uiPriority w:val="20"/>
    <w:qFormat/>
    <w:rsid w:val="00BC35A3"/>
    <w:rPr>
      <w:i/>
      <w:iCs/>
    </w:rPr>
  </w:style>
  <w:style w:type="character" w:customStyle="1" w:styleId="Heading4Char">
    <w:name w:val="Heading 4 Char"/>
    <w:basedOn w:val="DefaultParagraphFont"/>
    <w:link w:val="Heading4"/>
    <w:rsid w:val="0050637B"/>
    <w:rPr>
      <w:rFonts w:asciiTheme="majorHAnsi" w:eastAsiaTheme="majorEastAsia" w:hAnsiTheme="majorHAnsi" w:cstheme="majorBidi"/>
      <w:b/>
      <w:bCs/>
      <w:i/>
      <w:iCs/>
      <w:color w:val="4F81BD" w:themeColor="accent1"/>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2571935">
      <w:bodyDiv w:val="1"/>
      <w:marLeft w:val="0"/>
      <w:marRight w:val="0"/>
      <w:marTop w:val="0"/>
      <w:marBottom w:val="0"/>
      <w:divBdr>
        <w:top w:val="none" w:sz="0" w:space="0" w:color="auto"/>
        <w:left w:val="none" w:sz="0" w:space="0" w:color="auto"/>
        <w:bottom w:val="none" w:sz="0" w:space="0" w:color="auto"/>
        <w:right w:val="none" w:sz="0" w:space="0" w:color="auto"/>
      </w:divBdr>
    </w:div>
    <w:div w:id="1341003233">
      <w:bodyDiv w:val="1"/>
      <w:marLeft w:val="0"/>
      <w:marRight w:val="0"/>
      <w:marTop w:val="0"/>
      <w:marBottom w:val="0"/>
      <w:divBdr>
        <w:top w:val="none" w:sz="0" w:space="0" w:color="auto"/>
        <w:left w:val="none" w:sz="0" w:space="0" w:color="auto"/>
        <w:bottom w:val="none" w:sz="0" w:space="0" w:color="auto"/>
        <w:right w:val="none" w:sz="0" w:space="0" w:color="auto"/>
      </w:divBdr>
    </w:div>
    <w:div w:id="1369796776">
      <w:bodyDiv w:val="1"/>
      <w:marLeft w:val="0"/>
      <w:marRight w:val="0"/>
      <w:marTop w:val="0"/>
      <w:marBottom w:val="0"/>
      <w:divBdr>
        <w:top w:val="none" w:sz="0" w:space="0" w:color="auto"/>
        <w:left w:val="none" w:sz="0" w:space="0" w:color="auto"/>
        <w:bottom w:val="none" w:sz="0" w:space="0" w:color="auto"/>
        <w:right w:val="none" w:sz="0" w:space="0" w:color="auto"/>
      </w:divBdr>
    </w:div>
    <w:div w:id="1435200143">
      <w:bodyDiv w:val="1"/>
      <w:marLeft w:val="0"/>
      <w:marRight w:val="0"/>
      <w:marTop w:val="0"/>
      <w:marBottom w:val="0"/>
      <w:divBdr>
        <w:top w:val="none" w:sz="0" w:space="0" w:color="auto"/>
        <w:left w:val="none" w:sz="0" w:space="0" w:color="auto"/>
        <w:bottom w:val="none" w:sz="0" w:space="0" w:color="auto"/>
        <w:right w:val="none" w:sz="0" w:space="0" w:color="auto"/>
      </w:divBdr>
    </w:div>
    <w:div w:id="14381367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2.xml"/><Relationship Id="rId18" Type="http://schemas.openxmlformats.org/officeDocument/2006/relationships/chart" Target="charts/chart7.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chart" Target="charts/chart6.xm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customXml" Target="../customXml/item3.xml"/><Relationship Id="rId5" Type="http://schemas.openxmlformats.org/officeDocument/2006/relationships/settings" Target="settings.xml"/><Relationship Id="rId15" Type="http://schemas.openxmlformats.org/officeDocument/2006/relationships/chart" Target="charts/chart4.xml"/><Relationship Id="rId23" Type="http://schemas.openxmlformats.org/officeDocument/2006/relationships/customXml" Target="../customXml/item2.xml"/><Relationship Id="rId10" Type="http://schemas.openxmlformats.org/officeDocument/2006/relationships/footer" Target="footer2.xml"/><Relationship Id="rId19"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chart" Target="charts/chart3.xm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tradestandards.org" TargetMode="External"/><Relationship Id="rId2" Type="http://schemas.openxmlformats.org/officeDocument/2006/relationships/hyperlink" Target="http://www.standardsfacility.org/" TargetMode="External"/><Relationship Id="rId1" Type="http://schemas.openxmlformats.org/officeDocument/2006/relationships/hyperlink" Target="http://www.codexalimentarius.net" TargetMode="External"/><Relationship Id="rId4" Type="http://schemas.openxmlformats.org/officeDocument/2006/relationships/hyperlink" Target="http://www.commark.org"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Jens\Documents\Jobb\Aktiva%20jobb\Codex%20TF\Data%20collection\Kopia%20av%20CTF%20participation%20Database-JA.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Jens\Documents\Jobb\Aktiva%20jobb\Codex%20TF\Data%20collection\Kopia%20av%20CTF%20participation%20Database-JA.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Jens\Documents\Jobb\Aktiva%20jobb\Codex%20TF\Data%20collection\Kopia%20av%20CTF%20participation%20Database-JA.xls"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Jens\Documents\Jobb\Aktiva%20jobb\Codex%20TF\Data%20collection\Kopia%20av%20CTF%20participation%20Database-JA.xls"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Jens\Documents\Jobb\Aktiva%20jobb\Codex%20TF\Data%20collection\Kopia%20av%20CTF%20participation%20Database-JA.xls"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Jens\Documents\Jobb\Aktiva%20jobb\Codex%20TF\Drafting%20of%20report\Kopia%20av%20CTF%20participation%20Database-JA.xls"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Jens\Documents\Jobb\Aktiva%20jobb\Codex%20TF\Drafting%20of%20report\Kopia%20av%20CTF%20participation%20Database-JA.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stacked"/>
        <c:varyColors val="0"/>
        <c:ser>
          <c:idx val="0"/>
          <c:order val="0"/>
          <c:tx>
            <c:strRef>
              <c:f>Tables!$A$26</c:f>
              <c:strCache>
                <c:ptCount val="1"/>
                <c:pt idx="0">
                  <c:v>1a</c:v>
                </c:pt>
              </c:strCache>
            </c:strRef>
          </c:tx>
          <c:invertIfNegative val="0"/>
          <c:cat>
            <c:numRef>
              <c:f>Tables!$B$25:$G$25</c:f>
              <c:numCache>
                <c:formatCode>General</c:formatCode>
                <c:ptCount val="6"/>
                <c:pt idx="0">
                  <c:v>2004</c:v>
                </c:pt>
                <c:pt idx="1">
                  <c:v>2005</c:v>
                </c:pt>
                <c:pt idx="2">
                  <c:v>2006</c:v>
                </c:pt>
                <c:pt idx="3">
                  <c:v>2007</c:v>
                </c:pt>
                <c:pt idx="4">
                  <c:v>2008</c:v>
                </c:pt>
                <c:pt idx="5">
                  <c:v>2009</c:v>
                </c:pt>
              </c:numCache>
            </c:numRef>
          </c:cat>
          <c:val>
            <c:numRef>
              <c:f>Tables!$B$26:$G$26</c:f>
              <c:numCache>
                <c:formatCode>General</c:formatCode>
                <c:ptCount val="6"/>
                <c:pt idx="0">
                  <c:v>33</c:v>
                </c:pt>
                <c:pt idx="1">
                  <c:v>114</c:v>
                </c:pt>
                <c:pt idx="2">
                  <c:v>50</c:v>
                </c:pt>
                <c:pt idx="3">
                  <c:v>104</c:v>
                </c:pt>
                <c:pt idx="4">
                  <c:v>88</c:v>
                </c:pt>
                <c:pt idx="5">
                  <c:v>140</c:v>
                </c:pt>
              </c:numCache>
            </c:numRef>
          </c:val>
        </c:ser>
        <c:ser>
          <c:idx val="1"/>
          <c:order val="1"/>
          <c:tx>
            <c:strRef>
              <c:f>Tables!$A$27</c:f>
              <c:strCache>
                <c:ptCount val="1"/>
                <c:pt idx="0">
                  <c:v>1b</c:v>
                </c:pt>
              </c:strCache>
            </c:strRef>
          </c:tx>
          <c:invertIfNegative val="0"/>
          <c:cat>
            <c:numRef>
              <c:f>Tables!$B$25:$G$25</c:f>
              <c:numCache>
                <c:formatCode>General</c:formatCode>
                <c:ptCount val="6"/>
                <c:pt idx="0">
                  <c:v>2004</c:v>
                </c:pt>
                <c:pt idx="1">
                  <c:v>2005</c:v>
                </c:pt>
                <c:pt idx="2">
                  <c:v>2006</c:v>
                </c:pt>
                <c:pt idx="3">
                  <c:v>2007</c:v>
                </c:pt>
                <c:pt idx="4">
                  <c:v>2008</c:v>
                </c:pt>
                <c:pt idx="5">
                  <c:v>2009</c:v>
                </c:pt>
              </c:numCache>
            </c:numRef>
          </c:cat>
          <c:val>
            <c:numRef>
              <c:f>Tables!$B$27:$G$27</c:f>
              <c:numCache>
                <c:formatCode>General</c:formatCode>
                <c:ptCount val="6"/>
                <c:pt idx="0">
                  <c:v>13</c:v>
                </c:pt>
                <c:pt idx="1">
                  <c:v>37</c:v>
                </c:pt>
                <c:pt idx="2">
                  <c:v>20</c:v>
                </c:pt>
                <c:pt idx="3">
                  <c:v>47</c:v>
                </c:pt>
                <c:pt idx="4">
                  <c:v>61</c:v>
                </c:pt>
                <c:pt idx="5">
                  <c:v>57</c:v>
                </c:pt>
              </c:numCache>
            </c:numRef>
          </c:val>
        </c:ser>
        <c:ser>
          <c:idx val="2"/>
          <c:order val="2"/>
          <c:tx>
            <c:strRef>
              <c:f>Tables!$A$28</c:f>
              <c:strCache>
                <c:ptCount val="1"/>
                <c:pt idx="0">
                  <c:v>2</c:v>
                </c:pt>
              </c:strCache>
            </c:strRef>
          </c:tx>
          <c:invertIfNegative val="0"/>
          <c:cat>
            <c:numRef>
              <c:f>Tables!$B$25:$G$25</c:f>
              <c:numCache>
                <c:formatCode>General</c:formatCode>
                <c:ptCount val="6"/>
                <c:pt idx="0">
                  <c:v>2004</c:v>
                </c:pt>
                <c:pt idx="1">
                  <c:v>2005</c:v>
                </c:pt>
                <c:pt idx="2">
                  <c:v>2006</c:v>
                </c:pt>
                <c:pt idx="3">
                  <c:v>2007</c:v>
                </c:pt>
                <c:pt idx="4">
                  <c:v>2008</c:v>
                </c:pt>
                <c:pt idx="5">
                  <c:v>2009</c:v>
                </c:pt>
              </c:numCache>
            </c:numRef>
          </c:cat>
          <c:val>
            <c:numRef>
              <c:f>Tables!$B$28:$G$28</c:f>
              <c:numCache>
                <c:formatCode>General</c:formatCode>
                <c:ptCount val="6"/>
                <c:pt idx="0">
                  <c:v>20</c:v>
                </c:pt>
                <c:pt idx="1">
                  <c:v>68</c:v>
                </c:pt>
                <c:pt idx="2">
                  <c:v>25</c:v>
                </c:pt>
                <c:pt idx="3">
                  <c:v>55</c:v>
                </c:pt>
                <c:pt idx="4">
                  <c:v>74</c:v>
                </c:pt>
                <c:pt idx="5">
                  <c:v>40</c:v>
                </c:pt>
              </c:numCache>
            </c:numRef>
          </c:val>
        </c:ser>
        <c:ser>
          <c:idx val="3"/>
          <c:order val="3"/>
          <c:tx>
            <c:strRef>
              <c:f>Tables!$A$29</c:f>
              <c:strCache>
                <c:ptCount val="1"/>
                <c:pt idx="0">
                  <c:v>3a</c:v>
                </c:pt>
              </c:strCache>
            </c:strRef>
          </c:tx>
          <c:invertIfNegative val="0"/>
          <c:cat>
            <c:numRef>
              <c:f>Tables!$B$25:$G$25</c:f>
              <c:numCache>
                <c:formatCode>General</c:formatCode>
                <c:ptCount val="6"/>
                <c:pt idx="0">
                  <c:v>2004</c:v>
                </c:pt>
                <c:pt idx="1">
                  <c:v>2005</c:v>
                </c:pt>
                <c:pt idx="2">
                  <c:v>2006</c:v>
                </c:pt>
                <c:pt idx="3">
                  <c:v>2007</c:v>
                </c:pt>
                <c:pt idx="4">
                  <c:v>2008</c:v>
                </c:pt>
                <c:pt idx="5">
                  <c:v>2009</c:v>
                </c:pt>
              </c:numCache>
            </c:numRef>
          </c:cat>
          <c:val>
            <c:numRef>
              <c:f>Tables!$B$29:$G$29</c:f>
              <c:numCache>
                <c:formatCode>General</c:formatCode>
                <c:ptCount val="6"/>
                <c:pt idx="0">
                  <c:v>3</c:v>
                </c:pt>
                <c:pt idx="1">
                  <c:v>15</c:v>
                </c:pt>
                <c:pt idx="2">
                  <c:v>7</c:v>
                </c:pt>
                <c:pt idx="3">
                  <c:v>9</c:v>
                </c:pt>
                <c:pt idx="4">
                  <c:v>4</c:v>
                </c:pt>
                <c:pt idx="5">
                  <c:v>8</c:v>
                </c:pt>
              </c:numCache>
            </c:numRef>
          </c:val>
        </c:ser>
        <c:ser>
          <c:idx val="4"/>
          <c:order val="4"/>
          <c:tx>
            <c:strRef>
              <c:f>Tables!$A$30</c:f>
              <c:strCache>
                <c:ptCount val="1"/>
                <c:pt idx="0">
                  <c:v>3b</c:v>
                </c:pt>
              </c:strCache>
            </c:strRef>
          </c:tx>
          <c:invertIfNegative val="0"/>
          <c:cat>
            <c:numRef>
              <c:f>Tables!$B$25:$G$25</c:f>
              <c:numCache>
                <c:formatCode>General</c:formatCode>
                <c:ptCount val="6"/>
                <c:pt idx="0">
                  <c:v>2004</c:v>
                </c:pt>
                <c:pt idx="1">
                  <c:v>2005</c:v>
                </c:pt>
                <c:pt idx="2">
                  <c:v>2006</c:v>
                </c:pt>
                <c:pt idx="3">
                  <c:v>2007</c:v>
                </c:pt>
                <c:pt idx="4">
                  <c:v>2008</c:v>
                </c:pt>
                <c:pt idx="5">
                  <c:v>2009</c:v>
                </c:pt>
              </c:numCache>
            </c:numRef>
          </c:cat>
          <c:val>
            <c:numRef>
              <c:f>Tables!$B$30:$G$30</c:f>
              <c:numCache>
                <c:formatCode>General</c:formatCode>
                <c:ptCount val="6"/>
                <c:pt idx="0">
                  <c:v>5</c:v>
                </c:pt>
                <c:pt idx="1">
                  <c:v>11</c:v>
                </c:pt>
                <c:pt idx="2">
                  <c:v>9</c:v>
                </c:pt>
                <c:pt idx="3">
                  <c:v>8</c:v>
                </c:pt>
                <c:pt idx="4">
                  <c:v>3</c:v>
                </c:pt>
                <c:pt idx="5">
                  <c:v>1</c:v>
                </c:pt>
              </c:numCache>
            </c:numRef>
          </c:val>
        </c:ser>
        <c:dLbls>
          <c:showLegendKey val="0"/>
          <c:showVal val="0"/>
          <c:showCatName val="0"/>
          <c:showSerName val="0"/>
          <c:showPercent val="0"/>
          <c:showBubbleSize val="0"/>
        </c:dLbls>
        <c:gapWidth val="150"/>
        <c:overlap val="100"/>
        <c:axId val="194092416"/>
        <c:axId val="194098688"/>
      </c:barChart>
      <c:catAx>
        <c:axId val="194092416"/>
        <c:scaling>
          <c:orientation val="minMax"/>
        </c:scaling>
        <c:delete val="0"/>
        <c:axPos val="b"/>
        <c:numFmt formatCode="General" sourceLinked="1"/>
        <c:majorTickMark val="out"/>
        <c:minorTickMark val="none"/>
        <c:tickLblPos val="nextTo"/>
        <c:crossAx val="194098688"/>
        <c:crosses val="autoZero"/>
        <c:auto val="1"/>
        <c:lblAlgn val="ctr"/>
        <c:lblOffset val="100"/>
        <c:noMultiLvlLbl val="0"/>
      </c:catAx>
      <c:valAx>
        <c:axId val="194098688"/>
        <c:scaling>
          <c:orientation val="minMax"/>
        </c:scaling>
        <c:delete val="0"/>
        <c:axPos val="l"/>
        <c:majorGridlines/>
        <c:numFmt formatCode="General" sourceLinked="1"/>
        <c:majorTickMark val="out"/>
        <c:minorTickMark val="none"/>
        <c:tickLblPos val="nextTo"/>
        <c:crossAx val="194092416"/>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Lbls>
            <c:dLbl>
              <c:idx val="3"/>
              <c:layout>
                <c:manualLayout>
                  <c:x val="-2.4444999130151999E-2"/>
                  <c:y val="1.6025641025640999E-3"/>
                </c:manualLayout>
              </c:layout>
              <c:showLegendKey val="0"/>
              <c:showVal val="0"/>
              <c:showCatName val="1"/>
              <c:showSerName val="0"/>
              <c:showPercent val="1"/>
              <c:showBubbleSize val="0"/>
            </c:dLbl>
            <c:dLbl>
              <c:idx val="4"/>
              <c:layout>
                <c:manualLayout>
                  <c:x val="1.2906275764520799E-2"/>
                  <c:y val="1.6025641025640999E-3"/>
                </c:manualLayout>
              </c:layout>
              <c:showLegendKey val="0"/>
              <c:showVal val="0"/>
              <c:showCatName val="1"/>
              <c:showSerName val="0"/>
              <c:showPercent val="1"/>
              <c:showBubbleSize val="0"/>
            </c:dLbl>
            <c:showLegendKey val="0"/>
            <c:showVal val="0"/>
            <c:showCatName val="1"/>
            <c:showSerName val="0"/>
            <c:showPercent val="1"/>
            <c:showBubbleSize val="0"/>
            <c:showLeaderLines val="1"/>
          </c:dLbls>
          <c:cat>
            <c:strRef>
              <c:f>Tables!$I$5:$I$9</c:f>
              <c:strCache>
                <c:ptCount val="5"/>
                <c:pt idx="0">
                  <c:v>1a</c:v>
                </c:pt>
                <c:pt idx="1">
                  <c:v>1b</c:v>
                </c:pt>
                <c:pt idx="2">
                  <c:v>2</c:v>
                </c:pt>
                <c:pt idx="3">
                  <c:v>3a</c:v>
                </c:pt>
                <c:pt idx="4">
                  <c:v>3b</c:v>
                </c:pt>
              </c:strCache>
            </c:strRef>
          </c:cat>
          <c:val>
            <c:numRef>
              <c:f>Tables!$J$5:$J$9</c:f>
              <c:numCache>
                <c:formatCode>0%</c:formatCode>
                <c:ptCount val="5"/>
                <c:pt idx="0">
                  <c:v>0.46855624446412703</c:v>
                </c:pt>
                <c:pt idx="1">
                  <c:v>0.20814880425155</c:v>
                </c:pt>
                <c:pt idx="2">
                  <c:v>0.24977856510186</c:v>
                </c:pt>
                <c:pt idx="3">
                  <c:v>4.0744021257750299E-2</c:v>
                </c:pt>
                <c:pt idx="4">
                  <c:v>3.2772364924712201E-2</c:v>
                </c:pt>
              </c:numCache>
            </c:numRef>
          </c:val>
        </c:ser>
        <c:dLbls>
          <c:showLegendKey val="0"/>
          <c:showVal val="0"/>
          <c:showCatName val="1"/>
          <c:showSerName val="0"/>
          <c:showPercent val="1"/>
          <c:showBubbleSize val="0"/>
          <c:showLeaderLines val="1"/>
        </c:dLbls>
        <c:firstSliceAng val="0"/>
      </c:pieChart>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Lbls>
            <c:txPr>
              <a:bodyPr/>
              <a:lstStyle/>
              <a:p>
                <a:pPr>
                  <a:defRPr sz="900"/>
                </a:pPr>
                <a:endParaRPr lang="en-US"/>
              </a:p>
            </c:txPr>
            <c:showLegendKey val="0"/>
            <c:showVal val="0"/>
            <c:showCatName val="1"/>
            <c:showSerName val="0"/>
            <c:showPercent val="1"/>
            <c:showBubbleSize val="0"/>
            <c:showLeaderLines val="1"/>
          </c:dLbls>
          <c:cat>
            <c:strRef>
              <c:f>Tables!$K$43:$P$43</c:f>
              <c:strCache>
                <c:ptCount val="6"/>
                <c:pt idx="0">
                  <c:v>Africa</c:v>
                </c:pt>
                <c:pt idx="1">
                  <c:v>Asia</c:v>
                </c:pt>
                <c:pt idx="2">
                  <c:v>Europe</c:v>
                </c:pt>
                <c:pt idx="3">
                  <c:v>LAC</c:v>
                </c:pt>
                <c:pt idx="4">
                  <c:v>NearEast</c:v>
                </c:pt>
                <c:pt idx="5">
                  <c:v>SWP</c:v>
                </c:pt>
              </c:strCache>
            </c:strRef>
          </c:cat>
          <c:val>
            <c:numRef>
              <c:f>Tables!$K$44:$P$44</c:f>
              <c:numCache>
                <c:formatCode>General</c:formatCode>
                <c:ptCount val="6"/>
                <c:pt idx="0">
                  <c:v>458</c:v>
                </c:pt>
                <c:pt idx="1">
                  <c:v>205</c:v>
                </c:pt>
                <c:pt idx="2">
                  <c:v>82</c:v>
                </c:pt>
                <c:pt idx="3">
                  <c:v>192</c:v>
                </c:pt>
                <c:pt idx="4">
                  <c:v>73</c:v>
                </c:pt>
                <c:pt idx="5">
                  <c:v>119</c:v>
                </c:pt>
              </c:numCache>
            </c:numRef>
          </c:val>
        </c:ser>
        <c:dLbls>
          <c:showLegendKey val="0"/>
          <c:showVal val="0"/>
          <c:showCatName val="1"/>
          <c:showSerName val="0"/>
          <c:showPercent val="1"/>
          <c:showBubbleSize val="0"/>
          <c:showLeaderLines val="1"/>
        </c:dLbls>
        <c:firstSliceAng val="0"/>
      </c:pieChart>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percentStacked"/>
        <c:varyColors val="0"/>
        <c:ser>
          <c:idx val="0"/>
          <c:order val="0"/>
          <c:tx>
            <c:strRef>
              <c:f>Tables!$K$36</c:f>
              <c:strCache>
                <c:ptCount val="1"/>
                <c:pt idx="0">
                  <c:v>Africa</c:v>
                </c:pt>
              </c:strCache>
            </c:strRef>
          </c:tx>
          <c:invertIfNegative val="0"/>
          <c:cat>
            <c:numRef>
              <c:f>Tables!$J$37:$J$42</c:f>
              <c:numCache>
                <c:formatCode>General</c:formatCode>
                <c:ptCount val="6"/>
                <c:pt idx="0">
                  <c:v>2004</c:v>
                </c:pt>
                <c:pt idx="1">
                  <c:v>2005</c:v>
                </c:pt>
                <c:pt idx="2">
                  <c:v>2006</c:v>
                </c:pt>
                <c:pt idx="3">
                  <c:v>2007</c:v>
                </c:pt>
                <c:pt idx="4">
                  <c:v>2008</c:v>
                </c:pt>
                <c:pt idx="5">
                  <c:v>2009</c:v>
                </c:pt>
              </c:numCache>
            </c:numRef>
          </c:cat>
          <c:val>
            <c:numRef>
              <c:f>Tables!$K$37:$K$42</c:f>
              <c:numCache>
                <c:formatCode>General</c:formatCode>
                <c:ptCount val="6"/>
                <c:pt idx="0">
                  <c:v>24</c:v>
                </c:pt>
                <c:pt idx="1">
                  <c:v>93</c:v>
                </c:pt>
                <c:pt idx="2">
                  <c:v>37</c:v>
                </c:pt>
                <c:pt idx="3">
                  <c:v>110</c:v>
                </c:pt>
                <c:pt idx="4">
                  <c:v>72</c:v>
                </c:pt>
                <c:pt idx="5">
                  <c:v>122</c:v>
                </c:pt>
              </c:numCache>
            </c:numRef>
          </c:val>
        </c:ser>
        <c:ser>
          <c:idx val="1"/>
          <c:order val="1"/>
          <c:tx>
            <c:strRef>
              <c:f>Tables!$L$36</c:f>
              <c:strCache>
                <c:ptCount val="1"/>
                <c:pt idx="0">
                  <c:v>Asia</c:v>
                </c:pt>
              </c:strCache>
            </c:strRef>
          </c:tx>
          <c:invertIfNegative val="0"/>
          <c:cat>
            <c:numRef>
              <c:f>Tables!$J$37:$J$42</c:f>
              <c:numCache>
                <c:formatCode>General</c:formatCode>
                <c:ptCount val="6"/>
                <c:pt idx="0">
                  <c:v>2004</c:v>
                </c:pt>
                <c:pt idx="1">
                  <c:v>2005</c:v>
                </c:pt>
                <c:pt idx="2">
                  <c:v>2006</c:v>
                </c:pt>
                <c:pt idx="3">
                  <c:v>2007</c:v>
                </c:pt>
                <c:pt idx="4">
                  <c:v>2008</c:v>
                </c:pt>
                <c:pt idx="5">
                  <c:v>2009</c:v>
                </c:pt>
              </c:numCache>
            </c:numRef>
          </c:cat>
          <c:val>
            <c:numRef>
              <c:f>Tables!$L$37:$L$42</c:f>
              <c:numCache>
                <c:formatCode>General</c:formatCode>
                <c:ptCount val="6"/>
                <c:pt idx="0">
                  <c:v>13</c:v>
                </c:pt>
                <c:pt idx="1">
                  <c:v>40</c:v>
                </c:pt>
                <c:pt idx="2">
                  <c:v>20</c:v>
                </c:pt>
                <c:pt idx="3">
                  <c:v>32</c:v>
                </c:pt>
                <c:pt idx="4">
                  <c:v>57</c:v>
                </c:pt>
                <c:pt idx="5">
                  <c:v>43</c:v>
                </c:pt>
              </c:numCache>
            </c:numRef>
          </c:val>
        </c:ser>
        <c:ser>
          <c:idx val="2"/>
          <c:order val="2"/>
          <c:tx>
            <c:strRef>
              <c:f>Tables!$M$36</c:f>
              <c:strCache>
                <c:ptCount val="1"/>
                <c:pt idx="0">
                  <c:v>Europe</c:v>
                </c:pt>
              </c:strCache>
            </c:strRef>
          </c:tx>
          <c:invertIfNegative val="0"/>
          <c:cat>
            <c:numRef>
              <c:f>Tables!$J$37:$J$42</c:f>
              <c:numCache>
                <c:formatCode>General</c:formatCode>
                <c:ptCount val="6"/>
                <c:pt idx="0">
                  <c:v>2004</c:v>
                </c:pt>
                <c:pt idx="1">
                  <c:v>2005</c:v>
                </c:pt>
                <c:pt idx="2">
                  <c:v>2006</c:v>
                </c:pt>
                <c:pt idx="3">
                  <c:v>2007</c:v>
                </c:pt>
                <c:pt idx="4">
                  <c:v>2008</c:v>
                </c:pt>
                <c:pt idx="5">
                  <c:v>2009</c:v>
                </c:pt>
              </c:numCache>
            </c:numRef>
          </c:cat>
          <c:val>
            <c:numRef>
              <c:f>Tables!$M$37:$M$42</c:f>
              <c:numCache>
                <c:formatCode>General</c:formatCode>
                <c:ptCount val="6"/>
                <c:pt idx="0">
                  <c:v>4</c:v>
                </c:pt>
                <c:pt idx="1">
                  <c:v>14</c:v>
                </c:pt>
                <c:pt idx="2">
                  <c:v>7</c:v>
                </c:pt>
                <c:pt idx="3">
                  <c:v>8</c:v>
                </c:pt>
                <c:pt idx="4">
                  <c:v>27</c:v>
                </c:pt>
                <c:pt idx="5">
                  <c:v>22</c:v>
                </c:pt>
              </c:numCache>
            </c:numRef>
          </c:val>
        </c:ser>
        <c:ser>
          <c:idx val="3"/>
          <c:order val="3"/>
          <c:tx>
            <c:strRef>
              <c:f>Tables!$N$36</c:f>
              <c:strCache>
                <c:ptCount val="1"/>
                <c:pt idx="0">
                  <c:v>LAC</c:v>
                </c:pt>
              </c:strCache>
            </c:strRef>
          </c:tx>
          <c:invertIfNegative val="0"/>
          <c:cat>
            <c:numRef>
              <c:f>Tables!$J$37:$J$42</c:f>
              <c:numCache>
                <c:formatCode>General</c:formatCode>
                <c:ptCount val="6"/>
                <c:pt idx="0">
                  <c:v>2004</c:v>
                </c:pt>
                <c:pt idx="1">
                  <c:v>2005</c:v>
                </c:pt>
                <c:pt idx="2">
                  <c:v>2006</c:v>
                </c:pt>
                <c:pt idx="3">
                  <c:v>2007</c:v>
                </c:pt>
                <c:pt idx="4">
                  <c:v>2008</c:v>
                </c:pt>
                <c:pt idx="5">
                  <c:v>2009</c:v>
                </c:pt>
              </c:numCache>
            </c:numRef>
          </c:cat>
          <c:val>
            <c:numRef>
              <c:f>Tables!$N$37:$N$42</c:f>
              <c:numCache>
                <c:formatCode>General</c:formatCode>
                <c:ptCount val="6"/>
                <c:pt idx="0">
                  <c:v>19</c:v>
                </c:pt>
                <c:pt idx="1">
                  <c:v>52</c:v>
                </c:pt>
                <c:pt idx="2">
                  <c:v>28</c:v>
                </c:pt>
                <c:pt idx="3">
                  <c:v>37</c:v>
                </c:pt>
                <c:pt idx="4">
                  <c:v>41</c:v>
                </c:pt>
                <c:pt idx="5">
                  <c:v>15</c:v>
                </c:pt>
              </c:numCache>
            </c:numRef>
          </c:val>
        </c:ser>
        <c:ser>
          <c:idx val="4"/>
          <c:order val="4"/>
          <c:tx>
            <c:strRef>
              <c:f>Tables!$O$36</c:f>
              <c:strCache>
                <c:ptCount val="1"/>
                <c:pt idx="0">
                  <c:v>NearEast</c:v>
                </c:pt>
              </c:strCache>
            </c:strRef>
          </c:tx>
          <c:invertIfNegative val="0"/>
          <c:cat>
            <c:numRef>
              <c:f>Tables!$J$37:$J$42</c:f>
              <c:numCache>
                <c:formatCode>General</c:formatCode>
                <c:ptCount val="6"/>
                <c:pt idx="0">
                  <c:v>2004</c:v>
                </c:pt>
                <c:pt idx="1">
                  <c:v>2005</c:v>
                </c:pt>
                <c:pt idx="2">
                  <c:v>2006</c:v>
                </c:pt>
                <c:pt idx="3">
                  <c:v>2007</c:v>
                </c:pt>
                <c:pt idx="4">
                  <c:v>2008</c:v>
                </c:pt>
                <c:pt idx="5">
                  <c:v>2009</c:v>
                </c:pt>
              </c:numCache>
            </c:numRef>
          </c:cat>
          <c:val>
            <c:numRef>
              <c:f>Tables!$O$37:$O$42</c:f>
              <c:numCache>
                <c:formatCode>General</c:formatCode>
                <c:ptCount val="6"/>
                <c:pt idx="0">
                  <c:v>5</c:v>
                </c:pt>
                <c:pt idx="1">
                  <c:v>17</c:v>
                </c:pt>
                <c:pt idx="2">
                  <c:v>6</c:v>
                </c:pt>
                <c:pt idx="3">
                  <c:v>18</c:v>
                </c:pt>
                <c:pt idx="4">
                  <c:v>11</c:v>
                </c:pt>
                <c:pt idx="5">
                  <c:v>16</c:v>
                </c:pt>
              </c:numCache>
            </c:numRef>
          </c:val>
        </c:ser>
        <c:ser>
          <c:idx val="5"/>
          <c:order val="5"/>
          <c:tx>
            <c:strRef>
              <c:f>Tables!$P$36</c:f>
              <c:strCache>
                <c:ptCount val="1"/>
                <c:pt idx="0">
                  <c:v>SWP</c:v>
                </c:pt>
              </c:strCache>
            </c:strRef>
          </c:tx>
          <c:invertIfNegative val="0"/>
          <c:cat>
            <c:numRef>
              <c:f>Tables!$J$37:$J$42</c:f>
              <c:numCache>
                <c:formatCode>General</c:formatCode>
                <c:ptCount val="6"/>
                <c:pt idx="0">
                  <c:v>2004</c:v>
                </c:pt>
                <c:pt idx="1">
                  <c:v>2005</c:v>
                </c:pt>
                <c:pt idx="2">
                  <c:v>2006</c:v>
                </c:pt>
                <c:pt idx="3">
                  <c:v>2007</c:v>
                </c:pt>
                <c:pt idx="4">
                  <c:v>2008</c:v>
                </c:pt>
                <c:pt idx="5">
                  <c:v>2009</c:v>
                </c:pt>
              </c:numCache>
            </c:numRef>
          </c:cat>
          <c:val>
            <c:numRef>
              <c:f>Tables!$P$37:$P$42</c:f>
              <c:numCache>
                <c:formatCode>General</c:formatCode>
                <c:ptCount val="6"/>
                <c:pt idx="0">
                  <c:v>9</c:v>
                </c:pt>
                <c:pt idx="1">
                  <c:v>29</c:v>
                </c:pt>
                <c:pt idx="2">
                  <c:v>13</c:v>
                </c:pt>
                <c:pt idx="3">
                  <c:v>18</c:v>
                </c:pt>
                <c:pt idx="4">
                  <c:v>22</c:v>
                </c:pt>
                <c:pt idx="5">
                  <c:v>28</c:v>
                </c:pt>
              </c:numCache>
            </c:numRef>
          </c:val>
        </c:ser>
        <c:dLbls>
          <c:showLegendKey val="0"/>
          <c:showVal val="0"/>
          <c:showCatName val="0"/>
          <c:showSerName val="0"/>
          <c:showPercent val="0"/>
          <c:showBubbleSize val="0"/>
        </c:dLbls>
        <c:gapWidth val="150"/>
        <c:overlap val="100"/>
        <c:axId val="160118272"/>
        <c:axId val="160119808"/>
      </c:barChart>
      <c:catAx>
        <c:axId val="160118272"/>
        <c:scaling>
          <c:orientation val="minMax"/>
        </c:scaling>
        <c:delete val="0"/>
        <c:axPos val="b"/>
        <c:numFmt formatCode="General" sourceLinked="1"/>
        <c:majorTickMark val="out"/>
        <c:minorTickMark val="none"/>
        <c:tickLblPos val="nextTo"/>
        <c:crossAx val="160119808"/>
        <c:crosses val="autoZero"/>
        <c:auto val="1"/>
        <c:lblAlgn val="ctr"/>
        <c:lblOffset val="100"/>
        <c:noMultiLvlLbl val="0"/>
      </c:catAx>
      <c:valAx>
        <c:axId val="160119808"/>
        <c:scaling>
          <c:orientation val="minMax"/>
        </c:scaling>
        <c:delete val="0"/>
        <c:axPos val="l"/>
        <c:majorGridlines/>
        <c:numFmt formatCode="0%" sourceLinked="1"/>
        <c:majorTickMark val="out"/>
        <c:minorTickMark val="none"/>
        <c:tickLblPos val="nextTo"/>
        <c:crossAx val="160118272"/>
        <c:crosses val="autoZero"/>
        <c:crossBetween val="between"/>
      </c:valAx>
    </c:plotArea>
    <c:legend>
      <c:legendPos val="r"/>
      <c:overlay val="0"/>
      <c:txPr>
        <a:bodyPr/>
        <a:lstStyle/>
        <a:p>
          <a:pPr>
            <a:defRPr sz="900"/>
          </a:pPr>
          <a:endParaRPr lang="en-US"/>
        </a:p>
      </c:txPr>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7.9207920792079195E-2"/>
          <c:y val="4.8611111111111098E-2"/>
          <c:w val="0.83875530410183896"/>
          <c:h val="0.73958333333333404"/>
        </c:manualLayout>
      </c:layout>
      <c:barChart>
        <c:barDir val="col"/>
        <c:grouping val="percentStacked"/>
        <c:varyColors val="0"/>
        <c:ser>
          <c:idx val="0"/>
          <c:order val="0"/>
          <c:tx>
            <c:strRef>
              <c:f>Tables!$A$152</c:f>
              <c:strCache>
                <c:ptCount val="1"/>
                <c:pt idx="0">
                  <c:v>F</c:v>
                </c:pt>
              </c:strCache>
            </c:strRef>
          </c:tx>
          <c:invertIfNegative val="0"/>
          <c:cat>
            <c:strRef>
              <c:f>Tables!$B$151:$H$151</c:f>
              <c:strCache>
                <c:ptCount val="7"/>
                <c:pt idx="0">
                  <c:v>Africa</c:v>
                </c:pt>
                <c:pt idx="1">
                  <c:v>Asia</c:v>
                </c:pt>
                <c:pt idx="2">
                  <c:v>Europé</c:v>
                </c:pt>
                <c:pt idx="3">
                  <c:v>LAC</c:v>
                </c:pt>
                <c:pt idx="4">
                  <c:v>Near East</c:v>
                </c:pt>
                <c:pt idx="5">
                  <c:v>Southwest Pacific</c:v>
                </c:pt>
                <c:pt idx="6">
                  <c:v>Total</c:v>
                </c:pt>
              </c:strCache>
            </c:strRef>
          </c:cat>
          <c:val>
            <c:numRef>
              <c:f>Tables!$B$152:$H$152</c:f>
              <c:numCache>
                <c:formatCode>0%</c:formatCode>
                <c:ptCount val="7"/>
                <c:pt idx="0">
                  <c:v>0.27251732101616599</c:v>
                </c:pt>
                <c:pt idx="1">
                  <c:v>0.33157894736842403</c:v>
                </c:pt>
                <c:pt idx="2">
                  <c:v>0.36249999999999999</c:v>
                </c:pt>
                <c:pt idx="3">
                  <c:v>0.55263157894736803</c:v>
                </c:pt>
                <c:pt idx="4">
                  <c:v>0.21212121212121199</c:v>
                </c:pt>
                <c:pt idx="5">
                  <c:v>0.30973451327433599</c:v>
                </c:pt>
                <c:pt idx="6">
                  <c:v>0.33955223880597202</c:v>
                </c:pt>
              </c:numCache>
            </c:numRef>
          </c:val>
        </c:ser>
        <c:ser>
          <c:idx val="1"/>
          <c:order val="1"/>
          <c:tx>
            <c:strRef>
              <c:f>Tables!$A$153</c:f>
              <c:strCache>
                <c:ptCount val="1"/>
                <c:pt idx="0">
                  <c:v>M</c:v>
                </c:pt>
              </c:strCache>
            </c:strRef>
          </c:tx>
          <c:invertIfNegative val="0"/>
          <c:cat>
            <c:strRef>
              <c:f>Tables!$B$151:$H$151</c:f>
              <c:strCache>
                <c:ptCount val="7"/>
                <c:pt idx="0">
                  <c:v>Africa</c:v>
                </c:pt>
                <c:pt idx="1">
                  <c:v>Asia</c:v>
                </c:pt>
                <c:pt idx="2">
                  <c:v>Europé</c:v>
                </c:pt>
                <c:pt idx="3">
                  <c:v>LAC</c:v>
                </c:pt>
                <c:pt idx="4">
                  <c:v>Near East</c:v>
                </c:pt>
                <c:pt idx="5">
                  <c:v>Southwest Pacific</c:v>
                </c:pt>
                <c:pt idx="6">
                  <c:v>Total</c:v>
                </c:pt>
              </c:strCache>
            </c:strRef>
          </c:cat>
          <c:val>
            <c:numRef>
              <c:f>Tables!$B$153:$H$153</c:f>
              <c:numCache>
                <c:formatCode>0%</c:formatCode>
                <c:ptCount val="7"/>
                <c:pt idx="0">
                  <c:v>0.72748267898383401</c:v>
                </c:pt>
                <c:pt idx="1">
                  <c:v>0.66842105263158802</c:v>
                </c:pt>
                <c:pt idx="2">
                  <c:v>0.63750000000000095</c:v>
                </c:pt>
                <c:pt idx="3">
                  <c:v>0.44736842105263303</c:v>
                </c:pt>
                <c:pt idx="4">
                  <c:v>0.78787878787878796</c:v>
                </c:pt>
                <c:pt idx="5">
                  <c:v>0.69026548672566401</c:v>
                </c:pt>
                <c:pt idx="6">
                  <c:v>0.66044776119403004</c:v>
                </c:pt>
              </c:numCache>
            </c:numRef>
          </c:val>
        </c:ser>
        <c:dLbls>
          <c:showLegendKey val="0"/>
          <c:showVal val="0"/>
          <c:showCatName val="0"/>
          <c:showSerName val="0"/>
          <c:showPercent val="0"/>
          <c:showBubbleSize val="0"/>
        </c:dLbls>
        <c:gapWidth val="150"/>
        <c:overlap val="100"/>
        <c:axId val="160132480"/>
        <c:axId val="160146560"/>
      </c:barChart>
      <c:catAx>
        <c:axId val="160132480"/>
        <c:scaling>
          <c:orientation val="minMax"/>
        </c:scaling>
        <c:delete val="0"/>
        <c:axPos val="b"/>
        <c:numFmt formatCode="0%" sourceLinked="1"/>
        <c:majorTickMark val="out"/>
        <c:minorTickMark val="none"/>
        <c:tickLblPos val="nextTo"/>
        <c:crossAx val="160146560"/>
        <c:crosses val="autoZero"/>
        <c:auto val="1"/>
        <c:lblAlgn val="ctr"/>
        <c:lblOffset val="100"/>
        <c:noMultiLvlLbl val="0"/>
      </c:catAx>
      <c:valAx>
        <c:axId val="160146560"/>
        <c:scaling>
          <c:orientation val="minMax"/>
        </c:scaling>
        <c:delete val="0"/>
        <c:axPos val="l"/>
        <c:majorGridlines/>
        <c:numFmt formatCode="0%" sourceLinked="1"/>
        <c:majorTickMark val="out"/>
        <c:minorTickMark val="none"/>
        <c:tickLblPos val="nextTo"/>
        <c:crossAx val="160132480"/>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9.7916666666666693E-2"/>
          <c:y val="5.2044609665427503E-2"/>
          <c:w val="0.70833333333333404"/>
          <c:h val="0.78066914498141204"/>
        </c:manualLayout>
      </c:layout>
      <c:barChart>
        <c:barDir val="col"/>
        <c:grouping val="stacked"/>
        <c:varyColors val="0"/>
        <c:ser>
          <c:idx val="0"/>
          <c:order val="0"/>
          <c:tx>
            <c:strRef>
              <c:f>Tables!$J$86</c:f>
              <c:strCache>
                <c:ptCount val="1"/>
                <c:pt idx="0">
                  <c:v>Non-CTF</c:v>
                </c:pt>
              </c:strCache>
            </c:strRef>
          </c:tx>
          <c:invertIfNegative val="0"/>
          <c:cat>
            <c:numRef>
              <c:f>Tables!$K$85:$P$85</c:f>
              <c:numCache>
                <c:formatCode>General</c:formatCode>
                <c:ptCount val="6"/>
                <c:pt idx="0">
                  <c:v>2004</c:v>
                </c:pt>
                <c:pt idx="1">
                  <c:v>2005</c:v>
                </c:pt>
                <c:pt idx="2">
                  <c:v>2006</c:v>
                </c:pt>
                <c:pt idx="3">
                  <c:v>2007</c:v>
                </c:pt>
                <c:pt idx="4">
                  <c:v>2008</c:v>
                </c:pt>
                <c:pt idx="5">
                  <c:v>2009</c:v>
                </c:pt>
              </c:numCache>
            </c:numRef>
          </c:cat>
          <c:val>
            <c:numRef>
              <c:f>Tables!$K$86:$P$86</c:f>
              <c:numCache>
                <c:formatCode>General</c:formatCode>
                <c:ptCount val="6"/>
                <c:pt idx="0">
                  <c:v>43</c:v>
                </c:pt>
                <c:pt idx="1">
                  <c:v>67</c:v>
                </c:pt>
                <c:pt idx="2">
                  <c:v>70</c:v>
                </c:pt>
                <c:pt idx="3">
                  <c:v>105</c:v>
                </c:pt>
                <c:pt idx="4">
                  <c:v>141</c:v>
                </c:pt>
                <c:pt idx="5">
                  <c:v>165</c:v>
                </c:pt>
              </c:numCache>
            </c:numRef>
          </c:val>
        </c:ser>
        <c:ser>
          <c:idx val="1"/>
          <c:order val="1"/>
          <c:tx>
            <c:strRef>
              <c:f>Tables!$J$87</c:f>
              <c:strCache>
                <c:ptCount val="1"/>
                <c:pt idx="0">
                  <c:v>CTF</c:v>
                </c:pt>
              </c:strCache>
            </c:strRef>
          </c:tx>
          <c:invertIfNegative val="0"/>
          <c:cat>
            <c:numRef>
              <c:f>Tables!$K$85:$P$85</c:f>
              <c:numCache>
                <c:formatCode>General</c:formatCode>
                <c:ptCount val="6"/>
                <c:pt idx="0">
                  <c:v>2004</c:v>
                </c:pt>
                <c:pt idx="1">
                  <c:v>2005</c:v>
                </c:pt>
                <c:pt idx="2">
                  <c:v>2006</c:v>
                </c:pt>
                <c:pt idx="3">
                  <c:v>2007</c:v>
                </c:pt>
                <c:pt idx="4">
                  <c:v>2008</c:v>
                </c:pt>
                <c:pt idx="5">
                  <c:v>2009</c:v>
                </c:pt>
              </c:numCache>
            </c:numRef>
          </c:cat>
          <c:val>
            <c:numRef>
              <c:f>Tables!$K$87:$P$87</c:f>
              <c:numCache>
                <c:formatCode>General</c:formatCode>
                <c:ptCount val="6"/>
                <c:pt idx="0">
                  <c:v>31</c:v>
                </c:pt>
                <c:pt idx="1">
                  <c:v>98</c:v>
                </c:pt>
                <c:pt idx="2">
                  <c:v>46</c:v>
                </c:pt>
                <c:pt idx="3">
                  <c:v>78</c:v>
                </c:pt>
                <c:pt idx="4">
                  <c:v>75</c:v>
                </c:pt>
                <c:pt idx="5">
                  <c:v>127</c:v>
                </c:pt>
              </c:numCache>
            </c:numRef>
          </c:val>
        </c:ser>
        <c:dLbls>
          <c:showLegendKey val="0"/>
          <c:showVal val="0"/>
          <c:showCatName val="0"/>
          <c:showSerName val="0"/>
          <c:showPercent val="0"/>
          <c:showBubbleSize val="0"/>
        </c:dLbls>
        <c:gapWidth val="150"/>
        <c:overlap val="100"/>
        <c:axId val="160413952"/>
        <c:axId val="160899072"/>
      </c:barChart>
      <c:catAx>
        <c:axId val="160413952"/>
        <c:scaling>
          <c:orientation val="minMax"/>
        </c:scaling>
        <c:delete val="0"/>
        <c:axPos val="b"/>
        <c:numFmt formatCode="General" sourceLinked="1"/>
        <c:majorTickMark val="out"/>
        <c:minorTickMark val="none"/>
        <c:tickLblPos val="nextTo"/>
        <c:crossAx val="160899072"/>
        <c:crosses val="autoZero"/>
        <c:auto val="1"/>
        <c:lblAlgn val="ctr"/>
        <c:lblOffset val="100"/>
        <c:noMultiLvlLbl val="0"/>
      </c:catAx>
      <c:valAx>
        <c:axId val="160899072"/>
        <c:scaling>
          <c:orientation val="minMax"/>
        </c:scaling>
        <c:delete val="0"/>
        <c:axPos val="l"/>
        <c:majorGridlines/>
        <c:numFmt formatCode="General" sourceLinked="1"/>
        <c:majorTickMark val="out"/>
        <c:minorTickMark val="none"/>
        <c:tickLblPos val="nextTo"/>
        <c:crossAx val="160413952"/>
        <c:crosses val="autoZero"/>
        <c:crossBetween val="between"/>
      </c:valAx>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Tables!$T$106</c:f>
              <c:strCache>
                <c:ptCount val="1"/>
                <c:pt idx="0">
                  <c:v>CTF</c:v>
                </c:pt>
              </c:strCache>
            </c:strRef>
          </c:tx>
          <c:invertIfNegative val="0"/>
          <c:cat>
            <c:numRef>
              <c:f>Tables!$U$105:$Z$105</c:f>
              <c:numCache>
                <c:formatCode>General</c:formatCode>
                <c:ptCount val="6"/>
                <c:pt idx="0">
                  <c:v>2004</c:v>
                </c:pt>
                <c:pt idx="1">
                  <c:v>2005</c:v>
                </c:pt>
                <c:pt idx="2">
                  <c:v>2006</c:v>
                </c:pt>
                <c:pt idx="3">
                  <c:v>2007</c:v>
                </c:pt>
                <c:pt idx="4">
                  <c:v>2008</c:v>
                </c:pt>
                <c:pt idx="5">
                  <c:v>2009</c:v>
                </c:pt>
              </c:numCache>
            </c:numRef>
          </c:cat>
          <c:val>
            <c:numRef>
              <c:f>Tables!$U$106:$Z$106</c:f>
              <c:numCache>
                <c:formatCode>General</c:formatCode>
                <c:ptCount val="6"/>
                <c:pt idx="0">
                  <c:v>21</c:v>
                </c:pt>
                <c:pt idx="1">
                  <c:v>25</c:v>
                </c:pt>
                <c:pt idx="2">
                  <c:v>27</c:v>
                </c:pt>
                <c:pt idx="3">
                  <c:v>30</c:v>
                </c:pt>
                <c:pt idx="4">
                  <c:v>32</c:v>
                </c:pt>
                <c:pt idx="5">
                  <c:v>38</c:v>
                </c:pt>
              </c:numCache>
            </c:numRef>
          </c:val>
        </c:ser>
        <c:ser>
          <c:idx val="1"/>
          <c:order val="1"/>
          <c:tx>
            <c:strRef>
              <c:f>Tables!$T$107</c:f>
              <c:strCache>
                <c:ptCount val="1"/>
                <c:pt idx="0">
                  <c:v>Non-CTF</c:v>
                </c:pt>
              </c:strCache>
            </c:strRef>
          </c:tx>
          <c:invertIfNegative val="0"/>
          <c:cat>
            <c:numRef>
              <c:f>Tables!$U$105:$Z$105</c:f>
              <c:numCache>
                <c:formatCode>General</c:formatCode>
                <c:ptCount val="6"/>
                <c:pt idx="0">
                  <c:v>2004</c:v>
                </c:pt>
                <c:pt idx="1">
                  <c:v>2005</c:v>
                </c:pt>
                <c:pt idx="2">
                  <c:v>2006</c:v>
                </c:pt>
                <c:pt idx="3">
                  <c:v>2007</c:v>
                </c:pt>
                <c:pt idx="4">
                  <c:v>2008</c:v>
                </c:pt>
                <c:pt idx="5">
                  <c:v>2009</c:v>
                </c:pt>
              </c:numCache>
            </c:numRef>
          </c:cat>
          <c:val>
            <c:numRef>
              <c:f>Tables!$U$107:$Z$107</c:f>
              <c:numCache>
                <c:formatCode>General</c:formatCode>
                <c:ptCount val="6"/>
                <c:pt idx="0">
                  <c:v>12</c:v>
                </c:pt>
                <c:pt idx="1">
                  <c:v>26</c:v>
                </c:pt>
                <c:pt idx="2">
                  <c:v>15</c:v>
                </c:pt>
                <c:pt idx="3">
                  <c:v>21</c:v>
                </c:pt>
                <c:pt idx="4">
                  <c:v>30</c:v>
                </c:pt>
                <c:pt idx="5">
                  <c:v>35</c:v>
                </c:pt>
              </c:numCache>
            </c:numRef>
          </c:val>
        </c:ser>
        <c:dLbls>
          <c:showLegendKey val="0"/>
          <c:showVal val="0"/>
          <c:showCatName val="0"/>
          <c:showSerName val="0"/>
          <c:showPercent val="0"/>
          <c:showBubbleSize val="0"/>
        </c:dLbls>
        <c:gapWidth val="150"/>
        <c:axId val="160932224"/>
        <c:axId val="160933760"/>
      </c:barChart>
      <c:catAx>
        <c:axId val="160932224"/>
        <c:scaling>
          <c:orientation val="minMax"/>
        </c:scaling>
        <c:delete val="0"/>
        <c:axPos val="b"/>
        <c:numFmt formatCode="General" sourceLinked="1"/>
        <c:majorTickMark val="out"/>
        <c:minorTickMark val="none"/>
        <c:tickLblPos val="nextTo"/>
        <c:crossAx val="160933760"/>
        <c:crosses val="autoZero"/>
        <c:auto val="1"/>
        <c:lblAlgn val="ctr"/>
        <c:lblOffset val="100"/>
        <c:noMultiLvlLbl val="0"/>
      </c:catAx>
      <c:valAx>
        <c:axId val="160933760"/>
        <c:scaling>
          <c:orientation val="minMax"/>
        </c:scaling>
        <c:delete val="0"/>
        <c:axPos val="l"/>
        <c:majorGridlines/>
        <c:numFmt formatCode="General" sourceLinked="1"/>
        <c:majorTickMark val="out"/>
        <c:minorTickMark val="none"/>
        <c:tickLblPos val="nextTo"/>
        <c:crossAx val="16093222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STDF document" ma:contentTypeID="0x010100E27CF96EEE4B4FA88868A20FF64E0B700031E2D20BED02E94181E4DEB09D88AB11" ma:contentTypeVersion="80" ma:contentTypeDescription="" ma:contentTypeScope="" ma:versionID="e862aa2491f1840e591876791d9d6815">
  <xsd:schema xmlns:xsd="http://www.w3.org/2001/XMLSchema" xmlns:xs="http://www.w3.org/2001/XMLSchema" xmlns:p="http://schemas.microsoft.com/office/2006/metadata/properties" xmlns:ns1="4dc5663f-b0cc-4335-8804-873ae5cb782b" xmlns:ns2="2d30a33b-a646-41c3-9f34-b17fd4744bcf" xmlns:ns3="http://schemas.microsoft.com/sharepoint/v4" xmlns:ns4="094bc015-db21-46a8-9486-c389ce0b061e" targetNamespace="http://schemas.microsoft.com/office/2006/metadata/properties" ma:root="true" ma:fieldsID="912bf7837c5301281ca57aaa3b800291" ns1:_="" ns2:_="" ns3:_="" ns4:_="">
    <xsd:import namespace="4dc5663f-b0cc-4335-8804-873ae5cb782b"/>
    <xsd:import namespace="2d30a33b-a646-41c3-9f34-b17fd4744bcf"/>
    <xsd:import namespace="http://schemas.microsoft.com/sharepoint/v4"/>
    <xsd:import namespace="094bc015-db21-46a8-9486-c389ce0b061e"/>
    <xsd:element name="properties">
      <xsd:complexType>
        <xsd:sequence>
          <xsd:element name="documentManagement">
            <xsd:complexType>
              <xsd:all>
                <xsd:element ref="ns1:TitleEN"/>
                <xsd:element ref="ns1:TitleFR"/>
                <xsd:element ref="ns1:TitleSP"/>
                <xsd:element ref="ns1:Authors" minOccurs="0"/>
                <xsd:element ref="ns2:PublisherEn" minOccurs="0"/>
                <xsd:element ref="ns2:PublisherFR" minOccurs="0"/>
                <xsd:element ref="ns2:PublisherSP" minOccurs="0"/>
                <xsd:element ref="ns2:TypeOfTheDocument_en" minOccurs="0"/>
                <xsd:element ref="ns2:TypeOfTheDocument_fr" minOccurs="0"/>
                <xsd:element ref="ns2:TypeOfTheDocument_sp" minOccurs="0"/>
                <xsd:element ref="ns2:Publication_date" minOccurs="0"/>
                <xsd:element ref="ns2:CategoryOfTheDocument_en" minOccurs="0"/>
                <xsd:element ref="ns2:CategoryOfTheDocument_fr" minOccurs="0"/>
                <xsd:element ref="ns2:CategoryOfTheDocument_sp" minOccurs="0"/>
                <xsd:element ref="ns2:Keywords_en" minOccurs="0"/>
                <xsd:element ref="ns2:Keywords_fr" minOccurs="0"/>
                <xsd:element ref="ns2:Keywords_sp" minOccurs="0"/>
                <xsd:element ref="ns1:summary_en" minOccurs="0"/>
                <xsd:element ref="ns1:summary_fr" minOccurs="0"/>
                <xsd:element ref="ns1:summary_sp" minOccurs="0"/>
                <xsd:element ref="ns1:LanguageOfTheDocument" minOccurs="0"/>
                <xsd:element ref="ns2:RelatedDoc" minOccurs="0"/>
                <xsd:element ref="ns3:IconOverlay" minOccurs="0"/>
                <xsd:element ref="ns4:Country_x0020__x0028_EN_x0029__x003a__x0020_NameEN" minOccurs="0"/>
                <xsd:element ref="ns4:Country_x0020__x0028_EN_x0029__x003a__x0020_NameES" minOccurs="0"/>
                <xsd:element ref="ns4:Country_x0020__x0028_EN_x0029__x003a__x0020_NameFR" minOccurs="0"/>
                <xsd:element ref="ns4:Country_x0020__x0028_EN_x0029__x003a__x0020_Id" minOccurs="0"/>
                <xsd:element ref="ns4:Country_x0020__x0028_EN_x0029__x003a__x0020_ISOCode" minOccurs="0"/>
                <xsd:element ref="ns4:Country_x0020__x0028_EN_x0029__x003a__x0020_NameEN0" minOccurs="0"/>
                <xsd:element ref="ns4:Country_x0020__x0028_EN_x0029__x003a__x0020_NameES0" minOccurs="0"/>
                <xsd:element ref="ns4:Country_x0020__x0028_EN_x0029__x003a__x0020_NameFR0" minOccurs="0"/>
                <xsd:element ref="ns4:Country_CT_ID0" minOccurs="0"/>
                <xsd:element ref="ns4:Country_x0020__x0028_EN_x0029__x003a__x0020_NameEN1" minOccurs="0"/>
                <xsd:element ref="ns4:Country_x0020__x0028_EN_x0029__x003a__x0020_NameEN2" minOccurs="0"/>
                <xsd:element ref="ns4:Country_x0020__x0028_EN_x0029__x003a__x0020_NameEN3" minOccurs="0"/>
                <xsd:element ref="ns4:Group" minOccurs="0"/>
                <xsd:element ref="ns4:Group_CT_ID" minOccurs="0"/>
                <xsd:element ref="ns4:Group_x003a__x0020_GroupCode" minOccurs="0"/>
                <xsd:element ref="ns4:Group_x003a__x0020_GroupNameEN" minOccurs="0"/>
                <xsd:element ref="ns4:Group_x003a__x0020_GroupNameFR" minOccurs="0"/>
                <xsd:element ref="ns4:Group_x003a__x0020_GroupNameSP" minOccurs="0"/>
                <xsd:element ref="ns4:Group_x003a__x0020_ISOCOde" minOccurs="0"/>
                <xsd:element ref="ns4:ProjectGroup" minOccurs="0"/>
                <xsd:element ref="ns4:Group_x0020__x0028_EN_x0029_" minOccurs="0"/>
                <xsd:element ref="ns4:Group_CT_ID0" minOccurs="0"/>
                <xsd:element ref="ns4:Group_x0020__x0028_FR_x0029_" minOccurs="0"/>
                <xsd:element ref="ns4:Group_CT_ID1" minOccurs="0"/>
                <xsd:element ref="ns4:Group_x0020__x0028_ES_x0029_" minOccurs="0"/>
                <xsd:element ref="ns4:Group_CT_ID2" minOccurs="0"/>
                <xsd:element ref="ns4:Country" minOccurs="0"/>
                <xsd:element ref="ns4:Country_x003a_CountryNameFR" minOccurs="0"/>
                <xsd:element ref="ns4:Country_x003a_CountryNameES" minOccurs="0"/>
                <xsd:element ref="ns4:Project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c5663f-b0cc-4335-8804-873ae5cb782b" elementFormDefault="qualified">
    <xsd:import namespace="http://schemas.microsoft.com/office/2006/documentManagement/types"/>
    <xsd:import namespace="http://schemas.microsoft.com/office/infopath/2007/PartnerControls"/>
    <xsd:element name="TitleEN" ma:index="0" ma:displayName="Title (EN)" ma:internalName="TitleEN">
      <xsd:simpleType>
        <xsd:restriction base="dms:Text">
          <xsd:maxLength value="255"/>
        </xsd:restriction>
      </xsd:simpleType>
    </xsd:element>
    <xsd:element name="TitleFR" ma:index="1" ma:displayName="Title (FR)" ma:internalName="TitleFR">
      <xsd:simpleType>
        <xsd:restriction base="dms:Text">
          <xsd:maxLength value="255"/>
        </xsd:restriction>
      </xsd:simpleType>
    </xsd:element>
    <xsd:element name="TitleSP" ma:index="2" ma:displayName="Title (SP)" ma:internalName="TitleSP">
      <xsd:simpleType>
        <xsd:restriction base="dms:Text">
          <xsd:maxLength value="255"/>
        </xsd:restriction>
      </xsd:simpleType>
    </xsd:element>
    <xsd:element name="Authors" ma:index="3" nillable="true" ma:displayName="Authors" ma:internalName="Authors">
      <xsd:simpleType>
        <xsd:restriction base="dms:Text">
          <xsd:maxLength value="255"/>
        </xsd:restriction>
      </xsd:simpleType>
    </xsd:element>
    <xsd:element name="summary_en" ma:index="17" nillable="true" ma:displayName="Summary (EN)" ma:hidden="true" ma:internalName="summary_en" ma:readOnly="false">
      <xsd:simpleType>
        <xsd:restriction base="dms:Note"/>
      </xsd:simpleType>
    </xsd:element>
    <xsd:element name="summary_fr" ma:index="18" nillable="true" ma:displayName="Summary (FR)" ma:hidden="true" ma:internalName="summary_fr" ma:readOnly="false">
      <xsd:simpleType>
        <xsd:restriction base="dms:Note"/>
      </xsd:simpleType>
    </xsd:element>
    <xsd:element name="summary_sp" ma:index="19" nillable="true" ma:displayName="Summary (SP)" ma:hidden="true" ma:internalName="summary_sp" ma:readOnly="false">
      <xsd:simpleType>
        <xsd:restriction base="dms:Note"/>
      </xsd:simpleType>
    </xsd:element>
    <xsd:element name="LanguageOfTheDocument" ma:index="20" nillable="true" ma:displayName="Language of the document" ma:format="Dropdown" ma:internalName="LanguageOfTheDocument">
      <xsd:complexType>
        <xsd:complexContent>
          <xsd:extension base="dms:MultiChoice">
            <xsd:sequence>
              <xsd:element name="Value" maxOccurs="unbounded" minOccurs="0" nillable="true">
                <xsd:simpleType>
                  <xsd:restriction base="dms:Choice">
                    <xsd:enumeration value="EN"/>
                    <xsd:enumeration value="FR"/>
                    <xsd:enumeration value="SP"/>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d30a33b-a646-41c3-9f34-b17fd4744bcf" elementFormDefault="qualified">
    <xsd:import namespace="http://schemas.microsoft.com/office/2006/documentManagement/types"/>
    <xsd:import namespace="http://schemas.microsoft.com/office/infopath/2007/PartnerControls"/>
    <xsd:element name="PublisherEn" ma:index="4" nillable="true" ma:displayName="Publisher (EN)" ma:list="934c071f-01bf-4609-9dd1-79f4b0c00237" ma:internalName="PublisherEn" ma:showField="Title" ma:web="37943d70-03d6-46f7-9f46-490727d6abbd" ma:requiredMultiChoice="true">
      <xsd:complexType>
        <xsd:complexContent>
          <xsd:extension base="dms:MultiChoiceLookup">
            <xsd:sequence>
              <xsd:element name="Value" type="dms:Lookup" maxOccurs="unbounded" minOccurs="0" nillable="true"/>
            </xsd:sequence>
          </xsd:extension>
        </xsd:complexContent>
      </xsd:complexType>
    </xsd:element>
    <xsd:element name="PublisherFR" ma:index="5" nillable="true" ma:displayName="Publisher (FR)" ma:list="934c071f-01bf-4609-9dd1-79f4b0c00237" ma:internalName="PublisherFR" ma:readOnly="true" ma:showField="FR" ma:web="37943d70-03d6-46f7-9f46-490727d6abbd">
      <xsd:complexType>
        <xsd:complexContent>
          <xsd:extension base="dms:MultiChoiceLookup">
            <xsd:sequence>
              <xsd:element name="Value" type="dms:Lookup" maxOccurs="unbounded" minOccurs="0" nillable="true"/>
            </xsd:sequence>
          </xsd:extension>
        </xsd:complexContent>
      </xsd:complexType>
    </xsd:element>
    <xsd:element name="PublisherSP" ma:index="6" nillable="true" ma:displayName="Publisher (SP)" ma:list="934c071f-01bf-4609-9dd1-79f4b0c00237" ma:internalName="PublisherSP" ma:readOnly="true" ma:showField="SP" ma:web="37943d70-03d6-46f7-9f46-490727d6abbd">
      <xsd:complexType>
        <xsd:complexContent>
          <xsd:extension base="dms:MultiChoiceLookup">
            <xsd:sequence>
              <xsd:element name="Value" type="dms:Lookup" maxOccurs="unbounded" minOccurs="0" nillable="true"/>
            </xsd:sequence>
          </xsd:extension>
        </xsd:complexContent>
      </xsd:complexType>
    </xsd:element>
    <xsd:element name="TypeOfTheDocument_en" ma:index="7" nillable="true" ma:displayName="Type of the document (EN)" ma:hidden="true" ma:list="0d86dadb-4933-4b7d-91ee-d63d67fed045" ma:internalName="TypeOfTheDocument_en" ma:readOnly="false" ma:showField="Title" ma:web="37943d70-03d6-46f7-9f46-490727d6abbd">
      <xsd:complexType>
        <xsd:complexContent>
          <xsd:extension base="dms:MultiChoiceLookup">
            <xsd:sequence>
              <xsd:element name="Value" type="dms:Lookup" maxOccurs="unbounded" minOccurs="0" nillable="true"/>
            </xsd:sequence>
          </xsd:extension>
        </xsd:complexContent>
      </xsd:complexType>
    </xsd:element>
    <xsd:element name="TypeOfTheDocument_fr" ma:index="8" nillable="true" ma:displayName="Type of the document (FR)" ma:list="0d86dadb-4933-4b7d-91ee-d63d67fed045" ma:internalName="TypeOfTheDocument_fr" ma:readOnly="true" ma:showField="FR" ma:web="37943d70-03d6-46f7-9f46-490727d6abbd">
      <xsd:complexType>
        <xsd:complexContent>
          <xsd:extension base="dms:MultiChoiceLookup">
            <xsd:sequence>
              <xsd:element name="Value" type="dms:Lookup" maxOccurs="unbounded" minOccurs="0" nillable="true"/>
            </xsd:sequence>
          </xsd:extension>
        </xsd:complexContent>
      </xsd:complexType>
    </xsd:element>
    <xsd:element name="TypeOfTheDocument_sp" ma:index="9" nillable="true" ma:displayName="Type of the document (SP)" ma:list="0d86dadb-4933-4b7d-91ee-d63d67fed045" ma:internalName="TypeOfTheDocument_sp" ma:readOnly="true" ma:showField="SP" ma:web="37943d70-03d6-46f7-9f46-490727d6abbd">
      <xsd:complexType>
        <xsd:complexContent>
          <xsd:extension base="dms:MultiChoiceLookup">
            <xsd:sequence>
              <xsd:element name="Value" type="dms:Lookup" maxOccurs="unbounded" minOccurs="0" nillable="true"/>
            </xsd:sequence>
          </xsd:extension>
        </xsd:complexContent>
      </xsd:complexType>
    </xsd:element>
    <xsd:element name="Publication_date" ma:index="10" nillable="true" ma:displayName="Publication date" ma:list="a7f10cae-cf21-4935-bd70-a1507f79357a" ma:internalName="Publication_date" ma:showField="Title" ma:web="37943d70-03d6-46f7-9f46-490727d6abbd">
      <xsd:simpleType>
        <xsd:restriction base="dms:Lookup"/>
      </xsd:simpleType>
    </xsd:element>
    <xsd:element name="CategoryOfTheDocument_en" ma:index="11" nillable="true" ma:displayName="Category of the document (EN)" ma:hidden="true" ma:list="2824f4a9-b21d-4ce1-b4fe-bc7bd976fedd" ma:internalName="CategoryOfTheDocument_en" ma:readOnly="false" ma:showField="Title" ma:web="37943d70-03d6-46f7-9f46-490727d6abbd">
      <xsd:complexType>
        <xsd:complexContent>
          <xsd:extension base="dms:MultiChoiceLookup">
            <xsd:sequence>
              <xsd:element name="Value" type="dms:Lookup" maxOccurs="unbounded" minOccurs="0" nillable="true"/>
            </xsd:sequence>
          </xsd:extension>
        </xsd:complexContent>
      </xsd:complexType>
    </xsd:element>
    <xsd:element name="CategoryOfTheDocument_fr" ma:index="12" nillable="true" ma:displayName="Category of the document (FR)" ma:list="2824f4a9-b21d-4ce1-b4fe-bc7bd976fedd" ma:internalName="CategoryOfTheDocument_fr" ma:readOnly="true" ma:showField="FR" ma:web="37943d70-03d6-46f7-9f46-490727d6abbd">
      <xsd:complexType>
        <xsd:complexContent>
          <xsd:extension base="dms:MultiChoiceLookup">
            <xsd:sequence>
              <xsd:element name="Value" type="dms:Lookup" maxOccurs="unbounded" minOccurs="0" nillable="true"/>
            </xsd:sequence>
          </xsd:extension>
        </xsd:complexContent>
      </xsd:complexType>
    </xsd:element>
    <xsd:element name="CategoryOfTheDocument_sp" ma:index="13" nillable="true" ma:displayName="Category of the document (SP)" ma:list="2824f4a9-b21d-4ce1-b4fe-bc7bd976fedd" ma:internalName="CategoryOfTheDocument_sp" ma:readOnly="true" ma:showField="SP" ma:web="37943d70-03d6-46f7-9f46-490727d6abbd">
      <xsd:complexType>
        <xsd:complexContent>
          <xsd:extension base="dms:MultiChoiceLookup">
            <xsd:sequence>
              <xsd:element name="Value" type="dms:Lookup" maxOccurs="unbounded" minOccurs="0" nillable="true"/>
            </xsd:sequence>
          </xsd:extension>
        </xsd:complexContent>
      </xsd:complexType>
    </xsd:element>
    <xsd:element name="Keywords_en" ma:index="14" nillable="true" ma:displayName="Keywords (EN)" ma:list="2eaf8562-1698-45a2-a2ba-3c86862015b1" ma:internalName="Keywords_en" ma:showField="Title" ma:web="37943d70-03d6-46f7-9f46-490727d6abbd">
      <xsd:complexType>
        <xsd:complexContent>
          <xsd:extension base="dms:MultiChoiceLookup">
            <xsd:sequence>
              <xsd:element name="Value" type="dms:Lookup" maxOccurs="unbounded" minOccurs="0" nillable="true"/>
            </xsd:sequence>
          </xsd:extension>
        </xsd:complexContent>
      </xsd:complexType>
    </xsd:element>
    <xsd:element name="Keywords_fr" ma:index="15" nillable="true" ma:displayName="Keywords (FR)" ma:list="2eaf8562-1698-45a2-a2ba-3c86862015b1" ma:internalName="Keywords_fr" ma:readOnly="true" ma:showField="FR" ma:web="37943d70-03d6-46f7-9f46-490727d6abbd">
      <xsd:complexType>
        <xsd:complexContent>
          <xsd:extension base="dms:MultiChoiceLookup">
            <xsd:sequence>
              <xsd:element name="Value" type="dms:Lookup" maxOccurs="unbounded" minOccurs="0" nillable="true"/>
            </xsd:sequence>
          </xsd:extension>
        </xsd:complexContent>
      </xsd:complexType>
    </xsd:element>
    <xsd:element name="Keywords_sp" ma:index="16" nillable="true" ma:displayName="Keywords (SP)" ma:list="2eaf8562-1698-45a2-a2ba-3c86862015b1" ma:internalName="Keywords_sp" ma:readOnly="true" ma:showField="SP" ma:web="37943d70-03d6-46f7-9f46-490727d6abbd">
      <xsd:complexType>
        <xsd:complexContent>
          <xsd:extension base="dms:MultiChoiceLookup">
            <xsd:sequence>
              <xsd:element name="Value" type="dms:Lookup" maxOccurs="unbounded" minOccurs="0" nillable="true"/>
            </xsd:sequence>
          </xsd:extension>
        </xsd:complexContent>
      </xsd:complexType>
    </xsd:element>
    <xsd:element name="RelatedDoc" ma:index="21" nillable="true" ma:displayName="Related documents" ma:hidden="true" ma:list="c5eb72dd-a04e-4872-b88b-85418086581c" ma:internalName="RelatedDoc" ma:readOnly="false" ma:showField="TitleEN" ma:web="37943d70-03d6-46f7-9f46-490727d6abb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2"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94bc015-db21-46a8-9486-c389ce0b061e" elementFormDefault="qualified">
    <xsd:import namespace="http://schemas.microsoft.com/office/2006/documentManagement/types"/>
    <xsd:import namespace="http://schemas.microsoft.com/office/infopath/2007/PartnerControls"/>
    <xsd:element name="Country_x0020__x0028_EN_x0029__x003a__x0020_NameEN" ma:index="23" nillable="true" ma:displayName="Country (EN): NameEN" ma:internalName="Country_x0020__x0028_EN_x0029__x003a__x0020_NameEN">
      <xsd:complexType>
        <xsd:simpleContent>
          <xsd:extension base="dms:BusinessDataSecondaryField">
            <xsd:attribute name="BdcField" type="xsd:string" fixed="NameEN"/>
          </xsd:extension>
        </xsd:simpleContent>
      </xsd:complexType>
    </xsd:element>
    <xsd:element name="Country_x0020__x0028_EN_x0029__x003a__x0020_NameES" ma:index="24" nillable="true" ma:displayName="Country (EN): NameES" ma:internalName="Country_x0020__x0028_EN_x0029__x003a__x0020_NameES">
      <xsd:complexType>
        <xsd:simpleContent>
          <xsd:extension base="dms:BusinessDataSecondaryField">
            <xsd:attribute name="BdcField" type="xsd:string" fixed="NameES"/>
          </xsd:extension>
        </xsd:simpleContent>
      </xsd:complexType>
    </xsd:element>
    <xsd:element name="Country_x0020__x0028_EN_x0029__x003a__x0020_NameFR" ma:index="25" nillable="true" ma:displayName="Country (EN): NameFR" ma:internalName="Country_x0020__x0028_EN_x0029__x003a__x0020_NameFR">
      <xsd:complexType>
        <xsd:simpleContent>
          <xsd:extension base="dms:BusinessDataSecondaryField">
            <xsd:attribute name="BdcField" type="xsd:string" fixed="NameFR"/>
          </xsd:extension>
        </xsd:simpleContent>
      </xsd:complexType>
    </xsd:element>
    <xsd:element name="Country_x0020__x0028_EN_x0029__x003a__x0020_Id" ma:index="26" nillable="true" ma:displayName="Country (EN): Id" ma:internalName="Country_x0020__x0028_EN_x0029__x003a__x0020_Id">
      <xsd:complexType>
        <xsd:simpleContent>
          <xsd:extension base="dms:BusinessDataSecondaryField">
            <xsd:attribute name="BdcField" type="xsd:string" fixed="Id"/>
          </xsd:extension>
        </xsd:simpleContent>
      </xsd:complexType>
    </xsd:element>
    <xsd:element name="Country_x0020__x0028_EN_x0029__x003a__x0020_ISOCode" ma:index="27" nillable="true" ma:displayName="Country (EN): ISOCode" ma:internalName="Country_x0020__x0028_EN_x0029__x003a__x0020_ISOCode">
      <xsd:complexType>
        <xsd:simpleContent>
          <xsd:extension base="dms:BusinessDataSecondaryField">
            <xsd:attribute name="BdcField" type="xsd:string" fixed="ISOCode"/>
          </xsd:extension>
        </xsd:simpleContent>
      </xsd:complexType>
    </xsd:element>
    <xsd:element name="Country_x0020__x0028_EN_x0029__x003a__x0020_NameEN0" ma:index="28" nillable="true" ma:displayName="Country (EN): NameEN" ma:internalName="Country_x0020__x0028_EN_x0029__x003a__x0020_NameEN0">
      <xsd:complexType>
        <xsd:simpleContent>
          <xsd:extension base="dms:BusinessDataSecondaryField">
            <xsd:attribute name="BdcField" type="xsd:string" fixed="NameEN"/>
          </xsd:extension>
        </xsd:simpleContent>
      </xsd:complexType>
    </xsd:element>
    <xsd:element name="Country_x0020__x0028_EN_x0029__x003a__x0020_NameES0" ma:index="29" nillable="true" ma:displayName="Country (EN): NameES" ma:internalName="Country_x0020__x0028_EN_x0029__x003a__x0020_NameES0">
      <xsd:complexType>
        <xsd:simpleContent>
          <xsd:extension base="dms:BusinessDataSecondaryField">
            <xsd:attribute name="BdcField" type="xsd:string" fixed="NameES"/>
          </xsd:extension>
        </xsd:simpleContent>
      </xsd:complexType>
    </xsd:element>
    <xsd:element name="Country_x0020__x0028_EN_x0029__x003a__x0020_NameFR0" ma:index="30" nillable="true" ma:displayName="Country (EN): NameFR" ma:internalName="Country_x0020__x0028_EN_x0029__x003a__x0020_NameFR0">
      <xsd:complexType>
        <xsd:simpleContent>
          <xsd:extension base="dms:BusinessDataSecondaryField">
            <xsd:attribute name="BdcField" type="xsd:string" fixed="NameFR"/>
          </xsd:extension>
        </xsd:simpleContent>
      </xsd:complexType>
    </xsd:element>
    <xsd:element name="Country_CT_ID0" ma:index="31" nillable="true" ma:displayName="Country_CT_ID" ma:hidden="true" ma:internalName="Country_CT_ID0">
      <xsd:complexType>
        <xsd:simpleContent>
          <xsd:extension base="dms:BusinessDataSecondaryField">
            <xsd:attribute name="BdcField" type="xsd:string" fixed="Country_CT_ID"/>
          </xsd:extension>
        </xsd:simpleContent>
      </xsd:complexType>
    </xsd:element>
    <xsd:element name="Country_x0020__x0028_EN_x0029__x003a__x0020_NameEN1" ma:index="32" nillable="true" ma:displayName="Country (EN): NameEN" ma:internalName="Country_x0020__x0028_EN_x0029__x003a__x0020_NameEN1">
      <xsd:complexType>
        <xsd:simpleContent>
          <xsd:extension base="dms:BusinessDataSecondaryField">
            <xsd:attribute name="BdcField" type="xsd:string" fixed="NameEN"/>
          </xsd:extension>
        </xsd:simpleContent>
      </xsd:complexType>
    </xsd:element>
    <xsd:element name="Country_x0020__x0028_EN_x0029__x003a__x0020_NameEN2" ma:index="33" nillable="true" ma:displayName="Country (EN): NameEN" ma:internalName="Country_x0020__x0028_EN_x0029__x003a__x0020_NameEN2">
      <xsd:complexType>
        <xsd:simpleContent>
          <xsd:extension base="dms:BusinessDataSecondaryField">
            <xsd:attribute name="BdcField" type="xsd:string" fixed="NameEN"/>
          </xsd:extension>
        </xsd:simpleContent>
      </xsd:complexType>
    </xsd:element>
    <xsd:element name="Country_x0020__x0028_EN_x0029__x003a__x0020_NameEN3" ma:index="34" nillable="true" ma:displayName="Country (EN): NameEN" ma:internalName="Country_x0020__x0028_EN_x0029__x003a__x0020_NameEN3">
      <xsd:complexType>
        <xsd:simpleContent>
          <xsd:extension base="dms:BusinessDataSecondaryField">
            <xsd:attribute name="BdcField" type="xsd:string" fixed="NameEN"/>
          </xsd:extension>
        </xsd:simpleContent>
      </xsd:complexType>
    </xsd:element>
    <xsd:element name="Group" ma:index="35" nillable="true" ma:displayName="Group" ma:hidden="true" ma:internalName="Group">
      <xsd:complexType>
        <xsd:simpleContent>
          <xsd:extension base="dms:BusinessDataPrimaryField">
            <xsd:attribute name="BdcField" type="xsd:string" fixed="GroupNameEN"/>
            <xsd:attribute name="RelatedFieldWssStaticName" type="xsd:string" fixed="Group_CT_ID"/>
            <xsd:attribute name="SecondaryFieldBdcNames" type="xsd:string" fixed="10%2012%2012%2012%208%20GroupCode%20GroupNameEN%20GroupNameFR%20GroupNameSP%20ISOCOde%2014"/>
            <xsd:attribute name="SecondaryFieldsWssStaticNames" type="xsd:string" fixed="29%2031%2031%2031%2027%20Group%5Fx003a%5F%5Fx0020%5FGroupCode%20Group%5Fx003a%5F%5Fx0020%5FGroupNameEN%20Group%5Fx003a%5F%5Fx0020%5FGroupNameFR%20Group%5Fx003a%5F%5Fx0020%5FGroupNameSP%20Group%5Fx003a%5F%5Fx0020%5FISOCOde%2015"/>
            <xsd:attribute name="SystemInstance" type="xsd:string" fixed="STDF"/>
            <xsd:attribute name="EntityNamespace" type="xsd:string" fixed="http://v-spde"/>
            <xsd:attribute name="EntityName" type="xsd:string" fixed="Group_CT"/>
            <xsd:attribute name="RelatedFieldBDCField" type="xsd:string" fixed=""/>
            <xsd:attribute name="Resolved" type="xsd:string" fixed="true"/>
          </xsd:extension>
        </xsd:simpleContent>
      </xsd:complexType>
    </xsd:element>
    <xsd:element name="Group_CT_ID" ma:index="36" nillable="true" ma:displayName="Group_CT_ID" ma:hidden="true" ma:internalName="Group_CT_ID">
      <xsd:complexType>
        <xsd:simpleContent>
          <xsd:extension base="dms:BusinessDataSecondaryField">
            <xsd:attribute name="BdcField" type="xsd:string" fixed="Group_CT_ID"/>
          </xsd:extension>
        </xsd:simpleContent>
      </xsd:complexType>
    </xsd:element>
    <xsd:element name="Group_x003a__x0020_GroupCode" ma:index="37" nillable="true" ma:displayName="Group: GroupCode" ma:internalName="Group_x003a__x0020_GroupCode">
      <xsd:complexType>
        <xsd:simpleContent>
          <xsd:extension base="dms:BusinessDataSecondaryField">
            <xsd:attribute name="BdcField" type="xsd:string" fixed="GroupCode"/>
          </xsd:extension>
        </xsd:simpleContent>
      </xsd:complexType>
    </xsd:element>
    <xsd:element name="Group_x003a__x0020_GroupNameEN" ma:index="38" nillable="true" ma:displayName="Group: GroupNameEN" ma:internalName="Group_x003a__x0020_GroupNameEN">
      <xsd:complexType>
        <xsd:simpleContent>
          <xsd:extension base="dms:BusinessDataSecondaryField">
            <xsd:attribute name="BdcField" type="xsd:string" fixed="GroupNameEN"/>
          </xsd:extension>
        </xsd:simpleContent>
      </xsd:complexType>
    </xsd:element>
    <xsd:element name="Group_x003a__x0020_GroupNameFR" ma:index="39" nillable="true" ma:displayName="Group: GroupNameFR" ma:internalName="Group_x003a__x0020_GroupNameFR">
      <xsd:complexType>
        <xsd:simpleContent>
          <xsd:extension base="dms:BusinessDataSecondaryField">
            <xsd:attribute name="BdcField" type="xsd:string" fixed="GroupNameFR"/>
          </xsd:extension>
        </xsd:simpleContent>
      </xsd:complexType>
    </xsd:element>
    <xsd:element name="Group_x003a__x0020_GroupNameSP" ma:index="40" nillable="true" ma:displayName="Group: GroupNameSP" ma:internalName="Group_x003a__x0020_GroupNameSP">
      <xsd:complexType>
        <xsd:simpleContent>
          <xsd:extension base="dms:BusinessDataSecondaryField">
            <xsd:attribute name="BdcField" type="xsd:string" fixed="GroupNameSP"/>
          </xsd:extension>
        </xsd:simpleContent>
      </xsd:complexType>
    </xsd:element>
    <xsd:element name="Group_x003a__x0020_ISOCOde" ma:index="41" nillable="true" ma:displayName="Group: ISOCOde" ma:internalName="Group_x003a__x0020_ISOCOde">
      <xsd:complexType>
        <xsd:simpleContent>
          <xsd:extension base="dms:BusinessDataSecondaryField">
            <xsd:attribute name="BdcField" type="xsd:string" fixed="ISOCOde"/>
          </xsd:extension>
        </xsd:simpleContent>
      </xsd:complexType>
    </xsd:element>
    <xsd:element name="ProjectGroup" ma:index="42" nillable="true" ma:displayName="ProjectGroup" ma:list="{50216758-0f61-4c14-9da4-f92800b5fd59}" ma:internalName="ProjectGroup" ma:showField="Title" ma:web="37943d70-03d6-46f7-9f46-490727d6abbd">
      <xsd:simpleType>
        <xsd:restriction base="dms:Lookup"/>
      </xsd:simpleType>
    </xsd:element>
    <xsd:element name="Group_x0020__x0028_EN_x0029_" ma:index="43" nillable="true" ma:displayName="Economic Group (EN)" ma:hidden="true" ma:internalName="Group_x0020__x0028_EN_x0029_">
      <xsd:complexType>
        <xsd:simpleContent>
          <xsd:extension base="dms:BusinessDataPrimaryField">
            <xsd:attribute name="BdcField" type="xsd:string" fixed="GroupNameEN"/>
            <xsd:attribute name="RelatedFieldWssStaticName" type="xsd:string" fixed="Group_CT_ID0"/>
            <xsd:attribute name="SecondaryFieldBdcNames" type="xsd:string" fixed="0"/>
            <xsd:attribute name="SecondaryFieldsWssStaticNames" type="xsd:string" fixed="0"/>
            <xsd:attribute name="SystemInstance" type="xsd:string" fixed="STDF"/>
            <xsd:attribute name="EntityNamespace" type="xsd:string" fixed="http://v-spde"/>
            <xsd:attribute name="EntityName" type="xsd:string" fixed="Group_CT"/>
            <xsd:attribute name="RelatedFieldBDCField" type="xsd:string" fixed=""/>
            <xsd:attribute name="Resolved" type="xsd:string" fixed="true"/>
          </xsd:extension>
        </xsd:simpleContent>
      </xsd:complexType>
    </xsd:element>
    <xsd:element name="Group_CT_ID0" ma:index="44" nillable="true" ma:displayName="Group_CT_ID" ma:hidden="true" ma:internalName="Group_CT_ID0">
      <xsd:complexType>
        <xsd:simpleContent>
          <xsd:extension base="dms:BusinessDataSecondaryField">
            <xsd:attribute name="BdcField" type="xsd:string" fixed="Group_CT_ID"/>
          </xsd:extension>
        </xsd:simpleContent>
      </xsd:complexType>
    </xsd:element>
    <xsd:element name="Group_x0020__x0028_FR_x0029_" ma:index="45" nillable="true" ma:displayName="Economic Group (FR)" ma:hidden="true" ma:internalName="Group_x0020__x0028_FR_x0029_">
      <xsd:complexType>
        <xsd:simpleContent>
          <xsd:extension base="dms:BusinessDataPrimaryField">
            <xsd:attribute name="BdcField" type="xsd:string" fixed="GroupNameFR"/>
            <xsd:attribute name="RelatedFieldWssStaticName" type="xsd:string" fixed="Group_CT_ID1"/>
            <xsd:attribute name="SecondaryFieldBdcNames" type="xsd:string" fixed="0"/>
            <xsd:attribute name="SecondaryFieldsWssStaticNames" type="xsd:string" fixed="0"/>
            <xsd:attribute name="SystemInstance" type="xsd:string" fixed="STDF"/>
            <xsd:attribute name="EntityNamespace" type="xsd:string" fixed="http://v-spde"/>
            <xsd:attribute name="EntityName" type="xsd:string" fixed="Group_CT"/>
            <xsd:attribute name="RelatedFieldBDCField" type="xsd:string" fixed=""/>
            <xsd:attribute name="Resolved" type="xsd:string" fixed="true"/>
          </xsd:extension>
        </xsd:simpleContent>
      </xsd:complexType>
    </xsd:element>
    <xsd:element name="Group_CT_ID1" ma:index="46" nillable="true" ma:displayName="Group_CT_ID" ma:hidden="true" ma:internalName="Group_CT_ID1">
      <xsd:complexType>
        <xsd:simpleContent>
          <xsd:extension base="dms:BusinessDataSecondaryField">
            <xsd:attribute name="BdcField" type="xsd:string" fixed="Group_CT_ID"/>
          </xsd:extension>
        </xsd:simpleContent>
      </xsd:complexType>
    </xsd:element>
    <xsd:element name="Group_x0020__x0028_ES_x0029_" ma:index="47" nillable="true" ma:displayName="Economic Group (ES)" ma:hidden="true" ma:internalName="Group_x0020__x0028_ES_x0029_">
      <xsd:complexType>
        <xsd:simpleContent>
          <xsd:extension base="dms:BusinessDataPrimaryField">
            <xsd:attribute name="BdcField" type="xsd:string" fixed="GroupNameSP"/>
            <xsd:attribute name="RelatedFieldWssStaticName" type="xsd:string" fixed="Group_CT_ID2"/>
            <xsd:attribute name="SecondaryFieldBdcNames" type="xsd:string" fixed="0"/>
            <xsd:attribute name="SecondaryFieldsWssStaticNames" type="xsd:string" fixed="0"/>
            <xsd:attribute name="SystemInstance" type="xsd:string" fixed="STDF"/>
            <xsd:attribute name="EntityNamespace" type="xsd:string" fixed="http://v-spde"/>
            <xsd:attribute name="EntityName" type="xsd:string" fixed="Group_CT"/>
            <xsd:attribute name="RelatedFieldBDCField" type="xsd:string" fixed=""/>
            <xsd:attribute name="Resolved" type="xsd:string" fixed="true"/>
          </xsd:extension>
        </xsd:simpleContent>
      </xsd:complexType>
    </xsd:element>
    <xsd:element name="Group_CT_ID2" ma:index="48" nillable="true" ma:displayName="Group_CT_ID" ma:hidden="true" ma:internalName="Group_CT_ID2">
      <xsd:complexType>
        <xsd:simpleContent>
          <xsd:extension base="dms:BusinessDataSecondaryField">
            <xsd:attribute name="BdcField" type="xsd:string" fixed="Group_CT_ID"/>
          </xsd:extension>
        </xsd:simpleContent>
      </xsd:complexType>
    </xsd:element>
    <xsd:element name="Country" ma:index="49" nillable="true" ma:displayName="Country" ma:list="{ef92eaf7-d111-463f-a4b6-b7bb72078af1}" ma:internalName="Country" ma:showField="CountryNameEN" ma:web="37943d70-03d6-46f7-9f46-490727d6abbd">
      <xsd:complexType>
        <xsd:complexContent>
          <xsd:extension base="dms:MultiChoiceLookup">
            <xsd:sequence>
              <xsd:element name="Value" type="dms:Lookup" maxOccurs="unbounded" minOccurs="0" nillable="true"/>
            </xsd:sequence>
          </xsd:extension>
        </xsd:complexContent>
      </xsd:complexType>
    </xsd:element>
    <xsd:element name="Country_x003a_CountryNameFR" ma:index="50" nillable="true" ma:displayName="Country:CountryNameFR" ma:list="{ef92eaf7-d111-463f-a4b6-b7bb72078af1}" ma:internalName="Country_x003a_CountryNameFR" ma:readOnly="true" ma:showField="CountryNameFRE" ma:web="37943d70-03d6-46f7-9f46-490727d6abbd">
      <xsd:complexType>
        <xsd:complexContent>
          <xsd:extension base="dms:MultiChoiceLookup">
            <xsd:sequence>
              <xsd:element name="Value" type="dms:Lookup" maxOccurs="unbounded" minOccurs="0" nillable="true"/>
            </xsd:sequence>
          </xsd:extension>
        </xsd:complexContent>
      </xsd:complexType>
    </xsd:element>
    <xsd:element name="Country_x003a_CountryNameES" ma:index="51" nillable="true" ma:displayName="Country:CountryNameES" ma:list="{ef92eaf7-d111-463f-a4b6-b7bb72078af1}" ma:internalName="Country_x003a_CountryNameES" ma:readOnly="true" ma:showField="CountryNameES" ma:web="37943d70-03d6-46f7-9f46-490727d6abbd">
      <xsd:complexType>
        <xsd:complexContent>
          <xsd:extension base="dms:MultiChoiceLookup">
            <xsd:sequence>
              <xsd:element name="Value" type="dms:Lookup" maxOccurs="unbounded" minOccurs="0" nillable="true"/>
            </xsd:sequence>
          </xsd:extension>
        </xsd:complexContent>
      </xsd:complexType>
    </xsd:element>
    <xsd:element name="ProjectType" ma:index="52" nillable="true" ma:displayName="ProjectType" ma:list="{85350d0d-8979-4f01-ab8d-40eb55f26294}" ma:internalName="ProjectType" ma:showField="ProjectType" ma:web="37943d70-03d6-46f7-9f46-490727d6abbd">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8" ma:displayName="Content Type"/>
        <xsd:element ref="dc:title" minOccurs="0" maxOccurs="1"/>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erEn xmlns="2d30a33b-a646-41c3-9f34-b17fd4744bcf">
      <Value>100</Value>
    </PublisherEn>
    <RelatedDoc xmlns="2d30a33b-a646-41c3-9f34-b17fd4744bcf"/>
    <Keywords_en xmlns="2d30a33b-a646-41c3-9f34-b17fd4744bcf">
      <Value>61</Value>
    </Keywords_en>
    <TitleSP xmlns="4dc5663f-b0cc-4335-8804-873ae5cb782b">Codex Trust Fund Mid-Term Review</TitleSP>
    <summary_fr xmlns="4dc5663f-b0cc-4335-8804-873ae5cb782b" xsi:nil="true"/>
    <IconOverlay xmlns="http://schemas.microsoft.com/sharepoint/v4" xsi:nil="true"/>
    <CategoryOfTheDocument_en xmlns="2d30a33b-a646-41c3-9f34-b17fd4744bcf"/>
    <Publication_date xmlns="2d30a33b-a646-41c3-9f34-b17fd4744bcf">3</Publication_date>
    <TypeOfTheDocument_en xmlns="2d30a33b-a646-41c3-9f34-b17fd4744bcf">
      <Value>6</Value>
    </TypeOfTheDocument_en>
    <summary_sp xmlns="4dc5663f-b0cc-4335-8804-873ae5cb782b" xsi:nil="true"/>
    <LanguageOfTheDocument xmlns="4dc5663f-b0cc-4335-8804-873ae5cb782b">
      <Value>EN</Value>
    </LanguageOfTheDocument>
    <TitleEN xmlns="4dc5663f-b0cc-4335-8804-873ae5cb782b">Codex Trust Fund Mid-Term Review</TitleEN>
    <TitleFR xmlns="4dc5663f-b0cc-4335-8804-873ae5cb782b">Codex Trust Fund Mid-Term Review</TitleFR>
    <Authors xmlns="4dc5663f-b0cc-4335-8804-873ae5cb782b">Kim Forss; Jens Andersson and Eve Kasirye-Alemu</Authors>
    <summary_en xmlns="4dc5663f-b0cc-4335-8804-873ae5cb782b" xsi:nil="true"/>
    <Country_x0020__x0028_EN_x0029__x003a__x0020_ISOCode xmlns="094bc015-db21-46a8-9486-c389ce0b061e" xsi:nil="true"/>
    <Country_x0020__x0028_EN_x0029__x003a__x0020_Id xmlns="094bc015-db21-46a8-9486-c389ce0b061e" xsi:nil="true"/>
    <Country_x0020__x0028_EN_x0029__x003a__x0020_NameES0 xmlns="094bc015-db21-46a8-9486-c389ce0b061e" xsi:nil="true"/>
    <Country xmlns="094bc015-db21-46a8-9486-c389ce0b061e" xsi:nil="true" Resolved="true"/>
    <Country_x0020__x0028_EN_x0029__x003a__x0020_NameEN2 xmlns="094bc015-db21-46a8-9486-c389ce0b061e" xsi:nil="true"/>
    <Country_x0020__x0028_EN_x0029__x003a__x0020_NameFR0 xmlns="094bc015-db21-46a8-9486-c389ce0b061e" xsi:nil="true"/>
    <Country_x0020__x0028_EN_x0029__x003a__x0020_NameEN3 xmlns="094bc015-db21-46a8-9486-c389ce0b061e" xsi:nil="true"/>
    <Country_x0020__x0028_EN_x0029__x003a__x0020_NameEN0 xmlns="094bc015-db21-46a8-9486-c389ce0b061e" xsi:nil="true"/>
    <Country_x0020__x0028_EN_x0029__x003a__x0020_NameEN1 xmlns="094bc015-db21-46a8-9486-c389ce0b061e" xsi:nil="true"/>
    <Country_x0020__x0028_EN_x0029__x003a__x0020_NameES xmlns="094bc015-db21-46a8-9486-c389ce0b061e" xsi:nil="true"/>
    <Country_CT_ID0 xmlns="094bc015-db21-46a8-9486-c389ce0b061e" xsi:nil="true"/>
    <Country_x0020__x0028_EN_x0029__x003a__x0020_NameFR xmlns="094bc015-db21-46a8-9486-c389ce0b061e" xsi:nil="true"/>
    <Country_x0020__x0028_EN_x0029__x003a__x0020_NameEN xmlns="094bc015-db21-46a8-9486-c389ce0b061e" xsi:nil="true"/>
    <Group_CT_ID2 xmlns="094bc015-db21-46a8-9486-c389ce0b061e" xsi:nil="true"/>
    <Group_CT_ID xmlns="094bc015-db21-46a8-9486-c389ce0b061e" xsi:nil="true"/>
    <Group_x003a__x0020_GroupNameSP xmlns="094bc015-db21-46a8-9486-c389ce0b061e" xsi:nil="true"/>
    <Group_CT_ID1 xmlns="094bc015-db21-46a8-9486-c389ce0b061e" xsi:nil="true"/>
    <ProjectGroup xmlns="094bc015-db21-46a8-9486-c389ce0b061e" xsi:nil="true"/>
    <Group_x0020__x0028_FR_x0029_ xmlns="094bc015-db21-46a8-9486-c389ce0b061e" xsi:nil="true" Resolved="true"/>
    <Group_CT_ID0 xmlns="094bc015-db21-46a8-9486-c389ce0b061e" xsi:nil="true"/>
    <Group xmlns="094bc015-db21-46a8-9486-c389ce0b061e" xsi:nil="true" Resolved="true"/>
    <Group_x003a__x0020_GroupCode xmlns="094bc015-db21-46a8-9486-c389ce0b061e" xsi:nil="true"/>
    <Group_x003a__x0020_GroupNameEN xmlns="094bc015-db21-46a8-9486-c389ce0b061e" xsi:nil="true"/>
    <Group_x003a__x0020_GroupNameFR xmlns="094bc015-db21-46a8-9486-c389ce0b061e" xsi:nil="true"/>
    <Group_x0020__x0028_EN_x0029_ xmlns="094bc015-db21-46a8-9486-c389ce0b061e" xsi:nil="true" Resolved="true"/>
    <Group_x0020__x0028_ES_x0029_ xmlns="094bc015-db21-46a8-9486-c389ce0b061e" xsi:nil="true" Resolved="true"/>
    <Group_x003a__x0020_ISOCOde xmlns="094bc015-db21-46a8-9486-c389ce0b061e" xsi:nil="true"/>
    <ProjectType xmlns="094bc015-db21-46a8-9486-c389ce0b061e" xsi:nil="true"/>
  </documentManagement>
</p:properties>
</file>

<file path=customXml/itemProps1.xml><?xml version="1.0" encoding="utf-8"?>
<ds:datastoreItem xmlns:ds="http://schemas.openxmlformats.org/officeDocument/2006/customXml" ds:itemID="{4728E948-EC26-4127-B4E3-E34154A023D3}"/>
</file>

<file path=customXml/itemProps2.xml><?xml version="1.0" encoding="utf-8"?>
<ds:datastoreItem xmlns:ds="http://schemas.openxmlformats.org/officeDocument/2006/customXml" ds:itemID="{9195C230-73CA-404E-9293-2E5EBA22D67A}"/>
</file>

<file path=customXml/itemProps3.xml><?xml version="1.0" encoding="utf-8"?>
<ds:datastoreItem xmlns:ds="http://schemas.openxmlformats.org/officeDocument/2006/customXml" ds:itemID="{326D94ED-22CD-4905-80DF-FB881CDB615C}"/>
</file>

<file path=docProps/app.xml><?xml version="1.0" encoding="utf-8"?>
<Properties xmlns="http://schemas.openxmlformats.org/officeDocument/2006/extended-properties" xmlns:vt="http://schemas.openxmlformats.org/officeDocument/2006/docPropsVTypes">
  <Template>Normal</Template>
  <TotalTime>0</TotalTime>
  <Pages>90</Pages>
  <Words>39391</Words>
  <Characters>224534</Characters>
  <Application>Microsoft Office Word</Application>
  <DocSecurity>4</DocSecurity>
  <Lines>1871</Lines>
  <Paragraphs>526</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Andante - tools for thinking AB</Company>
  <LinksUpToDate>false</LinksUpToDate>
  <CharactersWithSpaces>263399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Kim Forss</dc:creator>
  <cp:lastModifiedBy>Mukumba, Chenai</cp:lastModifiedBy>
  <cp:revision>2</cp:revision>
  <cp:lastPrinted>2010-04-27T07:21:00Z</cp:lastPrinted>
  <dcterms:created xsi:type="dcterms:W3CDTF">2011-11-11T16:16:00Z</dcterms:created>
  <dcterms:modified xsi:type="dcterms:W3CDTF">2011-11-11T16:16:00Z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0x010100E27CF96EEE4B4FA88868A20FF64E0B700031E2D20BED02E94181E4DEB09D88AB11</vt:lpwstr>
  </property>
  <property fmtid="{D5CDD505-2E9C-101B-9397-08002B2CF9AE}" pid="3" name="Order">
    <vt:r8>29400</vt:r8>
  </property>
  <property fmtid="{D5CDD505-2E9C-101B-9397-08002B2CF9AE}" pid="4" name="URL">
    <vt:lpwstr/>
  </property>
  <property fmtid="{D5CDD505-2E9C-101B-9397-08002B2CF9AE}" pid="5" name="xd_Signature">
    <vt:bool>false</vt:bool>
  </property>
  <property fmtid="{D5CDD505-2E9C-101B-9397-08002B2CF9AE}" pid="6" name="xd_ProgID">
    <vt:lpwstr/>
  </property>
  <property fmtid="{D5CDD505-2E9C-101B-9397-08002B2CF9AE}" pid="7" name="DocumentSetDescription">
    <vt:lpwstr/>
  </property>
  <property fmtid="{D5CDD505-2E9C-101B-9397-08002B2CF9AE}" pid="8" name="Country_CT_ID">
    <vt:lpwstr/>
  </property>
  <property fmtid="{D5CDD505-2E9C-101B-9397-08002B2CF9AE}" pid="9" name="_SourceUrl">
    <vt:lpwstr/>
  </property>
  <property fmtid="{D5CDD505-2E9C-101B-9397-08002B2CF9AE}" pid="10" name="_SharedFileIndex">
    <vt:lpwstr/>
  </property>
  <property fmtid="{D5CDD505-2E9C-101B-9397-08002B2CF9AE}" pid="11" name="TemplateUrl">
    <vt:lpwstr/>
  </property>
</Properties>
</file>