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Georgia" w:cs="Georgia" w:hAnsi="Georgia" w:eastAsia="Georgia"/>
          <w:sz w:val="24"/>
          <w:szCs w:val="24"/>
        </w:rPr>
      </w:pPr>
      <w:r>
        <w:rPr>
          <w:rFonts w:ascii="Georgia" w:hAnsi="Georgia"/>
          <w:sz w:val="24"/>
          <w:szCs w:val="24"/>
          <w:rtl w:val="0"/>
          <w:lang w:val="en-US"/>
        </w:rPr>
        <w:t>Memorandum of Understanding</w:t>
      </w:r>
    </w:p>
    <w:p>
      <w:pPr>
        <w:pStyle w:val="Body"/>
        <w:rPr>
          <w:rFonts w:ascii="Georgia" w:cs="Georgia" w:hAnsi="Georgia" w:eastAsia="Georgia"/>
          <w:sz w:val="24"/>
          <w:szCs w:val="24"/>
        </w:rPr>
      </w:pPr>
      <w:r>
        <w:rPr>
          <w:rFonts w:ascii="Georgia" w:hAnsi="Georgia"/>
          <w:sz w:val="24"/>
          <w:szCs w:val="24"/>
          <w:rtl w:val="0"/>
          <w:lang w:val="en-US"/>
        </w:rPr>
        <w:t>Friends of Seward Park</w:t>
      </w:r>
    </w:p>
    <w:p>
      <w:pPr>
        <w:pStyle w:val="Body"/>
        <w:rPr>
          <w:rFonts w:ascii="Georgia" w:cs="Georgia" w:hAnsi="Georgia" w:eastAsia="Georgia"/>
          <w:sz w:val="24"/>
          <w:szCs w:val="24"/>
        </w:rPr>
      </w:pPr>
      <w:r>
        <w:rPr>
          <w:rFonts w:ascii="Georgia" w:hAnsi="Georgia"/>
          <w:sz w:val="24"/>
          <w:szCs w:val="24"/>
          <w:rtl w:val="0"/>
          <w:lang w:val="en-US"/>
        </w:rPr>
        <w:t>CHOOSE 180</w:t>
      </w:r>
    </w:p>
    <w:p>
      <w:pPr>
        <w:pStyle w:val="Body"/>
        <w:rPr>
          <w:rFonts w:ascii="Georgia" w:cs="Georgia" w:hAnsi="Georgia" w:eastAsia="Georgia"/>
          <w:sz w:val="24"/>
          <w:szCs w:val="24"/>
        </w:rPr>
      </w:pPr>
      <w:r>
        <w:rPr>
          <w:rFonts w:ascii="Georgia" w:hAnsi="Georgia"/>
          <w:sz w:val="24"/>
          <w:szCs w:val="24"/>
          <w:rtl w:val="0"/>
          <w:lang w:val="en-US"/>
        </w:rPr>
        <w:t>Draft: 10 Jun 2021</w:t>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 xml:space="preserve">With this document we identify expectations and obligations entered into between the Friends of Seward Park (FoSP) and CHOOSE 180 for the summer 2021 project, </w:t>
      </w:r>
      <w:r>
        <w:rPr>
          <w:rFonts w:ascii="Georgia" w:hAnsi="Georgia" w:hint="default"/>
          <w:sz w:val="24"/>
          <w:szCs w:val="24"/>
          <w:rtl w:val="0"/>
          <w:lang w:val="en-US"/>
        </w:rPr>
        <w:t>“</w:t>
      </w:r>
      <w:r>
        <w:rPr>
          <w:rStyle w:val="Hyperlink.0"/>
          <w:rFonts w:ascii="Georgia" w:cs="Georgia" w:hAnsi="Georgia" w:eastAsia="Georgia"/>
          <w:sz w:val="24"/>
          <w:szCs w:val="24"/>
        </w:rPr>
        <w:fldChar w:fldCharType="begin" w:fldLock="0"/>
      </w:r>
      <w:r>
        <w:rPr>
          <w:rStyle w:val="Hyperlink.0"/>
          <w:rFonts w:ascii="Georgia" w:cs="Georgia" w:hAnsi="Georgia" w:eastAsia="Georgia"/>
          <w:sz w:val="24"/>
          <w:szCs w:val="24"/>
        </w:rPr>
        <w:instrText xml:space="preserve"> HYPERLINK "https://webgrants.seattle.gov/grantComponents.do?documentPk=1619726237469"</w:instrText>
      </w:r>
      <w:r>
        <w:rPr>
          <w:rStyle w:val="Hyperlink.0"/>
          <w:rFonts w:ascii="Georgia" w:cs="Georgia" w:hAnsi="Georgia" w:eastAsia="Georgia"/>
          <w:sz w:val="24"/>
          <w:szCs w:val="24"/>
        </w:rPr>
        <w:fldChar w:fldCharType="separate" w:fldLock="0"/>
      </w:r>
      <w:r>
        <w:rPr>
          <w:rStyle w:val="Hyperlink.0"/>
          <w:rFonts w:ascii="Georgia" w:hAnsi="Georgia"/>
          <w:sz w:val="24"/>
          <w:szCs w:val="24"/>
          <w:rtl w:val="0"/>
          <w:lang w:val="en-US"/>
        </w:rPr>
        <w:t>Seward Old-growth Hemlock Survey &amp; Youth Training</w:t>
      </w:r>
      <w:r>
        <w:rPr>
          <w:rFonts w:ascii="Georgia" w:cs="Georgia" w:hAnsi="Georgia" w:eastAsia="Georgia"/>
          <w:sz w:val="24"/>
          <w:szCs w:val="24"/>
        </w:rPr>
        <w:fldChar w:fldCharType="end" w:fldLock="0"/>
      </w:r>
      <w:r>
        <w:rPr>
          <w:rFonts w:ascii="Georgia" w:hAnsi="Georgia"/>
          <w:sz w:val="24"/>
          <w:szCs w:val="24"/>
          <w:rtl w:val="0"/>
          <w:lang w:val="en-US"/>
        </w:rPr>
        <w:t>"</w:t>
      </w:r>
    </w:p>
    <w:p>
      <w:pPr>
        <w:pStyle w:val="Body"/>
        <w:rPr>
          <w:rFonts w:ascii="Georgia" w:cs="Georgia" w:hAnsi="Georgia" w:eastAsia="Georgia"/>
          <w:sz w:val="24"/>
          <w:szCs w:val="24"/>
        </w:rPr>
      </w:pPr>
    </w:p>
    <w:p>
      <w:pPr>
        <w:pStyle w:val="Body"/>
        <w:numPr>
          <w:ilvl w:val="0"/>
          <w:numId w:val="2"/>
        </w:numPr>
        <w:rPr>
          <w:rFonts w:ascii="Georgia" w:hAnsi="Georgia"/>
          <w:sz w:val="24"/>
          <w:szCs w:val="24"/>
          <w:lang w:val="en-US"/>
        </w:rPr>
      </w:pPr>
      <w:r>
        <w:rPr>
          <w:rFonts w:ascii="Georgia" w:hAnsi="Georgia"/>
          <w:sz w:val="24"/>
          <w:szCs w:val="24"/>
          <w:rtl w:val="0"/>
          <w:lang w:val="en-US"/>
        </w:rPr>
        <w:t>CHOOSE 180 will select three youths for the project</w:t>
      </w:r>
    </w:p>
    <w:p>
      <w:pPr>
        <w:pStyle w:val="Body"/>
        <w:numPr>
          <w:ilvl w:val="0"/>
          <w:numId w:val="2"/>
        </w:numPr>
        <w:rPr>
          <w:rFonts w:ascii="Georgia" w:hAnsi="Georgia"/>
          <w:sz w:val="24"/>
          <w:szCs w:val="24"/>
          <w:lang w:val="en-US"/>
        </w:rPr>
      </w:pPr>
      <w:r>
        <w:rPr>
          <w:rFonts w:ascii="Georgia" w:hAnsi="Georgia"/>
          <w:sz w:val="24"/>
          <w:szCs w:val="24"/>
          <w:rtl w:val="0"/>
          <w:lang w:val="en-US"/>
        </w:rPr>
        <w:t>Work begins July 12th, runs Monday - Thursday, 1pm-5pm until the wage budget ($3650) is exhausted, with hourly rate,at Seattle minimum wage, $16.69</w:t>
      </w:r>
    </w:p>
    <w:p>
      <w:pPr>
        <w:pStyle w:val="Body"/>
        <w:numPr>
          <w:ilvl w:val="0"/>
          <w:numId w:val="2"/>
        </w:numPr>
        <w:rPr>
          <w:rFonts w:ascii="Georgia" w:hAnsi="Georgia"/>
          <w:sz w:val="24"/>
          <w:szCs w:val="24"/>
          <w:lang w:val="en-US"/>
        </w:rPr>
      </w:pPr>
      <w:r>
        <w:rPr>
          <w:rFonts w:ascii="Georgia" w:hAnsi="Georgia"/>
          <w:sz w:val="24"/>
          <w:szCs w:val="24"/>
          <w:rtl w:val="0"/>
          <w:lang w:val="en-US"/>
        </w:rPr>
        <w:t>Due to the increasing threat from ground-nesting yellowjackets, an earlier start date is welcome.</w:t>
      </w:r>
    </w:p>
    <w:p>
      <w:pPr>
        <w:pStyle w:val="Body"/>
        <w:numPr>
          <w:ilvl w:val="0"/>
          <w:numId w:val="2"/>
        </w:numPr>
        <w:rPr>
          <w:rFonts w:ascii="Georgia" w:hAnsi="Georgia"/>
          <w:sz w:val="24"/>
          <w:szCs w:val="24"/>
          <w:lang w:val="en-US"/>
        </w:rPr>
      </w:pPr>
      <w:r>
        <w:rPr>
          <w:rFonts w:ascii="Georgia" w:hAnsi="Georgia"/>
          <w:sz w:val="24"/>
          <w:szCs w:val="24"/>
          <w:rtl w:val="0"/>
          <w:lang w:val="en-US"/>
        </w:rPr>
        <w:t>Paul Shannon will be the on-site supervisor, present and engaged with all three staff at all times.</w:t>
      </w:r>
    </w:p>
    <w:p>
      <w:pPr>
        <w:pStyle w:val="Body"/>
        <w:numPr>
          <w:ilvl w:val="0"/>
          <w:numId w:val="2"/>
        </w:numPr>
        <w:rPr>
          <w:rFonts w:ascii="Georgia" w:hAnsi="Georgia"/>
          <w:sz w:val="24"/>
          <w:szCs w:val="24"/>
          <w:lang w:val="en-US"/>
        </w:rPr>
      </w:pPr>
      <w:r>
        <w:rPr>
          <w:rFonts w:ascii="Georgia" w:hAnsi="Georgia"/>
          <w:sz w:val="24"/>
          <w:szCs w:val="24"/>
          <w:rtl w:val="0"/>
          <w:lang w:val="en-US"/>
        </w:rPr>
        <w:t>Shannon will track and submit youth work hours to the Fiscal Sponsor,  the Seattle Parks Foundation, and ensure that pay checks are delivered in a timely manner.</w:t>
      </w:r>
    </w:p>
    <w:p>
      <w:pPr>
        <w:pStyle w:val="Body"/>
        <w:numPr>
          <w:ilvl w:val="0"/>
          <w:numId w:val="2"/>
        </w:numPr>
        <w:rPr>
          <w:rFonts w:ascii="Georgia" w:hAnsi="Georgia"/>
          <w:sz w:val="24"/>
          <w:szCs w:val="24"/>
          <w:lang w:val="en-US"/>
        </w:rPr>
      </w:pPr>
      <w:r>
        <w:rPr>
          <w:rFonts w:ascii="Georgia" w:hAnsi="Georgia"/>
          <w:sz w:val="24"/>
          <w:szCs w:val="24"/>
          <w:rtl w:val="0"/>
          <w:lang w:val="en-US"/>
        </w:rPr>
        <w:t>CHOOSE 180 staff will be available to help with any personnel  or social difficulties which arise, guided by the  CHOOSE 180 norms. in which the youth have been trained.  (Shannon requests a copy of these.)</w:t>
      </w:r>
    </w:p>
    <w:p>
      <w:pPr>
        <w:pStyle w:val="Body"/>
        <w:numPr>
          <w:ilvl w:val="0"/>
          <w:numId w:val="2"/>
        </w:numPr>
        <w:rPr>
          <w:rFonts w:ascii="Georgia" w:hAnsi="Georgia"/>
          <w:sz w:val="24"/>
          <w:szCs w:val="24"/>
          <w:lang w:val="en-US"/>
        </w:rPr>
      </w:pPr>
      <w:r>
        <w:rPr>
          <w:rFonts w:ascii="Georgia" w:hAnsi="Georgia"/>
          <w:sz w:val="24"/>
          <w:szCs w:val="24"/>
          <w:rtl w:val="0"/>
          <w:lang w:val="en-US"/>
        </w:rPr>
        <w:t>Forest measurements and data collection are the central activities, supplemented according to interest by sample  photography, data analysis, technical writing,  cartography, computer programming,  watering of recently restored forest areas, closing of social trails.   Training in all of these tasks will be offered,  tailored to youths background knowledge and interest.</w:t>
      </w:r>
    </w:p>
    <w:p>
      <w:pPr>
        <w:pStyle w:val="Body"/>
        <w:numPr>
          <w:ilvl w:val="0"/>
          <w:numId w:val="2"/>
        </w:numPr>
        <w:rPr>
          <w:rFonts w:ascii="Georgia" w:hAnsi="Georgia"/>
          <w:sz w:val="24"/>
          <w:szCs w:val="24"/>
          <w:lang w:val="en-US"/>
        </w:rPr>
      </w:pPr>
      <w:r>
        <w:rPr>
          <w:rFonts w:ascii="Georgia" w:hAnsi="Georgia"/>
          <w:sz w:val="24"/>
          <w:szCs w:val="24"/>
          <w:rtl w:val="0"/>
          <w:lang w:val="en-US"/>
        </w:rPr>
        <w:t xml:space="preserve">Seward Park Audubon has offered us frequent access to meeting space with wifi.  We will use this for data curation and analysis.  </w:t>
      </w:r>
    </w:p>
    <w:p>
      <w:pPr>
        <w:pStyle w:val="Body"/>
        <w:numPr>
          <w:ilvl w:val="0"/>
          <w:numId w:val="2"/>
        </w:numPr>
        <w:rPr>
          <w:rFonts w:ascii="Georgia" w:hAnsi="Georgia"/>
          <w:sz w:val="24"/>
          <w:szCs w:val="24"/>
          <w:lang w:val="en-US"/>
        </w:rPr>
      </w:pPr>
      <w:r>
        <w:rPr>
          <w:rFonts w:ascii="Georgia" w:hAnsi="Georgia"/>
          <w:sz w:val="24"/>
          <w:szCs w:val="24"/>
          <w:rtl w:val="0"/>
          <w:lang w:val="en-US"/>
        </w:rPr>
        <w:t xml:space="preserve">CHOOSE 180 will provide laptops for each youth, perhaps for storage at the Audubon Center and easy access for the tasks of item 8, over the course of the project.  We will need administrator privileges on these laptops, or prior installation by CHOOSE 180 IT of the open source statistical environment </w:t>
      </w:r>
      <w:r>
        <w:rPr>
          <w:rFonts w:ascii="Georgia" w:hAnsi="Georgia" w:hint="default"/>
          <w:sz w:val="24"/>
          <w:szCs w:val="24"/>
          <w:rtl w:val="0"/>
          <w:lang w:val="en-US"/>
        </w:rPr>
        <w:t>“</w:t>
      </w:r>
      <w:r>
        <w:rPr>
          <w:rFonts w:ascii="Georgia" w:hAnsi="Georgia"/>
          <w:b w:val="1"/>
          <w:bCs w:val="1"/>
          <w:i w:val="1"/>
          <w:iCs w:val="1"/>
          <w:sz w:val="24"/>
          <w:szCs w:val="24"/>
          <w:rtl w:val="0"/>
          <w:lang w:val="en-US"/>
        </w:rPr>
        <w:t>R</w:t>
      </w:r>
      <w:r>
        <w:rPr>
          <w:rFonts w:ascii="Georgia" w:hAnsi="Georgia" w:hint="default"/>
          <w:sz w:val="24"/>
          <w:szCs w:val="24"/>
          <w:rtl w:val="0"/>
          <w:lang w:val="en-US"/>
        </w:rPr>
        <w:t>”</w:t>
      </w:r>
      <w:r>
        <w:rPr>
          <w:rFonts w:ascii="Georgia" w:hAnsi="Georgia"/>
          <w:sz w:val="24"/>
          <w:szCs w:val="24"/>
          <w:rtl w:val="0"/>
          <w:lang w:val="en-US"/>
        </w:rPr>
        <w:t xml:space="preserve">.  </w:t>
      </w:r>
    </w:p>
    <w:p>
      <w:pPr>
        <w:pStyle w:val="Body"/>
        <w:numPr>
          <w:ilvl w:val="0"/>
          <w:numId w:val="2"/>
        </w:numPr>
        <w:rPr>
          <w:rFonts w:ascii="Georgia" w:hAnsi="Georgia"/>
          <w:sz w:val="24"/>
          <w:szCs w:val="24"/>
          <w:lang w:val="en-US"/>
        </w:rPr>
      </w:pPr>
      <w:r>
        <w:rPr>
          <w:rFonts w:ascii="Georgia" w:hAnsi="Georgia"/>
          <w:sz w:val="24"/>
          <w:szCs w:val="24"/>
          <w:rtl w:val="0"/>
          <w:lang w:val="en-US"/>
        </w:rPr>
        <w:t>Insurance (I will get the details) is provided by our fiscal sponsor</w:t>
      </w:r>
    </w:p>
    <w:p>
      <w:pPr>
        <w:pStyle w:val="Body"/>
        <w:numPr>
          <w:ilvl w:val="0"/>
          <w:numId w:val="2"/>
        </w:numPr>
        <w:rPr>
          <w:rFonts w:ascii="Georgia" w:hAnsi="Georgia"/>
          <w:sz w:val="24"/>
          <w:szCs w:val="24"/>
          <w:lang w:val="en-US"/>
        </w:rPr>
      </w:pPr>
      <w:r>
        <w:rPr>
          <w:rFonts w:ascii="Georgia" w:hAnsi="Georgia"/>
          <w:sz w:val="24"/>
          <w:szCs w:val="24"/>
          <w:rtl w:val="0"/>
          <w:lang w:val="en-US"/>
        </w:rPr>
        <w:t>We will exercise extreme caution regarding late-summer yellowjackets, whose ground nests, if disturbed, threaten multiple painful stings.  Shannon will consult with medical professionals to ensure we are prepared.</w:t>
      </w:r>
    </w:p>
    <w:p>
      <w:pPr>
        <w:pStyle w:val="Body"/>
        <w:numPr>
          <w:ilvl w:val="0"/>
          <w:numId w:val="2"/>
        </w:numPr>
        <w:rPr>
          <w:rFonts w:ascii="Georgia" w:hAnsi="Georgia"/>
          <w:sz w:val="24"/>
          <w:szCs w:val="24"/>
          <w:lang w:val="en-US"/>
        </w:rPr>
      </w:pPr>
      <w:r>
        <w:rPr>
          <w:rFonts w:ascii="Georgia" w:hAnsi="Georgia"/>
          <w:sz w:val="24"/>
          <w:szCs w:val="24"/>
          <w:rtl w:val="0"/>
          <w:lang w:val="en-US"/>
        </w:rPr>
        <w:t>With sufficient interest from the CHOOSE 180 youths, we will conclude the summer by composing a brief research note, for submission to PNW journals, and possible publication.</w:t>
      </w:r>
    </w:p>
    <w:p>
      <w:pPr>
        <w:pStyle w:val="Body"/>
        <w:numPr>
          <w:ilvl w:val="0"/>
          <w:numId w:val="2"/>
        </w:numPr>
        <w:rPr>
          <w:rFonts w:ascii="Georgia" w:hAnsi="Georgia"/>
          <w:sz w:val="24"/>
          <w:szCs w:val="24"/>
          <w:lang w:val="en-US"/>
        </w:rPr>
      </w:pPr>
      <w:r>
        <w:rPr>
          <w:rFonts w:ascii="Georgia" w:hAnsi="Georgia"/>
          <w:sz w:val="24"/>
          <w:szCs w:val="24"/>
          <w:rtl w:val="0"/>
          <w:lang w:val="en-US"/>
        </w:rPr>
        <w:t>Question:  at-risk youth helping out with at-risk urban old-growth forest might make for compelling journalism.  Is this worthy of pursuit?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