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September</w:t>
      </w:r>
      <w:r>
        <w:t xml:space="preserve"> </w:t>
      </w:r>
      <w:r>
        <w:t xml:space="preserve">2018</w:t>
      </w:r>
    </w:p>
    <w:p>
      <w:pPr>
        <w:pStyle w:val="Heading1"/>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monitoring sites on Public Conservation Land (PCL). The NLM programme focuses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and considerable effort has gone into aligning monitoring efforts between agencies. The Environmental Monitoring and Reporting group (EMAR) has been established to align environmental monitoring and reporting efforts between central and local/regional government. 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principles-of-monitoring"/>
      <w:bookmarkEnd w:id="22"/>
      <w:r>
        <w:t xml:space="preserve">Principles of monitoring</w:t>
      </w:r>
    </w:p>
    <w:p>
      <w:pPr>
        <w:pStyle w:val="FirstParagraph"/>
      </w:pPr>
      <w:r>
        <w:t xml:space="preserve">For a monitoring programme to be successful it is important to provide clear, detailed documentation of the design decisions made. We recommend following the approach described in</w:t>
      </w:r>
      <w:r>
        <w:t xml:space="preserve"> </w:t>
      </w:r>
      <w:r>
        <w:t xml:space="preserve">Reynolds et al. (2016)</w:t>
      </w:r>
      <w:r>
        <w:t xml:space="preserve"> </w:t>
      </w:r>
      <w:r>
        <w:t xml:space="preserve">to work through the design decision making process. Articulating clear and achievable objectives is critical and drives all of the design decisions that follow. For example, to report on the state of the environment (SOE) would lead to "status and trend" monitoring. Status and trend monitoring may allow for inference about ecological integrity across an area but will not give information about management success in a particular region. If a specific monitoring action is undertaken and we are interested in measuring its success, we would undertake "effectiveness monitoring". Effectiveness monitoring may result in choosing a BACI (Before-After Control-Impact) design. The objectives decide what is measured, where it is measured and how frequently to return. Without clear objectives a monitoring problem will not likely be successful and can be a waste of resources if it fails to provided management and stakeholders without useful information.</w:t>
      </w:r>
    </w:p>
    <w:p>
      <w:pPr>
        <w:pStyle w:val="BodyText"/>
      </w:pPr>
      <w:r>
        <w:t xml:space="preserve">Based on the objectives, conceptual models are used to apply expert knowledge and develop the required indicators and measures that are needed to report back on. The indicators and measures that are reported on will identify the target population and sample frame. The target population is defined as the population or resource of interest (e.g. all native forest in the region). The sample frame is a spatial representation of the target population (e.g. the best spatial representive information available about native forests in the region).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 Steep unsafe areas that are not able to be sampled may exclude unique habitats from the sample.</w:t>
      </w:r>
    </w:p>
    <w:p>
      <w:pPr>
        <w:pStyle w:val="BodyText"/>
      </w:pPr>
      <w:r>
        <w:t xml:space="preserve">Following choosing what to measure and where it should be measured, sample size and sites needs to determined. Sample size needs reflect the objectives and should be informed on the variability thought to occur in the population being measured. If we suspect biodiversity is reasonably consistent for bird communities on pastures in the Canterbury Plains, then a smaller amount of sampling may be required than when monitoring birds in regenerating native forest. Sampling locations should be drawn to provide an unbiased representation of the population of interest within the sample frame. A probabilistic sample ensures that the sample represents the population as a whole. Convenience or judgement sampling generally does not allow for inference over the entire population.</w:t>
      </w:r>
    </w:p>
    <w:p>
      <w:pPr>
        <w:pStyle w:val="Heading2"/>
      </w:pPr>
      <w:bookmarkStart w:id="23" w:name="existing-monitoring"/>
      <w:bookmarkEnd w:id="23"/>
      <w:r>
        <w:t xml:space="preserve">Existing monitoring</w:t>
      </w:r>
    </w:p>
    <w:p>
      <w:pPr>
        <w:pStyle w:val="FirstParagraph"/>
      </w:pPr>
      <w:r>
        <w:t xml:space="preserve">The National Biodiversity Monitoring Programme (NMBP) is a systematic sample spread across New Zealand on an 8-km grid with a random start. With systematic sampling effort is proportional to area and a random start makes it a probabilistic sample.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varibility over short-term trends. The programme captures long-term trends in ecological integrity through repeated sampling every 5-years. The 8-km grid exists across all of New Zealand and can be extended to Regional Council land, for example Greater Wellington Regional Council. For Nelson or Westland, the largest proportion of Regional Council sites on the 8-km grid are on PCL and monitored as part of NBMP. In other extremes, such as Otago (427 sites off of PCL and 139 on PCL), a large number of grid sites are not on PCL. See Table 1 for a the number of sites on and off PCL for each region. Figure 1 shows the 8-km grid for the Otago region.</w:t>
      </w:r>
    </w:p>
    <w:p>
      <w:pPr>
        <w:pStyle w:val="BodyText"/>
      </w:pPr>
      <w:r>
        <w:t xml:space="preserve">Although systematic samples are not very flexible, the 8-km grid is very effective for monitoring biodiversity on a large scale. However, the 8-km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hierarchical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it is made up for a much more flexible design. The BAS Master Sample is dense, meaning that there are an infinite number of samples to select</w:t>
      </w:r>
      <w:r>
        <w:t xml:space="preserve"> </w:t>
      </w:r>
      <w:r>
        <w:t xml:space="preserve">within any sub-region in New Zealand. This allows for it to be relevant at any spatial scale. Using the hierarchical ordering of the Master Sample is how it helps coordinate monitoring.</w:t>
      </w:r>
      <w:r>
        <w:t xml:space="preserve"> </w:t>
      </w:r>
      <w:r>
        <w:t xml:space="preserve">Sites have a unique ID that matches between different monitoring programmes that have overlapping space and it guarantees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BodyText"/>
      </w:pPr>
      <w:r>
        <w:rPr>
          <w:b/>
        </w:rPr>
        <w:t xml:space="preserve">NEED TO MENTION LUCAS HERE OLLIE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Off-PCL</w:t>
            </w:r>
          </w:p>
        </w:tc>
        <w:tc>
          <w:tcPr>
            <w:tcBorders>
              <w:bottom w:val="single"/>
            </w:tcBorders>
            <w:vAlign w:val="bottom"/>
          </w:tcPr>
          <w:p>
            <w:pPr>
              <w:pStyle w:val="Compact"/>
              <w:jc w:val="right"/>
            </w:pPr>
            <w:r>
              <w:t xml:space="preserve">On-PCL</w:t>
            </w:r>
          </w:p>
        </w:tc>
        <w:tc>
          <w:tcPr>
            <w:tcBorders>
              <w:bottom w:val="single"/>
            </w:tcBorders>
            <w:vAlign w:val="bottom"/>
          </w:tcPr>
          <w:p>
            <w:pPr>
              <w:pStyle w:val="Compact"/>
              <w:jc w:val="right"/>
            </w:pPr>
            <w:r>
              <w:t xml:space="preserve">Total</w:t>
            </w:r>
          </w:p>
        </w:tc>
      </w:tr>
      <w:tr>
        <w:tc>
          <w:p>
            <w:pPr>
              <w:pStyle w:val="Compact"/>
              <w:jc w:val="left"/>
            </w:pPr>
            <w:r>
              <w:t xml:space="preserve">Canterbury</w:t>
            </w:r>
          </w:p>
        </w:tc>
        <w:tc>
          <w:p>
            <w:pPr>
              <w:pStyle w:val="Compact"/>
              <w:jc w:val="right"/>
            </w:pPr>
            <w:r>
              <w:t xml:space="preserve">440</w:t>
            </w:r>
          </w:p>
        </w:tc>
        <w:tc>
          <w:p>
            <w:pPr>
              <w:pStyle w:val="Compact"/>
              <w:jc w:val="right"/>
            </w:pPr>
            <w:r>
              <w:t xml:space="preserve">172</w:t>
            </w:r>
          </w:p>
        </w:tc>
        <w:tc>
          <w:p>
            <w:pPr>
              <w:pStyle w:val="Compact"/>
              <w:jc w:val="right"/>
            </w:pPr>
            <w:r>
              <w:t xml:space="preserve">612</w:t>
            </w:r>
          </w:p>
        </w:tc>
      </w:tr>
      <w:tr>
        <w:tc>
          <w:p>
            <w:pPr>
              <w:pStyle w:val="Compact"/>
              <w:jc w:val="left"/>
            </w:pPr>
            <w:r>
              <w:t xml:space="preserve">Gisborne</w:t>
            </w:r>
          </w:p>
        </w:tc>
        <w:tc>
          <w:p>
            <w:pPr>
              <w:pStyle w:val="Compact"/>
              <w:jc w:val="right"/>
            </w:pPr>
            <w:r>
              <w:t xml:space="preserve">186</w:t>
            </w:r>
          </w:p>
        </w:tc>
        <w:tc>
          <w:p>
            <w:pPr>
              <w:pStyle w:val="Compact"/>
              <w:jc w:val="right"/>
            </w:pPr>
            <w:r>
              <w:t xml:space="preserve">34</w:t>
            </w:r>
          </w:p>
        </w:tc>
        <w:tc>
          <w:p>
            <w:pPr>
              <w:pStyle w:val="Compact"/>
              <w:jc w:val="right"/>
            </w:pPr>
            <w:r>
              <w:t xml:space="preserve">220</w:t>
            </w:r>
          </w:p>
        </w:tc>
      </w:tr>
      <w:tr>
        <w:tc>
          <w:p>
            <w:pPr>
              <w:pStyle w:val="Compact"/>
              <w:jc w:val="left"/>
            </w:pPr>
            <w:r>
              <w:t xml:space="preserve">Hawkes Bay</w:t>
            </w:r>
          </w:p>
        </w:tc>
        <w:tc>
          <w:p>
            <w:pPr>
              <w:pStyle w:val="Compact"/>
              <w:jc w:val="right"/>
            </w:pPr>
            <w:r>
              <w:t xml:space="preserve">164</w:t>
            </w:r>
          </w:p>
        </w:tc>
        <w:tc>
          <w:p>
            <w:pPr>
              <w:pStyle w:val="Compact"/>
              <w:jc w:val="right"/>
            </w:pPr>
            <w:r>
              <w:t xml:space="preserve">20</w:t>
            </w:r>
          </w:p>
        </w:tc>
        <w:tc>
          <w:p>
            <w:pPr>
              <w:pStyle w:val="Compact"/>
              <w:jc w:val="right"/>
            </w:pPr>
            <w:r>
              <w:t xml:space="preserve">184</w:t>
            </w:r>
          </w:p>
        </w:tc>
      </w:tr>
      <w:tr>
        <w:tc>
          <w:p>
            <w:pPr>
              <w:pStyle w:val="Compact"/>
              <w:jc w:val="left"/>
            </w:pPr>
            <w:r>
              <w:t xml:space="preserve">Marlborough</w:t>
            </w:r>
          </w:p>
        </w:tc>
        <w:tc>
          <w:p>
            <w:pPr>
              <w:pStyle w:val="Compact"/>
              <w:jc w:val="right"/>
            </w:pPr>
            <w:r>
              <w:t xml:space="preserve">100</w:t>
            </w:r>
          </w:p>
        </w:tc>
        <w:tc>
          <w:p>
            <w:pPr>
              <w:pStyle w:val="Compact"/>
              <w:jc w:val="right"/>
            </w:pPr>
            <w:r>
              <w:t xml:space="preserve">72</w:t>
            </w:r>
          </w:p>
        </w:tc>
        <w:tc>
          <w:p>
            <w:pPr>
              <w:pStyle w:val="Compact"/>
              <w:jc w:val="right"/>
            </w:pPr>
            <w:r>
              <w:t xml:space="preserve">172</w:t>
            </w:r>
          </w:p>
        </w:tc>
      </w:tr>
      <w:tr>
        <w:tc>
          <w:p>
            <w:pPr>
              <w:pStyle w:val="Compact"/>
              <w:jc w:val="left"/>
            </w:pPr>
            <w:r>
              <w:t xml:space="preserve">Nelson</w:t>
            </w:r>
          </w:p>
        </w:tc>
        <w:tc>
          <w:p>
            <w:pPr>
              <w:pStyle w:val="Compact"/>
              <w:jc w:val="right"/>
            </w:pPr>
            <w:r>
              <w:t xml:space="preserve">72</w:t>
            </w:r>
          </w:p>
        </w:tc>
        <w:tc>
          <w:p>
            <w:pPr>
              <w:pStyle w:val="Compact"/>
              <w:jc w:val="right"/>
            </w:pPr>
            <w:r>
              <w:t xml:space="preserve">222</w:t>
            </w:r>
          </w:p>
        </w:tc>
        <w:tc>
          <w:p>
            <w:pPr>
              <w:pStyle w:val="Compact"/>
              <w:jc w:val="right"/>
            </w:pPr>
            <w:r>
              <w:t xml:space="preserve">294</w:t>
            </w:r>
          </w:p>
        </w:tc>
      </w:tr>
      <w:tr>
        <w:tc>
          <w:p>
            <w:pPr>
              <w:pStyle w:val="Compact"/>
              <w:jc w:val="left"/>
            </w:pPr>
            <w:r>
              <w:t xml:space="preserve">North Auckland</w:t>
            </w:r>
          </w:p>
        </w:tc>
        <w:tc>
          <w:p>
            <w:pPr>
              <w:pStyle w:val="Compact"/>
              <w:jc w:val="right"/>
            </w:pPr>
            <w:r>
              <w:t xml:space="preserve">255</w:t>
            </w:r>
          </w:p>
        </w:tc>
        <w:tc>
          <w:p>
            <w:pPr>
              <w:pStyle w:val="Compact"/>
              <w:jc w:val="right"/>
            </w:pPr>
            <w:r>
              <w:t xml:space="preserve">35</w:t>
            </w:r>
          </w:p>
        </w:tc>
        <w:tc>
          <w:p>
            <w:pPr>
              <w:pStyle w:val="Compact"/>
              <w:jc w:val="right"/>
            </w:pPr>
            <w:r>
              <w:t xml:space="preserve">290</w:t>
            </w:r>
          </w:p>
        </w:tc>
      </w:tr>
      <w:tr>
        <w:tc>
          <w:p>
            <w:pPr>
              <w:pStyle w:val="Compact"/>
              <w:jc w:val="left"/>
            </w:pPr>
            <w:r>
              <w:t xml:space="preserve">Otago</w:t>
            </w:r>
          </w:p>
        </w:tc>
        <w:tc>
          <w:p>
            <w:pPr>
              <w:pStyle w:val="Compact"/>
              <w:jc w:val="right"/>
            </w:pPr>
            <w:r>
              <w:t xml:space="preserve">427</w:t>
            </w:r>
          </w:p>
        </w:tc>
        <w:tc>
          <w:p>
            <w:pPr>
              <w:pStyle w:val="Compact"/>
              <w:jc w:val="right"/>
            </w:pPr>
            <w:r>
              <w:t xml:space="preserve">139</w:t>
            </w:r>
          </w:p>
        </w:tc>
        <w:tc>
          <w:p>
            <w:pPr>
              <w:pStyle w:val="Compact"/>
              <w:jc w:val="right"/>
            </w:pPr>
            <w:r>
              <w:t xml:space="preserve">566</w:t>
            </w:r>
          </w:p>
        </w:tc>
      </w:tr>
      <w:tr>
        <w:tc>
          <w:p>
            <w:pPr>
              <w:pStyle w:val="Compact"/>
              <w:jc w:val="left"/>
            </w:pPr>
            <w:r>
              <w:t xml:space="preserve">South Auckland</w:t>
            </w:r>
          </w:p>
        </w:tc>
        <w:tc>
          <w:p>
            <w:pPr>
              <w:pStyle w:val="Compact"/>
              <w:jc w:val="right"/>
            </w:pPr>
            <w:r>
              <w:t xml:space="preserve">433</w:t>
            </w:r>
          </w:p>
        </w:tc>
        <w:tc>
          <w:p>
            <w:pPr>
              <w:pStyle w:val="Compact"/>
              <w:jc w:val="right"/>
            </w:pPr>
            <w:r>
              <w:t xml:space="preserve">82</w:t>
            </w:r>
          </w:p>
        </w:tc>
        <w:tc>
          <w:p>
            <w:pPr>
              <w:pStyle w:val="Compact"/>
              <w:jc w:val="right"/>
            </w:pPr>
            <w:r>
              <w:t xml:space="preserve">515</w:t>
            </w:r>
          </w:p>
        </w:tc>
      </w:tr>
      <w:tr>
        <w:tc>
          <w:p>
            <w:pPr>
              <w:pStyle w:val="Compact"/>
              <w:jc w:val="left"/>
            </w:pPr>
            <w:r>
              <w:t xml:space="preserve">Southland</w:t>
            </w:r>
          </w:p>
        </w:tc>
        <w:tc>
          <w:p>
            <w:pPr>
              <w:pStyle w:val="Compact"/>
              <w:jc w:val="right"/>
            </w:pPr>
            <w:r>
              <w:t xml:space="preserve">233</w:t>
            </w:r>
          </w:p>
        </w:tc>
        <w:tc>
          <w:p>
            <w:pPr>
              <w:pStyle w:val="Compact"/>
              <w:jc w:val="right"/>
            </w:pPr>
            <w:r>
              <w:t xml:space="preserve">261</w:t>
            </w:r>
          </w:p>
        </w:tc>
        <w:tc>
          <w:p>
            <w:pPr>
              <w:pStyle w:val="Compact"/>
              <w:jc w:val="right"/>
            </w:pPr>
            <w:r>
              <w:t xml:space="preserve">494</w:t>
            </w:r>
          </w:p>
        </w:tc>
      </w:tr>
      <w:tr>
        <w:tc>
          <w:p>
            <w:pPr>
              <w:pStyle w:val="Compact"/>
              <w:jc w:val="left"/>
            </w:pPr>
            <w:r>
              <w:t xml:space="preserve">Taranaki</w:t>
            </w:r>
          </w:p>
        </w:tc>
        <w:tc>
          <w:p>
            <w:pPr>
              <w:pStyle w:val="Compact"/>
              <w:jc w:val="right"/>
            </w:pPr>
            <w:r>
              <w:t xml:space="preserve">112</w:t>
            </w:r>
          </w:p>
        </w:tc>
        <w:tc>
          <w:p>
            <w:pPr>
              <w:pStyle w:val="Compact"/>
              <w:jc w:val="right"/>
            </w:pPr>
            <w:r>
              <w:t xml:space="preserve">40</w:t>
            </w:r>
          </w:p>
        </w:tc>
        <w:tc>
          <w:p>
            <w:pPr>
              <w:pStyle w:val="Compact"/>
              <w:jc w:val="right"/>
            </w:pPr>
            <w:r>
              <w:t xml:space="preserve">152</w:t>
            </w:r>
          </w:p>
        </w:tc>
      </w:tr>
      <w:tr>
        <w:tc>
          <w:p>
            <w:pPr>
              <w:pStyle w:val="Compact"/>
              <w:jc w:val="left"/>
            </w:pPr>
            <w:r>
              <w:t xml:space="preserve">Wellington</w:t>
            </w:r>
          </w:p>
        </w:tc>
        <w:tc>
          <w:p>
            <w:pPr>
              <w:pStyle w:val="Compact"/>
              <w:jc w:val="right"/>
            </w:pPr>
            <w:r>
              <w:t xml:space="preserve">359</w:t>
            </w:r>
          </w:p>
        </w:tc>
        <w:tc>
          <w:p>
            <w:pPr>
              <w:pStyle w:val="Compact"/>
              <w:jc w:val="right"/>
            </w:pPr>
            <w:r>
              <w:t xml:space="preserve">79</w:t>
            </w:r>
          </w:p>
        </w:tc>
        <w:tc>
          <w:p>
            <w:pPr>
              <w:pStyle w:val="Compact"/>
              <w:jc w:val="right"/>
            </w:pPr>
            <w:r>
              <w:t xml:space="preserve">438</w:t>
            </w:r>
          </w:p>
        </w:tc>
      </w:tr>
      <w:tr>
        <w:tc>
          <w:p>
            <w:pPr>
              <w:pStyle w:val="Compact"/>
              <w:jc w:val="left"/>
            </w:pPr>
            <w:r>
              <w:t xml:space="preserve">Westland</w:t>
            </w:r>
          </w:p>
        </w:tc>
        <w:tc>
          <w:p>
            <w:pPr>
              <w:pStyle w:val="Compact"/>
              <w:jc w:val="right"/>
            </w:pPr>
            <w:r>
              <w:t xml:space="preserve">35</w:t>
            </w:r>
          </w:p>
        </w:tc>
        <w:tc>
          <w:p>
            <w:pPr>
              <w:pStyle w:val="Compact"/>
              <w:jc w:val="right"/>
            </w:pPr>
            <w:r>
              <w:t xml:space="preserve">206</w:t>
            </w:r>
          </w:p>
        </w:tc>
        <w:tc>
          <w:p>
            <w:pPr>
              <w:pStyle w:val="Compact"/>
              <w:jc w:val="right"/>
            </w:pPr>
            <w:r>
              <w:t xml:space="preserve">241</w:t>
            </w:r>
          </w:p>
        </w:tc>
      </w:tr>
      <w:tr>
        <w:tc>
          <w:p>
            <w:pPr>
              <w:pStyle w:val="Compact"/>
              <w:jc w:val="left"/>
            </w:pPr>
            <w:r>
              <w:t xml:space="preserve">Total</w:t>
            </w:r>
          </w:p>
        </w:tc>
        <w:tc>
          <w:p>
            <w:pPr>
              <w:pStyle w:val="Compact"/>
              <w:jc w:val="right"/>
            </w:pPr>
            <w:r>
              <w:t xml:space="preserve">2816</w:t>
            </w:r>
          </w:p>
        </w:tc>
        <w:tc>
          <w:p>
            <w:pPr>
              <w:pStyle w:val="Compact"/>
              <w:jc w:val="right"/>
            </w:pPr>
            <w:r>
              <w:t xml:space="preserve">1362</w:t>
            </w:r>
          </w:p>
        </w:tc>
        <w:tc>
          <w:p>
            <w:pPr>
              <w:pStyle w:val="Compact"/>
              <w:jc w:val="right"/>
            </w:pPr>
            <w:r>
              <w:t xml:space="preserve">4178</w:t>
            </w:r>
          </w:p>
        </w:tc>
      </w:tr>
      <w:tr>
        <w:tc>
          <w:p>
            <w:pPr>
              <w:pStyle w:val="Compact"/>
              <w:jc w:val="left"/>
            </w:pPr>
            <w:r>
              <w:t xml:space="preserve">See below for an</w:t>
            </w:r>
          </w:p>
        </w:tc>
        <w:tc>
          <w:p>
            <w:pPr>
              <w:pStyle w:val="Compact"/>
              <w:jc w:val="right"/>
            </w:pPr>
            <w:r>
              <w:t xml:space="preserve">example</w:t>
            </w:r>
          </w:p>
        </w:tc>
        <w:tc>
          <w:p>
            <w:pPr>
              <w:pStyle w:val="Compact"/>
            </w:pPr>
          </w:p>
        </w:tc>
        <w:tc>
          <w:p>
            <w:pPr>
              <w:pStyle w:val="Compact"/>
            </w:pPr>
          </w:p>
        </w:tc>
      </w:tr>
      <w:tr>
        <w:tc>
          <w:p>
            <w:pPr>
              <w:pStyle w:val="Compact"/>
              <w:jc w:val="left"/>
            </w:pPr>
            <w:r>
              <w:t xml:space="preserve">of the 8-km grid</w:t>
            </w:r>
          </w:p>
        </w:tc>
        <w:tc>
          <w:p>
            <w:pPr>
              <w:pStyle w:val="Compact"/>
              <w:jc w:val="right"/>
            </w:pPr>
            <w:r>
              <w:t xml:space="preserve">in the Ota</w:t>
            </w:r>
          </w:p>
        </w:tc>
        <w:tc>
          <w:p>
            <w:pPr>
              <w:pStyle w:val="Compact"/>
              <w:jc w:val="right"/>
            </w:pPr>
            <w:r>
              <w:t xml:space="preserve">go Region</w:t>
            </w:r>
          </w:p>
        </w:tc>
        <w:tc>
          <w:p>
            <w:pPr>
              <w:pStyle w:val="Compact"/>
              <w:jc w:val="right"/>
            </w:pPr>
            <w:r>
              <w:t xml:space="preserve">.</w:t>
            </w:r>
          </w:p>
        </w:tc>
      </w:tr>
    </w:tbl>
    <w:p>
      <w:pPr>
        <w:pStyle w:val="FigureWithCaption"/>
      </w:pPr>
      <w:r>
        <w:drawing>
          <wp:inline>
            <wp:extent cx="5334000" cy="5331460"/>
            <wp:effectExtent b="0" l="0" r="0" t="0"/>
            <wp:docPr descr="Otago Region Example of the 8-km grid which yields 574 sites." title="" id="1" name="Picture"/>
            <a:graphic>
              <a:graphicData uri="http://schemas.openxmlformats.org/drawingml/2006/picture">
                <pic:pic>
                  <pic:nvPicPr>
                    <pic:cNvPr descr="images/Tier1Otago.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8-km grid which yields 574 sites.</w:t>
      </w:r>
    </w:p>
    <w:p>
      <w:pPr>
        <w:pStyle w:val="BodyText"/>
      </w:pPr>
      <w:r>
        <w:t xml:space="preserve">Although systematic samples are not very flexible, the 8-km grid is very effective for monitoring biodiversity on a large scale. However, the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States (Washington, Oregon and Alaska) as well as Western Canada. Specifically,</w:t>
      </w:r>
      <w:r>
        <w:t xml:space="preserve"> </w:t>
      </w:r>
      <w:r>
        <w:t xml:space="preserve">the New Zealand Master Sample is a spatially balanced sample with a hierachical order generated using Balanced Acceptance Sampling (BAS)</w:t>
      </w:r>
      <w:r>
        <w:t xml:space="preserve"> </w:t>
      </w:r>
      <w:r>
        <w:t xml:space="preserve">(van Dam-Bates et al., 2018)</w:t>
      </w:r>
      <w:r>
        <w:t xml:space="preserve">. Although spatial spread using BAS is not as good as a systematic sample, it is made up for by being much more flexible. The BAS Master Sample is dense, meaning that there are an infinite number of samples to select</w:t>
      </w:r>
      <w:r>
        <w:t xml:space="preserve"> </w:t>
      </w:r>
      <w:r>
        <w:t xml:space="preserve">within any sub-region in New Zealand. This allows for it to be relevant at any spatial scale. The hiearchicial ordering of the Master Sample is how it helps coordinate monitoring.</w:t>
      </w:r>
      <w:r>
        <w:t xml:space="preserve"> </w:t>
      </w:r>
      <w:r>
        <w:t xml:space="preserve">Sites have a unique ID that matches between different monitoring programmes that have overlapping space and it guarentees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NBMP. In fact, the Master Sample used on PCL explicitly integrates the 8-km grid into any new monitoring programmes.</w:t>
      </w:r>
    </w:p>
    <w:p>
      <w:pPr>
        <w:pStyle w:val="FigureWithCaption"/>
      </w:pPr>
      <w:r>
        <w:drawing>
          <wp:inline>
            <wp:extent cx="5334000" cy="5331460"/>
            <wp:effectExtent b="0" l="0" r="0" t="0"/>
            <wp:docPr descr="Otago Region Example of the Master Sample matching sample size as the 8-km grid." title="" id="1" name="Picture"/>
            <a:graphic>
              <a:graphicData uri="http://schemas.openxmlformats.org/drawingml/2006/picture">
                <pic:pic>
                  <pic:nvPicPr>
                    <pic:cNvPr descr="images/MSOtago.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Master Sample matching sample size as the 8-km grid.</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1"/>
          <w:ilvl w:val="0"/>
        </w:numPr>
      </w:pPr>
      <w:r>
        <w:t xml:space="preserve">To provide unbiased assessment of the SOE based on indicators from the regional council indicator framework.</w:t>
      </w:r>
    </w:p>
    <w:p>
      <w:pPr>
        <w:numPr>
          <w:numId w:val="1001"/>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1"/>
      </w:pPr>
      <w:bookmarkStart w:id="27" w:name="recommended-monitoring-design-for-regional-councils"/>
      <w:bookmarkEnd w:id="27"/>
      <w:r>
        <w:t xml:space="preserve">Recommended monitoring design for regional councils</w:t>
      </w:r>
    </w:p>
    <w:p>
      <w:pPr>
        <w:pStyle w:val="FirstParagraph"/>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Stratification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is made up of a very diverse number of ecosystems.</w:t>
      </w:r>
      <w:r>
        <w:t xml:space="preserve"> </w:t>
      </w:r>
      <w:r>
        <w:t xml:space="preserve">Stratification is a powerful tool to improve precision of a sample by focusing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stratified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once the 8-km grid is deviated from, it removes the explicit integration with</w:t>
      </w:r>
      <w:r>
        <w:t xml:space="preserve"> </w:t>
      </w:r>
      <w:r>
        <w:t xml:space="preserve">DOC's existing national programme, which would be the basis for using systematic sampling over a more modern flexible technique in the first place. Choosing grid size of 4-km and 16-km would allow for the continued integration of the 8-km grid with intensified, or reduced programmes.</w:t>
      </w:r>
    </w:p>
    <w:p>
      <w:pPr>
        <w:pStyle w:val="BodyText"/>
      </w:pPr>
      <w:r>
        <w:t xml:space="preserve">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r>
        <w:t xml:space="preserve"> </w:t>
      </w:r>
      <w:r>
        <w:t xml:space="preserve">Traditional statistical theory recommends that strata should be chosen that are constant through time (e.g. not subject to change). Using forest and non-forest can be an issue when some non-forested areas are recovering habitat and may at some point become defined as forested. The Master Sample is flexible to account for changing ecosystems to choose strata that are efficient but the spatial extent may need to be adapted in the long-term.</w:t>
      </w:r>
    </w:p>
    <w:p>
      <w:pPr>
        <w:pStyle w:val="Heading2"/>
      </w:pPr>
      <w:bookmarkStart w:id="29" w:name="adaptability"/>
      <w:bookmarkEnd w:id="29"/>
      <w:r>
        <w:t xml:space="preserve">Adaptability</w:t>
      </w:r>
    </w:p>
    <w:p>
      <w:pPr>
        <w:pStyle w:val="FirstParagraph"/>
      </w:pPr>
      <w:r>
        <w:t xml:space="preserve">Heterogeneity in ecosystems/landcover means that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National Biodiversity Monitoring Programme has strict rules to relocate sites from the 8-km grid randomly. The Master Sample has an explicit method</w:t>
      </w:r>
      <w:r>
        <w:t xml:space="preserve"> </w:t>
      </w:r>
      <w:r>
        <w:t xml:space="preserve">using the hiearchical ordering to relocate sites that fail to fall onto accessible areas. If a site is rejected, a new site in order is available to replace it</w:t>
      </w:r>
      <w:r>
        <w:t xml:space="preserve"> </w:t>
      </w:r>
      <w:r>
        <w:t xml:space="preserve">maintaining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but identifying that a site is not able to be sampled.</w:t>
      </w:r>
    </w:p>
    <w:p>
      <w:pPr>
        <w:pStyle w:val="BodyText"/>
      </w:pPr>
      <w:r>
        <w:t xml:space="preserve">In the same sense, if a monitoring programme stratifies by forest, pasture, urban and other, then it is possible through new mangement regimes that the pasture is actively managed and moves from pasture to recovering shrub (other) and then finally to forest. These sites may have their own specific programme to monitoring progress of the reforestation. Otherwise, through the hiearchichal ordering of the Master Sample, a new pasture site is established and then depending on the existing sites ordering it is either dropped from the sample or another site in the "other" category is dropped making space for the continued monitoring of this site.</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explicitly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distribute sampling effort, modern methods of generating probability designs with spatial balance add flexibility and</w:t>
      </w:r>
      <w:r>
        <w:t xml:space="preserve"> </w:t>
      </w:r>
      <w:r>
        <w:t xml:space="preserve">to the systematic design and are an overall improvement. The Master Sample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infeasible options.</w:t>
      </w:r>
      <w:r>
        <w:t xml:space="preserve"> </w:t>
      </w:r>
      <w:r>
        <w:t xml:space="preserve">The Master Sample was created with the sole purpose of coordinating monitoring. It covers all terrestrial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infeasible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feasibility,</w:t>
      </w:r>
      <w:r>
        <w:t xml:space="preserve"> </w:t>
      </w:r>
      <w:r>
        <w:t xml:space="preserve">it is an ongoing research project to finalize the best approach for sampling the linear network within a selected Halton Frame.</w:t>
      </w:r>
    </w:p>
    <w:p>
      <w:pPr>
        <w:pStyle w:val="Heading1"/>
      </w:pPr>
      <w:bookmarkStart w:id="34" w:name="case-studies"/>
      <w:bookmarkEnd w:id="34"/>
      <w:r>
        <w:t xml:space="preserve">Case Studies</w:t>
      </w:r>
    </w:p>
    <w:p>
      <w:pPr>
        <w:pStyle w:val="Heading2"/>
      </w:pPr>
      <w:bookmarkStart w:id="35" w:name="southland"/>
      <w:bookmarkEnd w:id="35"/>
      <w:r>
        <w:t xml:space="preserve">Southland</w:t>
      </w:r>
    </w:p>
    <w:p>
      <w:pPr>
        <w:pStyle w:val="FirstParagraph"/>
      </w:pPr>
      <w:r>
        <w:t xml:space="preserve">Comparison of design using grid vs master sample</w:t>
      </w:r>
    </w:p>
    <w:p>
      <w:pPr>
        <w:pStyle w:val="Heading2"/>
      </w:pPr>
      <w:bookmarkStart w:id="36" w:name="hawkes-bay"/>
      <w:bookmarkEnd w:id="36"/>
      <w:r>
        <w:t xml:space="preserve">Hawkes Bay</w:t>
      </w:r>
    </w:p>
    <w:p>
      <w:pPr>
        <w:pStyle w:val="FirstParagraph"/>
      </w:pPr>
      <w:r>
        <w:t xml:space="preserve">SOE monitoring with intensification for management purposes</w:t>
      </w:r>
    </w:p>
    <w:p>
      <w:pPr>
        <w:pStyle w:val="Heading1"/>
      </w:pPr>
      <w:bookmarkStart w:id="37" w:name="references"/>
      <w:bookmarkEnd w:id="37"/>
      <w:r>
        <w:t xml:space="preserve">References</w:t>
      </w:r>
    </w:p>
    <w:p>
      <w:pPr>
        <w:pStyle w:val="Bibliography"/>
      </w:pPr>
      <w:r>
        <w:t xml:space="preserve">Reynolds, J.H., Knutson, M.G., Newman, K.B., Silverman, E.D., Thompson, W.L., 2016. A road map for designing and implementing a biological monitoring program. Environmental Monitoring and Assessment 188, 1–25.</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e0a2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4bd4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4b97a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2018-09-27T20:10:10Z</dcterms:created>
  <dcterms:modified xsi:type="dcterms:W3CDTF">2018-09-27T20:10:10Z</dcterms:modified>
</cp:coreProperties>
</file>