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Regional</w:t>
      </w:r>
      <w:r>
        <w:t xml:space="preserve"> </w:t>
      </w:r>
      <w:r>
        <w:t xml:space="preserve">Council</w:t>
      </w:r>
      <w:r>
        <w:t xml:space="preserve"> </w:t>
      </w:r>
      <w:r>
        <w:t xml:space="preserve">Sample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</w:p>
    <w:p>
      <w:pPr>
        <w:pStyle w:val="Author"/>
      </w:pPr>
      <w:r>
        <w:t xml:space="preserve">Planning,</w:t>
      </w:r>
      <w:r>
        <w:t xml:space="preserve"> </w:t>
      </w: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Reporting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** Ollie to add context here **</w:t>
      </w:r>
    </w:p>
    <w:p>
      <w:pPr>
        <w:pStyle w:val="BodyText"/>
      </w:pPr>
      <w:r>
        <w:t xml:space="preserve">Regional councils are required to report on the State of the Environment (SOE) for the area that is under their management.</w:t>
      </w:r>
    </w:p>
    <w:p>
      <w:pPr>
        <w:pStyle w:val="Compact"/>
        <w:numPr>
          <w:numId w:val="1001"/>
          <w:ilvl w:val="0"/>
        </w:numPr>
      </w:pPr>
      <w:r>
        <w:t xml:space="preserve">Why would Regional Councils monitor biodiversity?</w:t>
      </w:r>
      <w:r>
        <w:t xml:space="preserve"> </w:t>
      </w:r>
      <w:r>
        <w:t xml:space="preserve">They are required to.</w:t>
      </w:r>
      <w:r>
        <w:t xml:space="preserve"> </w:t>
      </w:r>
      <w:r>
        <w:t xml:space="preserve">They need to know for management purposes.</w:t>
      </w:r>
    </w:p>
    <w:p>
      <w:pPr>
        <w:pStyle w:val="FirstParagraph"/>
      </w:pPr>
      <w:r>
        <w:t xml:space="preserve">The Department of Conservation has developed a National Biodiversity Monitoring Programme which monitors terrestrial biodiversity on an</w:t>
      </w:r>
      <w:r>
        <w:t xml:space="preserve"> </w:t>
      </w:r>
      <w:r>
        <w:t xml:space="preserve">8-km grid at over 1,400 sites on Public Conservation Land (PCL). Regional Councils are resoponsible for a significant amount of biodiversity management</w:t>
      </w:r>
      <w:r>
        <w:t xml:space="preserve"> </w:t>
      </w:r>
      <w:r>
        <w:t xml:space="preserve">contiguous with PCL. For this reason, any monitoring that the Councils implement should compliment the existing DOC programme to make inference at the</w:t>
      </w:r>
      <w:r>
        <w:t xml:space="preserve"> </w:t>
      </w:r>
      <w:r>
        <w:t xml:space="preserve">scale of the Regional Council and not off of PCL. Furthermore, as a general principle, monitoring should be well designed and follow standard protocols</w:t>
      </w:r>
      <w:r>
        <w:t xml:space="preserve"> </w:t>
      </w:r>
      <w:r>
        <w:t xml:space="preserve">in order to be successful.</w:t>
      </w:r>
    </w:p>
    <w:p>
      <w:pPr>
        <w:pStyle w:val="BodyText"/>
      </w:pPr>
      <w:r>
        <w:t xml:space="preserve">In order to integrate monitoring between the Regional Councils and DOC we recommend implementing the New Zealand Master Sample</w:t>
      </w:r>
      <w:r>
        <w:t xml:space="preserve"> </w:t>
      </w:r>
      <w:r>
        <w:t xml:space="preserve">(van Dam-Bates et al., 2018)</w:t>
      </w:r>
      <w:r>
        <w:t xml:space="preserve">. This document compares</w:t>
      </w:r>
      <w:r>
        <w:t xml:space="preserve"> </w:t>
      </w:r>
      <w:r>
        <w:t xml:space="preserve">and contrasts the advantages of the Master Sample over adopting the 8-km grid for Regional Councils who manage diverse ecosystems mixed with</w:t>
      </w:r>
      <w:r>
        <w:t xml:space="preserve"> </w:t>
      </w:r>
      <w:r>
        <w:t xml:space="preserve">protected habitats, industry and urban areas. We describe the two designs in the context of the sampling requirements</w:t>
      </w:r>
    </w:p>
    <w:p>
      <w:pPr>
        <w:pStyle w:val="Compact"/>
        <w:numPr>
          <w:numId w:val="1002"/>
          <w:ilvl w:val="0"/>
        </w:numPr>
      </w:pPr>
      <w:r>
        <w:t xml:space="preserve">Stratifcation (Bush, Urban, Pasture)</w:t>
      </w:r>
    </w:p>
    <w:p>
      <w:pPr>
        <w:pStyle w:val="Compact"/>
        <w:numPr>
          <w:numId w:val="1002"/>
          <w:ilvl w:val="0"/>
        </w:numPr>
      </w:pPr>
      <w:r>
        <w:t xml:space="preserve">Multiple Spatial Scales</w:t>
      </w:r>
    </w:p>
    <w:p>
      <w:pPr>
        <w:pStyle w:val="Compact"/>
        <w:numPr>
          <w:numId w:val="1002"/>
          <w:ilvl w:val="0"/>
        </w:numPr>
      </w:pPr>
      <w:r>
        <w:t xml:space="preserve">Adaptability (inaccessible sites, changing resources etc.)</w:t>
      </w:r>
    </w:p>
    <w:p>
      <w:pPr>
        <w:pStyle w:val="Compact"/>
        <w:numPr>
          <w:numId w:val="1002"/>
          <w:ilvl w:val="0"/>
        </w:numPr>
      </w:pPr>
      <w:r>
        <w:t xml:space="preserve">Incorporate legacy monitoring</w:t>
      </w:r>
    </w:p>
    <w:p>
      <w:pPr>
        <w:pStyle w:val="Compact"/>
        <w:numPr>
          <w:numId w:val="1002"/>
          <w:ilvl w:val="0"/>
        </w:numPr>
      </w:pPr>
      <w:r>
        <w:t xml:space="preserve">Coordination between MfE and DOC.</w:t>
      </w:r>
    </w:p>
    <w:p>
      <w:pPr>
        <w:pStyle w:val="Heading1"/>
      </w:pPr>
      <w:bookmarkStart w:id="22" w:name="monitoring-design-definition"/>
      <w:bookmarkEnd w:id="22"/>
      <w:r>
        <w:t xml:space="preserve">Monitoring Design Definition</w:t>
      </w:r>
    </w:p>
    <w:p>
      <w:pPr>
        <w:pStyle w:val="FirstParagraph"/>
      </w:pPr>
      <w:r>
        <w:t xml:space="preserve">** Define Master Sample **</w:t>
      </w:r>
    </w:p>
    <w:p>
      <w:pPr>
        <w:pStyle w:val="BodyText"/>
      </w:pPr>
      <w:r>
        <w:t xml:space="preserve">** Define 8-km grid **</w:t>
      </w:r>
    </w:p>
    <w:p>
      <w:pPr>
        <w:pStyle w:val="Heading1"/>
      </w:pPr>
      <w:bookmarkStart w:id="23" w:name="stratification"/>
      <w:bookmarkEnd w:id="23"/>
      <w:r>
        <w:t xml:space="preserve">Stratification</w:t>
      </w:r>
    </w:p>
    <w:p>
      <w:pPr>
        <w:pStyle w:val="FirstParagraph"/>
      </w:pPr>
      <w:r>
        <w:t xml:space="preserve">Regional Councils are specifically interested in monitoring all non-PCL in their area, which is made up of a very diverse number of ecosystems.</w:t>
      </w:r>
      <w:r>
        <w:t xml:space="preserve"> </w:t>
      </w:r>
      <w:r>
        <w:t xml:space="preserve">Biodiversity and ecological integrity is likely to be low and reasonably constant through time on pasture, while high and dynamic in bush. Urban areas</w:t>
      </w:r>
      <w:r>
        <w:t xml:space="preserve"> </w:t>
      </w:r>
      <w:r>
        <w:t xml:space="preserve">would also be very heterogenous with parks and greenspaces host to many different species while disturbed city areas very low and constant.</w:t>
      </w:r>
      <w:r>
        <w:t xml:space="preserve"> </w:t>
      </w:r>
      <w:r>
        <w:t xml:space="preserve">Any monitoring programme developed would need to stratify over different ecosystem types to efficiently account for this and truly capture the heterogeneity</w:t>
      </w:r>
      <w:r>
        <w:t xml:space="preserve"> </w:t>
      </w:r>
      <w:r>
        <w:t xml:space="preserve">of ecological integrity off of the PCL.</w:t>
      </w:r>
    </w:p>
    <w:p>
      <w:pPr>
        <w:pStyle w:val="Heading1"/>
      </w:pPr>
      <w:bookmarkStart w:id="24" w:name="adaptability"/>
      <w:bookmarkEnd w:id="24"/>
      <w:r>
        <w:t xml:space="preserve">Adaptability</w:t>
      </w:r>
    </w:p>
    <w:p>
      <w:pPr>
        <w:pStyle w:val="FirstParagraph"/>
      </w:pPr>
      <w:r>
        <w:t xml:space="preserve">Heterogeneity in ecosystems also means that there are many sites which may be rejected due to lack of access to private land or the randomly selected site lands</w:t>
      </w:r>
      <w:r>
        <w:t xml:space="preserve"> </w:t>
      </w:r>
      <w:r>
        <w:t xml:space="preserve">directly on top of a building. Objective, statistically robust methods must be set up to allow for establishing sites in feasible areas when the original sample</w:t>
      </w:r>
      <w:r>
        <w:t xml:space="preserve"> </w:t>
      </w:r>
      <w:r>
        <w:t xml:space="preserve">has to be rejected.</w:t>
      </w:r>
    </w:p>
    <w:p>
      <w:pPr>
        <w:pStyle w:val="Heading1"/>
      </w:pPr>
      <w:bookmarkStart w:id="25" w:name="legacy-monitoring"/>
      <w:bookmarkEnd w:id="25"/>
      <w:r>
        <w:t xml:space="preserve">Legacy Monitoring</w:t>
      </w:r>
    </w:p>
    <w:p>
      <w:pPr>
        <w:pStyle w:val="FirstParagraph"/>
      </w:pPr>
      <w:r>
        <w:t xml:space="preserve">Often, there are existing monitoring networks that have historical information and/or are currently monitored. Incorporating these sites into</w:t>
      </w:r>
      <w:r>
        <w:t xml:space="preserve"> </w:t>
      </w:r>
      <w:r>
        <w:t xml:space="preserve">new monitoring programmes improves estimation of trends and can reduce costs if the sites are already resourced. We will cover how to incorporate</w:t>
      </w:r>
      <w:r>
        <w:t xml:space="preserve"> </w:t>
      </w:r>
      <w:r>
        <w:t xml:space="preserve">these types of legacy monitoring sites in both the 8-km grid and Master Sample. We</w:t>
      </w:r>
    </w:p>
    <w:p>
      <w:pPr>
        <w:pStyle w:val="Heading1"/>
      </w:pPr>
      <w:bookmarkStart w:id="26" w:name="adaptability-1"/>
      <w:bookmarkEnd w:id="26"/>
      <w:r>
        <w:t xml:space="preserve">Adaptability</w:t>
      </w:r>
    </w:p>
    <w:p>
      <w:pPr>
        <w:pStyle w:val="Compact"/>
        <w:numPr>
          <w:numId w:val="1003"/>
          <w:ilvl w:val="0"/>
        </w:numPr>
      </w:pPr>
      <w:r>
        <w:t xml:space="preserve">Site rejection etc</w:t>
      </w:r>
    </w:p>
    <w:p>
      <w:pPr>
        <w:pStyle w:val="Compact"/>
        <w:numPr>
          <w:numId w:val="1003"/>
          <w:ilvl w:val="0"/>
        </w:numPr>
      </w:pPr>
      <w:r>
        <w:t xml:space="preserve">Sampling rotation flexibility (temporal sampling flexibility).</w:t>
      </w:r>
    </w:p>
    <w:p>
      <w:pPr>
        <w:pStyle w:val="Heading1"/>
      </w:pPr>
      <w:bookmarkStart w:id="27" w:name="spatial-scales"/>
      <w:bookmarkEnd w:id="27"/>
      <w:r>
        <w:t xml:space="preserve">Spatial Scales</w:t>
      </w:r>
    </w:p>
    <w:p>
      <w:pPr>
        <w:pStyle w:val="Compact"/>
        <w:numPr>
          <w:numId w:val="1004"/>
          <w:ilvl w:val="0"/>
        </w:numPr>
      </w:pPr>
      <w:r>
        <w:t xml:space="preserve">Scale to difference spatial levels (can do local monitoring for South Auckland/Wairapa and contribute to the region/national scale).</w:t>
      </w:r>
    </w:p>
    <w:p>
      <w:pPr>
        <w:pStyle w:val="Heading1"/>
      </w:pPr>
      <w:bookmarkStart w:id="28" w:name="coordination"/>
      <w:bookmarkEnd w:id="28"/>
      <w:r>
        <w:t xml:space="preserve">Coordination</w:t>
      </w:r>
    </w:p>
    <w:p>
      <w:pPr>
        <w:pStyle w:val="Heading1"/>
      </w:pPr>
      <w:bookmarkStart w:id="29" w:name="conclusions"/>
      <w:bookmarkEnd w:id="29"/>
      <w:r>
        <w:t xml:space="preserve">Conclusions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Bibliography"/>
      </w:pPr>
      <w:r>
        <w:t xml:space="preserve">van Dam-Bates, P., Gansell, O., Robertson, B., 2018. Using balanced acceptance sampling as a master sample for environmental surveys. Methods in Ecology and Evolution.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b4bf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a8f6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0458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Regional Council Sample Design</dc:title>
  <dc:creator>Planning, Monitoring and Reporting</dc:creator>
  <dcterms:created xsi:type="dcterms:W3CDTF">2018-09-12T16:33:19Z</dcterms:created>
  <dcterms:modified xsi:type="dcterms:W3CDTF">2018-09-12T16:33:19Z</dcterms:modified>
</cp:coreProperties>
</file>