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September</w:t>
      </w:r>
      <w:r>
        <w:t xml:space="preserve"> </w:t>
      </w:r>
      <w:r>
        <w:t xml:space="preserve">2018</w:t>
      </w:r>
    </w:p>
    <w:p>
      <w:pPr>
        <w:pStyle w:val="Heading1"/>
      </w:pPr>
      <w:bookmarkStart w:id="21" w:name="introduction"/>
      <w:bookmarkEnd w:id="21"/>
      <w:r>
        <w:t xml:space="preserve">Introduction</w:t>
      </w:r>
    </w:p>
    <w:p>
      <w:pPr>
        <w:pStyle w:val="FirstParagraph"/>
      </w:pPr>
      <w:r>
        <w:rPr>
          <w:b/>
        </w:rPr>
        <w:t xml:space="preserve">Ollie to add context here</w:t>
      </w:r>
    </w:p>
    <w:p>
      <w:pPr>
        <w:pStyle w:val="BodyText"/>
      </w:pPr>
      <w:r>
        <w:t xml:space="preserve">Regional councils are required to report on the State of the Environment (SOE) for the area that is under their management.</w:t>
      </w:r>
    </w:p>
    <w:p>
      <w:pPr>
        <w:pStyle w:val="Compact"/>
        <w:numPr>
          <w:numId w:val="1001"/>
          <w:ilvl w:val="0"/>
        </w:numPr>
      </w:pPr>
      <w:r>
        <w:t xml:space="preserve">Why would Regional Councils monitor biodiversity?</w:t>
      </w:r>
      <w:r>
        <w:t xml:space="preserve"> </w:t>
      </w:r>
      <w:r>
        <w:t xml:space="preserve">They are required to.</w:t>
      </w:r>
      <w:r>
        <w:t xml:space="preserve"> </w:t>
      </w:r>
      <w:r>
        <w:t xml:space="preserve">They need to know for management purposes.</w:t>
      </w:r>
    </w:p>
    <w:p>
      <w:pPr>
        <w:pStyle w:val="FirstParagraph"/>
      </w:pPr>
      <w:r>
        <w:t xml:space="preserve">The Department of Conservation has developed a National Biodiversity Monitoring Programme which monitors terrestrial biodiversity on an</w:t>
      </w:r>
      <w:r>
        <w:t xml:space="preserve"> </w:t>
      </w:r>
      <w:r>
        <w:t xml:space="preserve">8-km grid at over 1,400 sites on Public Conservation Land (PCL). Regional Councils are resoponsible for a significant amount of biodiversity management</w:t>
      </w:r>
      <w:r>
        <w:t xml:space="preserve"> </w:t>
      </w:r>
      <w:r>
        <w:t xml:space="preserve">contiguous with PCL. For this reason, any monitoring that the Councils implement should compliment the existing DOC programme to make inference at the</w:t>
      </w:r>
      <w:r>
        <w:t xml:space="preserve"> </w:t>
      </w:r>
      <w:r>
        <w:t xml:space="preserve">scale of the Regional Council and not off of PCL. Furthermore, as a general principle, monitoring should be well designed and follow standard protocols</w:t>
      </w:r>
      <w:r>
        <w:t xml:space="preserve"> </w:t>
      </w:r>
      <w:r>
        <w:t xml:space="preserve">in order to be successful.</w:t>
      </w:r>
    </w:p>
    <w:p>
      <w:pPr>
        <w:pStyle w:val="BodyText"/>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1"/>
      </w:pPr>
      <w:bookmarkStart w:id="22" w:name="monitoring-design-definition"/>
      <w:bookmarkEnd w:id="22"/>
      <w:r>
        <w:t xml:space="preserve">Monitoring Design Definition</w:t>
      </w:r>
    </w:p>
    <w:p>
      <w:pPr>
        <w:pStyle w:val="FirstParagraph"/>
      </w:pPr>
      <w:r>
        <w:t xml:space="preserve">The National Biodiversity Monitoring Programme is a systematic sample spread across New Zealand on an 8-km grid with a random start. Systematic sampling is area proportional</w:t>
      </w:r>
      <w:r>
        <w:t xml:space="preserve"> </w:t>
      </w:r>
      <w:r>
        <w:t xml:space="preserve">that ensures sites are well spread across space. For sampling large regular areas, such as PCL or monitoring carbon in forests,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w:t>
      </w:r>
      <w:r>
        <w:t xml:space="preserve"> </w:t>
      </w:r>
      <w:r>
        <w:t xml:space="preserve">the grid, the sampling can be biased. Sample size is selected by choosing the grid size which is why systematic sampling can be inflexible. If half the sample is required, then a grid may</w:t>
      </w:r>
      <w:r>
        <w:t xml:space="preserve"> </w:t>
      </w:r>
      <w:r>
        <w:t xml:space="preserve">be changed from 8-km to 16-km. There are roughly 1,400 sites on the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varibility over short-term trends. The programme captures long-term trends in</w:t>
      </w:r>
      <w:r>
        <w:t xml:space="preserve"> </w:t>
      </w:r>
      <w:r>
        <w:t xml:space="preserve">ecological integrity through repeated sampling every 5-years. The 8-km grid exists across all of New Zealand and can be extended to Regional Council land, for example Greater Wellington Regional Council.</w:t>
      </w:r>
      <w:r>
        <w:t xml:space="preserve"> </w:t>
      </w:r>
      <w:r>
        <w:t xml:space="preserve">Although systematic samples are not very flexible, the 8-km grid is very effective for monitoring biodiversity on a large scale. See below for an example</w:t>
      </w:r>
      <w:r>
        <w:t xml:space="preserve"> </w:t>
      </w:r>
      <w:r>
        <w:t xml:space="preserve">of the 8-km grid in the Otago Region.</w:t>
      </w:r>
    </w:p>
    <w:p>
      <w:pPr>
        <w:pStyle w:val="FigureWithCaption"/>
      </w:pPr>
      <w:r>
        <w:drawing>
          <wp:inline>
            <wp:extent cx="5334000" cy="5331460"/>
            <wp:effectExtent b="0" l="0" r="0" t="0"/>
            <wp:docPr descr="Otago Region Example of the 8-km grid which yields 574 sites." title="" id="1" name="Picture"/>
            <a:graphic>
              <a:graphicData uri="http://schemas.openxmlformats.org/drawingml/2006/picture">
                <pic:pic>
                  <pic:nvPicPr>
                    <pic:cNvPr descr="images/Tier1Otago.png" id="0" name="Picture"/>
                    <pic:cNvPicPr>
                      <a:picLocks noChangeArrowheads="1" noChangeAspect="1"/>
                    </pic:cNvPicPr>
                  </pic:nvPicPr>
                  <pic:blipFill>
                    <a:blip r:embed="rId23"/>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8-km grid which yields 574 sites.</w:t>
      </w:r>
    </w:p>
    <w:p>
      <w:pPr>
        <w:pStyle w:val="BodyText"/>
      </w:pPr>
      <w:r>
        <w:t xml:space="preserve">Recently DOC has designed a Tier 2 national level monitoring for management effectiveness programme based on what is known as a Master Sample. A Master</w:t>
      </w:r>
      <w:r>
        <w:t xml:space="preserve"> </w:t>
      </w:r>
      <w:r>
        <w:t xml:space="preserve">Sample simply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hiearchicial ordering of the Master Sample is how it helps coordinate monitoring.</w:t>
      </w:r>
      <w:r>
        <w:t xml:space="preserve"> </w:t>
      </w:r>
      <w:r>
        <w:t xml:space="preserve">Sites have a unique ID that matches between different monitoring programmes that have overlapping space and it guarentees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FigureWithCaption"/>
      </w:pPr>
      <w:r>
        <w:drawing>
          <wp:inline>
            <wp:extent cx="5334000" cy="5331460"/>
            <wp:effectExtent b="0" l="0" r="0" t="0"/>
            <wp:docPr descr="Otago Region Example of the Master Sample matching sample size as the 8-km grid." title="" id="1" name="Picture"/>
            <a:graphic>
              <a:graphicData uri="http://schemas.openxmlformats.org/drawingml/2006/picture">
                <pic:pic>
                  <pic:nvPicPr>
                    <pic:cNvPr descr="images/MSOtago.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Master Sample matching sample size as the 8-km grid.</w:t>
      </w:r>
    </w:p>
    <w:p>
      <w:pPr>
        <w:pStyle w:val="Heading1"/>
      </w:pPr>
      <w:bookmarkStart w:id="25" w:name="stratification"/>
      <w:bookmarkEnd w:id="25"/>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p>
    <w:p>
      <w:pPr>
        <w:pStyle w:val="Heading1"/>
      </w:pPr>
      <w:bookmarkStart w:id="26" w:name="adaptability"/>
      <w:bookmarkEnd w:id="26"/>
      <w:r>
        <w:t xml:space="preserve">Adaptability</w:t>
      </w:r>
    </w:p>
    <w:p>
      <w:pPr>
        <w:pStyle w:val="FirstParagraph"/>
      </w:pPr>
      <w:r>
        <w:t xml:space="preserve">Heterogeneity in ecosystems also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in the design to relocate sites that fail to fall onto accesible areas. Due to the hiearchcical ordering, if a site is rejected, a new site in order is available to replace it</w:t>
      </w:r>
      <w:r>
        <w:t xml:space="preserve"> </w:t>
      </w:r>
      <w:r>
        <w:t xml:space="preserve">mainting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Heading1"/>
      </w:pPr>
      <w:bookmarkStart w:id="27" w:name="legacy-monitoring"/>
      <w:bookmarkEnd w:id="27"/>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1"/>
      </w:pPr>
      <w:bookmarkStart w:id="28" w:name="spatial-scales"/>
      <w:bookmarkEnd w:id="28"/>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monitroing program and would then simply be a systematic sample.</w:t>
      </w:r>
      <w:r>
        <w:t xml:space="preserve"> </w:t>
      </w:r>
      <w:r>
        <w:t xml:space="preserve">Although systematic sampling is an effective way to distribute sampling effort, modern methods of generating probability designs with spatial balance add flexilbity and</w:t>
      </w:r>
      <w:r>
        <w:t xml:space="preserve"> </w:t>
      </w:r>
      <w:r>
        <w:t xml:space="preserve">to the systematic disign and are an overall improvement. The Master Sample is able to integrate with the different spatial scales of a monitoring programme making use of the</w:t>
      </w:r>
      <w:r>
        <w:t xml:space="preserve"> </w:t>
      </w:r>
      <w:r>
        <w:t xml:space="preserve">fact that it is dense (infinite sites at any scale) and has a hiearchical ordering to ensure that sites selected at the larger scale are matched with the localized monitroing</w:t>
      </w:r>
      <w:r>
        <w:t xml:space="preserve"> </w:t>
      </w:r>
      <w:r>
        <w:t xml:space="preserve">reducing overall effort at the different spatial sacles.</w:t>
      </w:r>
    </w:p>
    <w:p>
      <w:pPr>
        <w:pStyle w:val="Heading1"/>
      </w:pPr>
      <w:bookmarkStart w:id="29" w:name="coordination"/>
      <w:bookmarkEnd w:id="29"/>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terrerestrial habitats in New Zealand and</w:t>
      </w:r>
    </w:p>
    <w:p>
      <w:pPr>
        <w:pStyle w:val="Heading1"/>
      </w:pPr>
      <w:bookmarkStart w:id="30" w:name="conclusions"/>
      <w:bookmarkEnd w:id="30"/>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feasiblity,</w:t>
      </w:r>
      <w:r>
        <w:t xml:space="preserve"> </w:t>
      </w:r>
      <w:r>
        <w:t xml:space="preserve">it is an ongoing research project to finalize the best approach for sampling the linear network within a selected Halton Frame.</w:t>
      </w:r>
    </w:p>
    <w:p>
      <w:pPr>
        <w:pStyle w:val="Heading1"/>
      </w:pPr>
      <w:bookmarkStart w:id="31" w:name="references"/>
      <w:bookmarkEnd w:id="31"/>
      <w:r>
        <w:t xml:space="preserve">References</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5dca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b673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3330f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2018-09-13T18:57:29Z</dcterms:created>
  <dcterms:modified xsi:type="dcterms:W3CDTF">2018-09-13T18:57:29Z</dcterms:modified>
</cp:coreProperties>
</file>