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B2545"/>
          <w:sz w:val="48"/>
        </w:rPr>
        <w:t>Project Lighthouse｜协作流程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573"/>
          <w:sz w:val="25"/>
        </w:rPr>
        <w:t>从草稿到可用内容的五步检查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文档类型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Demo 3 Knowledge 3/4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使用边界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仅用于 Copilot 培训演示；全部信息均为虚构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00"/>
        <w:gridCol w:w="1900"/>
        <w:gridCol w:w="3380"/>
        <w:gridCol w:w="338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步骤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要做什么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通过条件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Draft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依据已知材料形成草稿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草稿不得被描述为已批准内容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Source Check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逐条核对事实和来源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无来源内容删除或标记未确认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Content Approval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由对应 Owner 批准内容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政策问题由 Policy Owner 批准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Localization &amp; Readiness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完成本地化、截图和依赖检查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风险与缺失明确记录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Publish / Pilot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按批准范围执行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Agent 不能替团队发送或发布</w:t>
            </w:r>
          </w:p>
        </w:tc>
      </w:tr>
    </w:tbl>
    <w:p>
      <w:pPr>
        <w:pStyle w:val="Heading1"/>
      </w:pPr>
      <w:r>
        <w:t>回答格式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必须包含：</w:t>
      </w:r>
      <w:r>
        <w:rPr>
          <w:rFonts w:ascii="PingFang SC" w:hAnsi="PingFang SC" w:eastAsia="PingFang SC"/>
          <w:b w:val="0"/>
          <w:color w:val="0B2545"/>
          <w:sz w:val="22"/>
        </w:rPr>
        <w:t>简短答案、来源文件、适用范围、当前状态、下一步联系人。</w:t>
      </w:r>
    </w:p>
    <w:p>
      <w:pPr>
        <w:spacing w:after="120"/>
      </w:pPr>
      <w:r>
        <w:rPr>
          <w:rFonts w:ascii="PingFang SC" w:hAnsi="PingFang SC" w:eastAsia="PingFang SC"/>
          <w:b/>
          <w:color w:val="C2410C"/>
          <w:sz w:val="22"/>
        </w:rPr>
        <w:t>遇到冲突：</w:t>
      </w:r>
      <w:r>
        <w:rPr>
          <w:rFonts w:ascii="PingFang SC" w:hAnsi="PingFang SC" w:eastAsia="PingFang SC"/>
          <w:b w:val="0"/>
          <w:color w:val="0B2545"/>
          <w:sz w:val="22"/>
        </w:rPr>
        <w:t>明确写“存在冲突，当前无法确认”，不得选择更像正确答案的一方。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5B6573"/>
        <w:sz w:val="17"/>
      </w:rPr>
      <w:t xml:space="preserve">虚构培训材料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5B6573"/>
        <w:sz w:val="17"/>
      </w:rPr>
      <w:t>PROJECT LIGHTHOUSE  |  APPROVED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