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Opt-Out Vocabulary</w:t>
      </w:r>
    </w:p>
    <w:p>
      <w:pPr>
        <w:pStyle w:val="Author"/>
      </w:pPr>
      <w:r>
        <w:t xml:space="preserve">Leonard</w:t>
      </w:r>
      <w:r>
        <w:t xml:space="preserve"> </w:t>
      </w:r>
      <w:r>
        <w:t xml:space="preserve">Rosenthol lrosenth@adobe.com</w:t>
      </w:r>
    </w:p>
    <w:p>
      <w:pPr>
        <w:pStyle w:val="Date"/>
      </w:pPr>
      <w:r>
        <w:t xml:space="preserve">2024-07-12</w:t>
      </w:r>
    </w:p>
    <w:bookmarkStart w:id="20" w:name="X1d2f06a33f1c745f6237d7baddc129bc7733bc7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document describes a proposed Opt-Out Vocabulary that can be used by various methods - be they location-based or unit-based - to describe whether one or more assets may be used as part of a data mining or AI/ML training workflow.</w:t>
      </w:r>
    </w:p>
    <w:bookmarkEnd w:id="20"/>
    <w:bookmarkStart w:id="22" w:name="Xf17c8383fae2ebb7cd7431905910c5a97b905d8"/>
    <w:p>
      <w:pPr>
        <w:pStyle w:val="Heading1"/>
      </w:pPr>
      <w:r>
        <w:t xml:space="preserve">Terms and Definitions</w:t>
      </w:r>
    </w:p>
    <w:p>
      <w:pPr>
        <w:pStyle w:val="DefinitionTerm"/>
      </w:pPr>
      <w:r>
        <w:t xml:space="preserve">Rightsholder</w:t>
      </w:r>
    </w:p>
    <w:p>
      <w:pPr>
        <w:pStyle w:val="Definition"/>
      </w:pPr>
      <w:r>
        <w:t xml:space="preserve">Person or organization that owns the legal rights to something. See</w:t>
      </w:r>
      <w:r>
        <w:t xml:space="preserve"> </w:t>
      </w:r>
      <w:hyperlink r:id="rId21">
        <w:r>
          <w:rPr>
            <w:rStyle w:val="Hyperlink"/>
          </w:rPr>
          <w:t xml:space="preserve">Wiktionary</w:t>
        </w:r>
      </w:hyperlink>
      <w:r>
        <w:t xml:space="preserve">.</w:t>
      </w:r>
    </w:p>
    <w:bookmarkEnd w:id="22"/>
    <w:bookmarkStart w:id="23" w:name="Xf4fa1163f08802d9bf05a10b8c0b95d920caa85"/>
    <w:p>
      <w:pPr>
        <w:pStyle w:val="Heading1"/>
      </w:pPr>
      <w:r>
        <w:t xml:space="preserve">Use Cases</w:t>
      </w:r>
    </w:p>
    <w:bookmarkEnd w:id="23"/>
    <w:bookmarkStart w:id="28" w:name="Xab5428ed662c196d1bae4a20903b3eaaa44054c"/>
    <w:p>
      <w:pPr>
        <w:pStyle w:val="Heading1"/>
      </w:pPr>
      <w:r>
        <w:t xml:space="preserve">Proposed Vocabulary</w:t>
      </w:r>
    </w:p>
    <w:bookmarkStart w:id="25" w:name="X9997494c92a3658c993b6878169d3e63432c38d"/>
    <w:p>
      <w:pPr>
        <w:pStyle w:val="Heading2"/>
      </w:pPr>
      <w:r>
        <w:t xml:space="preserve">Categories</w:t>
      </w:r>
    </w:p>
    <w:p>
      <w:pPr>
        <w:pStyle w:val="FirstParagraph"/>
      </w:pPr>
      <w:r>
        <w:t xml:space="preserve">The following categories are proposed for use in the Opt-Out Vocabulary, based on the set of use cases identified in the previous section:</w:t>
      </w:r>
    </w:p>
    <w:p>
      <w:pPr>
        <w:pStyle w:val="DefinitionTerm"/>
      </w:pPr>
      <w:r>
        <w:t xml:space="preserve">TDM</w:t>
      </w:r>
    </w:p>
    <w:p>
      <w:pPr>
        <w:pStyle w:val="Definition"/>
      </w:pPr>
      <w:r>
        <w:t xml:space="preserve">Text and Data Mining. The</w:t>
      </w:r>
      <w:r>
        <w:t xml:space="preserve"> </w:t>
      </w:r>
      <w:hyperlink r:id="rId24">
        <w:r>
          <w:rPr>
            <w:rStyle w:val="Hyperlink"/>
          </w:rPr>
          <w:t xml:space="preserve">Copyright in the Digital Single Market (CDSM) Directive</w:t>
        </w:r>
      </w:hyperlink>
      <w:r>
        <w:t xml:space="preserve"> </w:t>
      </w:r>
      <w:r>
        <w:t xml:space="preserve">defines TDM as "any automated analytical technique aiming to analyse text and data in digital form to generate information such as patterns, trends and correlations" (Article 2.2).</w:t>
      </w:r>
    </w:p>
    <w:p>
      <w:pPr>
        <w:pStyle w:val="DefinitionTerm"/>
      </w:pPr>
      <w:r>
        <w:t xml:space="preserve">Search</w:t>
      </w:r>
    </w:p>
    <w:p>
      <w:pPr>
        <w:pStyle w:val="Definition"/>
      </w:pPr>
      <w:r>
        <w:t xml:space="preserve">The act of indexing the content (and/or metadata) of assets for the purpose of retrieval.</w:t>
      </w:r>
    </w:p>
    <w:p>
      <w:pPr>
        <w:pStyle w:val="DefinitionTerm"/>
      </w:pPr>
      <w:r>
        <w:t xml:space="preserve">AI Training</w:t>
      </w:r>
    </w:p>
    <w:p>
      <w:pPr>
        <w:pStyle w:val="Definition"/>
      </w:pPr>
      <w:r>
        <w:t xml:space="preserve">The act of training an AI/ML (Artificial Intelligence/Machine Learning) model using one or more assets as input. This can include training for classification, object detection, as well as generative AI.</w:t>
      </w:r>
    </w:p>
    <w:p>
      <w:pPr>
        <w:pStyle w:val="DefinitionTerm"/>
      </w:pPr>
      <w:r>
        <w:t xml:space="preserve">Generative AI Training</w:t>
      </w:r>
    </w:p>
    <w:p>
      <w:pPr>
        <w:pStyle w:val="Definition"/>
      </w:pPr>
      <w:r>
        <w:t xml:space="preserve">A form of</w:t>
      </w:r>
      <w:r>
        <w:t xml:space="preserve"> </w:t>
      </w:r>
      <w:r>
        <w:rPr>
          <w:rStyle w:val="VerbatimChar"/>
        </w:rPr>
        <w:t xml:space="preserve">AI Training</w:t>
      </w:r>
      <w:r>
        <w:t xml:space="preserve"> </w:t>
      </w:r>
      <w:r>
        <w:t xml:space="preserve">where the AI/ML model being trained can generate new assets based on the training data.</w:t>
      </w:r>
    </w:p>
    <w:p>
      <w:pPr>
        <w:pStyle w:val="FirstParagraph"/>
      </w:pPr>
      <w:r>
        <w:t xml:space="preserve">In addition to the pre-defined categories, it is also expected that some systems may extend this list with additional categories for their particular needs.</w:t>
      </w:r>
    </w:p>
    <w:bookmarkEnd w:id="25"/>
    <w:bookmarkStart w:id="27" w:name="X2034506c709ed1664be96de22e96fc1d78c0eda"/>
    <w:p>
      <w:pPr>
        <w:pStyle w:val="Heading2"/>
      </w:pPr>
      <w:r>
        <w:t xml:space="preserve">Relationship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TDM</w:t>
      </w:r>
      <w:r>
        <w:t xml:space="preserve"> </w:t>
      </w:r>
      <w:r>
        <w:t xml:space="preserve">category is the overarching category that includes all of the others. This is because all of those other activities are considered to be forms of TDM. As such, if a rightsholder opts out of TDM, they are opting out of all of the other categories as well.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AI Training</w:t>
      </w:r>
      <w:r>
        <w:t xml:space="preserve"> </w:t>
      </w:r>
      <w:r>
        <w:t xml:space="preserve">category includes</w:t>
      </w:r>
      <w:r>
        <w:t xml:space="preserve"> </w:t>
      </w:r>
      <w:r>
        <w:rPr>
          <w:rStyle w:val="VerbatimChar"/>
        </w:rPr>
        <w:t xml:space="preserve">Generative AI Training</w:t>
      </w:r>
      <w:r>
        <w:t xml:space="preserve"> </w:t>
      </w:r>
      <w:r>
        <w:t xml:space="preserve">as well as other forms of AI training. This is because all generative AI training is a form of AI training, but not all AI training is generative.</w:t>
      </w:r>
    </w:p>
    <w:p>
      <w:pPr>
        <w:pStyle w:val="BodyText"/>
      </w:pPr>
      <w:hyperlink w:anchor="categories-diagram">
        <w:r>
          <w:rPr>
            <w:rStyle w:val="Hyperlink"/>
          </w:rPr>
          <w:t xml:space="preserve">The figure below</w:t>
        </w:r>
      </w:hyperlink>
      <w:r>
        <w:t xml:space="preserve"> </w:t>
      </w:r>
      <w:r>
        <w:t xml:space="preserve">shows the relationship between the categories.</w:t>
      </w:r>
    </w:p>
    <w:bookmarkStart w:id="26" w:name="categories.diagram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Example diagram showing the relationship between the categories</w:t>
            </w:r>
          </w:p>
        </w:tc>
      </w:tr>
    </w:tbl>
    <w:p>
      <w:pPr>
        <w:pStyle w:val="ImageCaption"/>
      </w:pPr>
      <w:r>
        <w:t xml:space="preserve">Relationship between the categories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tionary.org/wiki/rightsholder" TargetMode="External" /><Relationship Type="http://schemas.openxmlformats.org/officeDocument/2006/relationships/hyperlink" Id="rId24" Target="https://eur-lex.europa.eu/legal-content/EN/TXT/HTML/?uri=CELEX:32019L0790&amp;from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tionary.org/wiki/rightsholder" TargetMode="External" /><Relationship Type="http://schemas.openxmlformats.org/officeDocument/2006/relationships/hyperlink" Id="rId24" Target="https://eur-lex.europa.eu/legal-content/EN/TXT/HTML/?uri=CELEX:32019L0790&amp;from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Opt-Out Vocabulary</dc:title>
  <dc:creator>Leonard Rosenthol lrosenth@adobe.com</dc:creator>
  <cp:keywords/>
  <dcterms:created xsi:type="dcterms:W3CDTF">2024-07-12T01:02:18Z</dcterms:created>
  <dcterms:modified xsi:type="dcterms:W3CDTF">2024-07-12T01:02:18Z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2024-07-12</vt:lpwstr>
  </property>
</Properties>
</file>