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hdphoto4.wdp" ContentType="image/vnd.ms-photo"/>
  <Override PartName="/word/media/image14.png" ContentType="image/png"/>
  <Override PartName="/word/media/image21.png" ContentType="image/png"/>
  <Override PartName="/word/media/image10.png" ContentType="image/png"/>
  <Override PartName="/word/media/image6.png" ContentType="image/png"/>
  <Override PartName="/word/media/image29.png" ContentType="image/png"/>
  <Override PartName="/word/media/image7.png" ContentType="image/png"/>
  <Override PartName="/word/media/image11.png" ContentType="image/png"/>
  <Override PartName="/word/media/hdphoto1.wdp" ContentType="image/vnd.ms-photo"/>
  <Override PartName="/word/media/image16.png" ContentType="image/png"/>
  <Override PartName="/word/media/image8.png" ContentType="image/png"/>
  <Override PartName="/word/media/image9.png" ContentType="image/png"/>
  <Override PartName="/word/media/image26.png" ContentType="image/png"/>
  <Override PartName="/word/media/image3.png" ContentType="image/png"/>
  <Override PartName="/word/media/image27.png" ContentType="image/png"/>
  <Override PartName="/word/media/image4.png" ContentType="image/png"/>
  <Override PartName="/word/media/image28.png" ContentType="image/png"/>
  <Override PartName="/word/media/image30.png" ContentType="image/png"/>
  <Override PartName="/word/media/image5.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2.png" ContentType="image/png"/>
  <Override PartName="/word/media/hdphoto2.wdp" ContentType="image/vnd.ms-photo"/>
  <Override PartName="/word/media/image17.png" ContentType="image/png"/>
  <Override PartName="/word/media/image15.png" ContentType="image/png"/>
  <Override PartName="/word/media/image18.png" ContentType="image/png"/>
  <Override PartName="/word/media/image20.png" ContentType="image/png"/>
  <Override PartName="/word/media/hdphoto3.wdp" ContentType="image/vnd.ms-photo"/>
  <Override PartName="/word/media/image13.png" ContentType="image/png"/>
  <Override PartName="/word/media/image1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lang w:val="en-US"/>
        </w:rPr>
      </w:pPr>
      <w:r>
        <w:rPr>
          <w:lang w:val="en-US"/>
        </w:rPr>
      </w:r>
      <w:bookmarkStart w:id="0" w:name="_Hlk116136430"/>
      <w:bookmarkStart w:id="1" w:name="_Hlk116136430"/>
      <w:bookmarkEnd w:id="1"/>
    </w:p>
    <w:p>
      <w:pPr>
        <w:sectPr>
          <w:headerReference w:type="default" r:id="rId2"/>
          <w:footerReference w:type="default" r:id="rId3"/>
          <w:type w:val="nextPage"/>
          <w:pgSz w:w="11906" w:h="16838"/>
          <w:pgMar w:left="1418" w:right="1418" w:header="709" w:top="1701" w:footer="340" w:bottom="1701" w:gutter="0"/>
          <w:pgNumType w:start="21" w:fmt="decimal"/>
          <w:formProt w:val="false"/>
          <w:textDirection w:val="lrTb"/>
          <w:docGrid w:type="default" w:linePitch="360" w:charSpace="4096"/>
        </w:sectPr>
      </w:pPr>
    </w:p>
    <w:p>
      <w:pPr>
        <w:pStyle w:val="Normal"/>
        <w:spacing w:lineRule="auto" w:line="240" w:before="0" w:after="0"/>
        <w:ind w:left="-567" w:right="-540" w:hanging="0"/>
        <w:jc w:val="both"/>
        <w:rPr>
          <w:rFonts w:ascii="Charter BT" w:hAnsi="Charter BT"/>
          <w:bCs/>
          <w:color w:val="000000"/>
          <w:lang w:val="en-US"/>
        </w:rPr>
      </w:pPr>
      <w:r>
        <w:rPr>
          <w:rFonts w:ascii="Franklin Gothic Demi" w:hAnsi="Franklin Gothic Demi"/>
          <w:bCs/>
          <w:color w:val="000000"/>
          <w:sz w:val="36"/>
          <w:szCs w:val="36"/>
          <w:lang w:val="en-US"/>
        </w:rPr>
        <w:t>PCA statistical method for classification of HIV HCV sensors</w:t>
      </w:r>
    </w:p>
    <w:p>
      <w:pPr>
        <w:pStyle w:val="Normal"/>
        <w:spacing w:lineRule="auto" w:line="240" w:before="0" w:after="0"/>
        <w:ind w:left="-567" w:right="-569" w:hanging="0"/>
        <w:rPr>
          <w:rFonts w:ascii="Times New Roman" w:hAnsi="Times New Roman"/>
          <w:bCs/>
          <w:color w:val="000000"/>
          <w:lang w:val="en-US"/>
        </w:rPr>
      </w:pPr>
      <w:r>
        <w:rPr>
          <w:rFonts w:ascii="Times New Roman" w:hAnsi="Times New Roman"/>
          <w:bCs/>
          <w:color w:val="000000"/>
          <w:lang w:val="en-US"/>
        </w:rPr>
      </w:r>
    </w:p>
    <w:p>
      <w:pPr>
        <w:pStyle w:val="Normal"/>
        <w:spacing w:lineRule="auto" w:line="240" w:before="0" w:after="0"/>
        <w:ind w:left="-567" w:right="-569" w:hanging="0"/>
        <w:jc w:val="both"/>
        <w:rPr>
          <w:rFonts w:ascii="Times New Roman" w:hAnsi="Times New Roman"/>
          <w:iCs/>
          <w:color w:val="000000"/>
          <w:sz w:val="20"/>
          <w:szCs w:val="20"/>
          <w:lang w:val="en-US"/>
        </w:rPr>
      </w:pPr>
      <w:r>
        <w:rPr>
          <w:rFonts w:ascii="Times New Roman" w:hAnsi="Times New Roman"/>
          <w:b/>
          <w:color w:val="000000"/>
          <w:lang w:val="en-US"/>
        </w:rPr>
        <w:t xml:space="preserve">ABSTRACT: </w:t>
      </w:r>
      <w:r>
        <w:rPr>
          <w:rFonts w:ascii="Times New Roman" w:hAnsi="Times New Roman"/>
          <w:iCs/>
          <w:color w:val="000000"/>
          <w:sz w:val="20"/>
          <w:szCs w:val="20"/>
          <w:lang w:val="en-US"/>
        </w:rPr>
        <w:t>Many of the global population suffer from infectious diseases, so studies in the health area aimed at identifying these diseases are critical. Rapid detection tests are essential for disease control and eradication. Some diseases have a long immunological window, where antibodies take a long time to be identified. A possible identification and classification method uses the statistical analysis performed by the PCA (Principal Components Analysis), through which we can reduce the number of variables and identify the presence of these antibodies. This article aims to classify immunosensors according to the antibody detected, analyzing their responses in relation to impedance and frequency using the PCA statistical method. An interactive laboratory was adopted with Jupyter Notebook, Python for the PCA statistical method, using well-known libraries such as Pandas and Scikit-learn. The study was based on data collected from two immunosensors, HCV sensor and HIV sensor, analyzing their response as a function of antibody concentration. This article analyzed several data and variables from the dataset of both sensors to build models with the PCA statistical method; it was possible to separate and classify the HIV and HCV sensors at specific concentrations. It was possible to identify the dependence of the response of both sensors with the adopted immobilization matrix. The PCA analysis for the selected datasets showed a relevant classification using PC1, frequency and PC2, concentration, being the variable PC2 the main responsible for separating and identifying the sensors.</w:t>
      </w:r>
    </w:p>
    <w:p>
      <w:pPr>
        <w:pStyle w:val="Normal"/>
        <w:spacing w:lineRule="auto" w:line="240" w:before="0" w:after="0"/>
        <w:ind w:left="-567" w:right="-569" w:hanging="0"/>
        <w:jc w:val="both"/>
        <w:rPr>
          <w:rFonts w:ascii="Times New Roman" w:hAnsi="Times New Roman"/>
          <w:iCs/>
          <w:color w:val="000000"/>
          <w:sz w:val="18"/>
          <w:szCs w:val="18"/>
          <w:lang w:val="en-US"/>
        </w:rPr>
      </w:pPr>
      <w:r>
        <w:rPr>
          <w:rFonts w:ascii="Times New Roman" w:hAnsi="Times New Roman"/>
          <w:iCs/>
          <w:color w:val="000000"/>
          <w:sz w:val="18"/>
          <w:szCs w:val="18"/>
          <w:lang w:val="en-US"/>
        </w:rPr>
      </w:r>
    </w:p>
    <w:p>
      <w:pPr>
        <w:pStyle w:val="Normal"/>
        <w:spacing w:lineRule="auto" w:line="240" w:before="0" w:after="0"/>
        <w:ind w:left="-567" w:right="-540" w:hanging="0"/>
        <w:jc w:val="both"/>
        <w:rPr>
          <w:rFonts w:ascii="Times New Roman" w:hAnsi="Times New Roman"/>
          <w:bCs/>
          <w:color w:val="000000"/>
          <w:lang w:val="en-US"/>
        </w:rPr>
      </w:pPr>
      <w:r>
        <w:rPr>
          <w:rFonts w:ascii="Times New Roman" w:hAnsi="Times New Roman"/>
          <w:bCs/>
          <w:i/>
          <w:iCs/>
          <w:color w:val="000000"/>
          <w:lang w:val="en-US"/>
        </w:rPr>
        <w:t>Keywords</w:t>
      </w:r>
    </w:p>
    <w:p>
      <w:pPr>
        <w:pStyle w:val="Normal"/>
        <w:spacing w:lineRule="auto" w:line="240" w:before="0" w:after="0"/>
        <w:ind w:left="-567" w:right="-540" w:hanging="0"/>
        <w:jc w:val="both"/>
        <w:rPr>
          <w:rFonts w:ascii="Times New Roman" w:hAnsi="Times New Roman"/>
          <w:iCs/>
          <w:color w:val="000000"/>
          <w:lang w:val="en-US"/>
        </w:rPr>
      </w:pPr>
      <w:r>
        <w:rPr>
          <w:rFonts w:ascii="Times New Roman" w:hAnsi="Times New Roman"/>
          <w:color w:val="000000"/>
          <w:lang w:val="en-US"/>
        </w:rPr>
        <w:t xml:space="preserve">1. PCA; 2. HIV; </w:t>
      </w:r>
      <w:r>
        <w:rPr>
          <w:rFonts w:ascii="Times New Roman" w:hAnsi="Times New Roman"/>
          <w:iCs/>
          <w:color w:val="000000"/>
          <w:lang w:val="en-US"/>
        </w:rPr>
        <w:t>3. HCV; 4. sensor; 5. antigen; 6. antibody</w:t>
      </w:r>
    </w:p>
    <w:p>
      <w:pPr>
        <w:pStyle w:val="Normal"/>
        <w:spacing w:lineRule="auto" w:line="240" w:before="0" w:after="0"/>
        <w:ind w:left="-567" w:right="-711" w:hanging="0"/>
        <w:jc w:val="center"/>
        <w:rPr>
          <w:rFonts w:ascii="Times New Roman" w:hAnsi="Times New Roman"/>
          <w:bCs/>
          <w:color w:val="000000"/>
          <w:lang w:val="en-US"/>
        </w:rPr>
      </w:pPr>
      <w:r>
        <w:rPr/>
        <w:drawing>
          <wp:inline distT="0" distB="0" distL="0" distR="0">
            <wp:extent cx="2880360" cy="2880360"/>
            <wp:effectExtent l="0" t="0" r="0" b="0"/>
            <wp:docPr id="4"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descr=""/>
                    <pic:cNvPicPr>
                      <a:picLocks noChangeAspect="1" noChangeArrowheads="1"/>
                    </pic:cNvPicPr>
                  </pic:nvPicPr>
                  <pic:blipFill>
                    <a:blip r:embed="rId4"/>
                    <a:stretch>
                      <a:fillRect/>
                    </a:stretch>
                  </pic:blipFill>
                  <pic:spPr bwMode="auto">
                    <a:xfrm>
                      <a:off x="0" y="0"/>
                      <a:ext cx="2880360" cy="2880360"/>
                    </a:xfrm>
                    <a:prstGeom prst="rect">
                      <a:avLst/>
                    </a:prstGeom>
                  </pic:spPr>
                </pic:pic>
              </a:graphicData>
            </a:graphic>
          </wp:inline>
        </w:drawing>
      </w:r>
    </w:p>
    <w:p>
      <w:pPr>
        <w:pStyle w:val="Normal"/>
        <w:spacing w:lineRule="auto" w:line="240" w:before="0" w:after="0"/>
        <w:ind w:left="-567" w:hanging="0"/>
        <w:rPr>
          <w:rFonts w:ascii="Times New Roman" w:hAnsi="Times New Roman"/>
          <w:bCs/>
          <w:color w:val="000000"/>
          <w:lang w:val="en-US"/>
        </w:rPr>
      </w:pPr>
      <w:r>
        <w:rPr>
          <w:rFonts w:ascii="Times New Roman" w:hAnsi="Times New Roman"/>
          <w:bCs/>
          <w:color w:val="000000"/>
          <w:lang w:val="en-US"/>
        </w:rPr>
      </w:r>
    </w:p>
    <w:p>
      <w:pPr>
        <w:pStyle w:val="ListParagraph"/>
        <w:numPr>
          <w:ilvl w:val="0"/>
          <w:numId w:val="3"/>
        </w:numPr>
        <w:spacing w:lineRule="auto" w:line="240" w:before="0" w:after="0"/>
        <w:contextualSpacing/>
        <w:rPr>
          <w:rFonts w:ascii="Times New Roman" w:hAnsi="Times New Roman"/>
          <w:b/>
          <w:b/>
          <w:color w:val="000000"/>
          <w:sz w:val="24"/>
          <w:szCs w:val="24"/>
          <w:lang w:val="en-US"/>
        </w:rPr>
      </w:pPr>
      <w:r>
        <w:rPr>
          <w:rFonts w:ascii="Times New Roman" w:hAnsi="Times New Roman"/>
          <w:b/>
          <w:color w:val="000000"/>
          <w:sz w:val="24"/>
          <w:szCs w:val="24"/>
          <w:lang w:val="en-US"/>
        </w:rPr>
        <w:t>Introduction</w:t>
      </w:r>
    </w:p>
    <w:p>
      <w:pPr>
        <w:pStyle w:val="Normal"/>
        <w:spacing w:lineRule="auto" w:line="240" w:before="0" w:after="0"/>
        <w:ind w:left="-567" w:right="-569" w:hanging="0"/>
        <w:rPr>
          <w:rFonts w:ascii="Times New Roman" w:hAnsi="Times New Roman"/>
          <w:bCs/>
          <w:color w:val="000000"/>
          <w:lang w:val="en-US"/>
        </w:rPr>
      </w:pPr>
      <w:r>
        <w:rPr>
          <w:rFonts w:ascii="Times New Roman" w:hAnsi="Times New Roman"/>
          <w:bCs/>
          <w:color w:val="000000"/>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World Health Organization (WHO) identifies the most serious diseases for the population and some of them are prioritized for research and development with the aim of being eradicated, such as malaria, tuberculosis, human immunodeficiency virus (HIV), infection and human papillomavirus (HPV), among others. Methods that allow rapid detection of diseases, rapid detection test (RDT), are important resources</w:t>
      </w:r>
      <w:r>
        <w:fldChar w:fldCharType="begin"/>
      </w:r>
      <w:r>
        <w:rPr>
          <w:rFonts w:eastAsia="Times New Roman" w:ascii="Times New Roman" w:hAnsi="Times New Roman"/>
          <w:lang w:val="en-US"/>
        </w:rPr>
        <w:instrText>ADDIN CSL_CITATION {"citationItems":[{"id":"ITEM-1","itemData":{"DOI":"10.1016/j.coelec.2017.06.002","ISSN":"24519111","abstract":"High-performance, low-cost point-of-care (POC) biomedical electrochemical sensors integrated with digital mobile technologies have emerged as the most promising innovations for quick and accurate diagnosis of the diseases that plague resource-limited countries. This work is a short review on key developments in the field of biomedical electrochemical sensing in the last two years with a special focus on four priority diseases (malaria, tuberculosis (TB), human immunodeficiency virus (HIV) infection and human papillomavirus (HPV) infections).","author":[{"dropping-particle":"","family":"Ozoemena","given":"Kenneth I.","non-dropping-particle":"","parse-names":false,"suffix":""},{"dropping-particle":"","family":"Carrara","given":"Sandro","non-dropping-particle":"","parse-names":false,"suffix":""}],"container-title":"Current Opinion in Electrochemistry","id":"ITEM-1","issue":"1","issued":{"date-parts":[["2017"]]},"page":"51-56","publisher":"Elsevier B.V.","title":"Biomedical electrochemical sensors for resource-limited countries","type":"article-journal","volume":"3"},"uris":["http://www.mendeley.com/documents/?uuid=2d6e1496-2af4-4214-b74c-6934f7fb3121"]}],"mendeley":{"formattedCitation":"[1]","plainTextFormattedCitation":"[1]","previouslyFormattedCitation":"[1]"},"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Electrochemical biosensors have advantages for detecting some diseases because they are endowed with simplicity, low cost, fast response, good selectivity, and sensitivity</w:t>
      </w:r>
      <w:r>
        <w:fldChar w:fldCharType="begin"/>
      </w:r>
      <w:r>
        <w:rPr>
          <w:rFonts w:eastAsia="Times New Roman" w:ascii="Times New Roman" w:hAnsi="Times New Roman"/>
          <w:lang w:val="en-US"/>
        </w:rPr>
        <w:instrText>ADDIN CSL_CITATION {"citationItems":[{"id":"ITEM-1","itemData":{"DOI":"10.1016/j.coelec.2017.06.002","ISSN":"24519111","abstract":"High-performance, low-cost point-of-care (POC) biomedical electrochemical sensors integrated with digital mobile technologies have emerged as the most promising innovations for quick and accurate diagnosis of the diseases that plague resource-limited countries. This work is a short review on key developments in the field of biomedical electrochemical sensing in the last two years with a special focus on four priority diseases (malaria, tuberculosis (TB), human immunodeficiency virus (HIV) infection and human papillomavirus (HPV) infections).","author":[{"dropping-particle":"","family":"Ozoemena","given":"Kenneth I.","non-dropping-particle":"","parse-names":false,"suffix":""},{"dropping-particle":"","family":"Carrara","given":"Sandro","non-dropping-particle":"","parse-names":false,"suffix":""}],"container-title":"Current Opinion in Electrochemistry","id":"ITEM-1","issue":"1","issued":{"date-parts":[["2017"]]},"page":"51-56","publisher":"Elsevier B.V.","title":"Biomedical electrochemical sensors for resource-limited countries","type":"article-journal","volume":"3"},"uris":["http://www.mendeley.com/documents/?uuid=2d6e1496-2af4-4214-b74c-6934f7fb3121"]},{"id":"ITEM-2","itemData":{"DOI":"10.1016/j.bios.2015.04.054","ISSN":"18734235","PMID":"25950938","abstract":"Immunosensors based on electrical impedance spectroscopy (EIS) are increasingly being used as a fast and potentially low cost method for clinical diagnostics. In this work we fabricated immunosensors by depositing layer-by-layer (LbL) films made with an antigenic peptide (p17-1) sequence (H&lt;inf&gt;2&lt;/inf&gt;N-LSGGELDRWEKIRLRPGG-OH) and lignin on interdigitated gold electrodes, which could detect anti-p17 (HIV, human immune deficiency virus) antibodies (Ab) in phosphate buffered solutions (PBS). The molecular recognition interaction between the peptide (p17-1) and the specific Ab (anti-p17) yielded substantial changes in morphology of the with LbL films, with increased roughness according to atomic force microscopy data. This interaction is behind the high sensitivity of the immunosensor. Indeed, from the EIS results, we noted that the capacitance increased significantly with the specific Ab concentration, before getting close to saturation of available peptide sites at high concentrations. Concentrations of specific antibodies as low as 0.1ng/mL could be detected and the immunosensors had their activity preserved for two months at least. The selectivity of the immunosensor was confirmed with two types of control experiments. First, no changes in impedance were observed when the lignin/peptide LbL immunosensor was immersed into a PBS solution containing the non-specific Ab (anti-HCV for Hepatitis C) antibodies. Furthermore, for sensing units made LbL films of lignin only, the electrical response was not affected by adding specific antibodies into the PBS buffer. The successful immunosensing for HIV with antigenic peptides in a lignin matrix is also relevant for valorization of lignin, which is an important biomass component in the sugar and ethanol industry, and brings the prospect for all-organic, biocompatible sensors if implantation is ever required.","author":[{"dropping-particle":"","family":"Cerrutti","given":"Bianca M.","non-dropping-particle":"","parse-names":false,"suffix":""},{"dropping-particle":"","family":"Moraes","given":"Marli L.","non-dropping-particle":"","parse-names":false,"suffix":""},{"dropping-particle":"","family":"Pulcinelli","given":"Sandra H.","non-dropping-particle":"","parse-names":false,"suffix":""},{"dropping-particle":"V.","family":"Santilli","given":"Celso","non-dropping-particle":"","parse-names":false,"suffix":""}],"container-title":"Biosensors and Bioelectronics","id":"ITEM-2","issued":{"date-parts":[["2015"]]},"page":"420-426","publisher":"Elsevier","title":"Lignin as immobilization matrix for HIV p17 peptide used in immunosensing","type":"article-journal","volume":"71"},"uris":["http://www.mendeley.com/documents/?uuid=d13a5d64-9556-4172-afae-948fdfcea33c"]}],"mendeley":{"formattedCitation":"[1], [2]","plainTextFormattedCitation":"[1], [2]","previouslyFormattedCitation":"[1], [2]"},"properties":{"noteIndex":0},"schema":"https://github.com/citation-style-language/schema/raw/master/csl-citation.json"}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 [2]</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Currently, an excellent method to detect HIV in the early stages of the disease is the method that uses the detection of HIV-p24 antigen</w:t>
      </w:r>
      <w:r>
        <w:fldChar w:fldCharType="begin"/>
      </w:r>
      <w:r>
        <w:rPr>
          <w:rFonts w:eastAsia="Times New Roman" w:ascii="Times New Roman" w:hAnsi="Times New Roman"/>
          <w:lang w:val="en-US"/>
        </w:rPr>
        <w:instrText>ADDIN CSL_CITATION {"citationItems":[{"id":"ITEM-1","itemData":{"DOI":"10.1016/j.coelec.2017.06.002","ISSN":"24519111","abstract":"High-performance, low-cost point-of-care (POC) biomedical electrochemical sensors integrated with digital mobile technologies have emerged as the most promising innovations for quick and accurate diagnosis of the diseases that plague resource-limited countries. This work is a short review on key developments in the field of biomedical electrochemical sensing in the last two years with a special focus on four priority diseases (malaria, tuberculosis (TB), human immunodeficiency virus (HIV) infection and human papillomavirus (HPV) infections).","author":[{"dropping-particle":"","family":"Ozoemena","given":"Kenneth I.","non-dropping-particle":"","parse-names":false,"suffix":""},{"dropping-particle":"","family":"Carrara","given":"Sandro","non-dropping-particle":"","parse-names":false,"suffix":""}],"container-title":"Current Opinion in Electrochemistry","id":"ITEM-1","issue":"1","issued":{"date-parts":[["2017"]]},"page":"51-56","publisher":"Elsevier B.V.","title":"Biomedical electrochemical sensors for resource-limited countries","type":"article-journal","volume":"3"},"uris":["http://www.mendeley.com/documents/?uuid=2d6e1496-2af4-4214-b74c-6934f7fb3121"]}],"mendeley":{"formattedCitation":"[1]","plainTextFormattedCitation":"[1]","previouslyFormattedCitation":"[1]"},"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 One of the major problems in HIV detection is co-infection with other diseases, such as hepatitis C (HCV)</w:t>
      </w:r>
      <w:r>
        <w:fldChar w:fldCharType="begin"/>
      </w:r>
      <w:r>
        <w:rPr>
          <w:rFonts w:eastAsia="Times New Roman" w:ascii="Times New Roman" w:hAnsi="Times New Roman"/>
          <w:lang w:val="en-US"/>
        </w:rPr>
        <w:instrText>ADDIN CSL_CITATION {"citationItems":[{"id":"ITEM-1","itemData":{"DOI":"10.1016/j.coelec.2017.06.002","ISSN":"24519111","abstract":"High-performance, low-cost point-of-care (POC) biomedical electrochemical sensors integrated with digital mobile technologies have emerged as the most promising innovations for quick and accurate diagnosis of the diseases that plague resource-limited countries. This work is a short review on key developments in the field of biomedical electrochemical sensing in the last two years with a special focus on four priority diseases (malaria, tuberculosis (TB), human immunodeficiency virus (HIV) infection and human papillomavirus (HPV) infections).","author":[{"dropping-particle":"","family":"Ozoemena","given":"Kenneth I.","non-dropping-particle":"","parse-names":false,"suffix":""},{"dropping-particle":"","family":"Carrara","given":"Sandro","non-dropping-particle":"","parse-names":false,"suffix":""}],"container-title":"Current Opinion in Electrochemistry","id":"ITEM-1","issue":"1","issued":{"date-parts":[["2017"]]},"page":"51-56","publisher":"Elsevier B.V.","title":"Biomedical electrochemical sensors for resource-limited countries","type":"article-journal","volume":"3"},"uris":["http://www.mendeley.com/documents/?uuid=2d6e1496-2af4-4214-b74c-6934f7fb3121"]}],"mendeley":{"formattedCitation":"[1]","plainTextFormattedCitation":"[1]","previouslyFormattedCitation":"[1]"},"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 a chronic infection that currently affects 200 million people worldwide</w:t>
      </w:r>
      <w:r>
        <w:fldChar w:fldCharType="begin"/>
      </w:r>
      <w:r>
        <w:rPr>
          <w:rFonts w:eastAsia="Times New Roman" w:ascii="Times New Roman" w:hAnsi="Times New Roman"/>
          <w:lang w:val="en-US"/>
        </w:rPr>
        <w:instrText>ADDIN CSL_CITATION {"citationItems":[{"id":"ITEM-1","itemData":{"DOI":"10.21577/0103-5053.20180080","ISSN":"16784790","abstract":"Immunosensors based on impedance spectroscopy for diagnosing hepatitis C are reported where the sensing units were made with the antigenic peptide PPLLESWKDPDYVPPWHG (NS5A-1) derived from the NS5A protein of the hepatitis C virus (HCV) immobilized in layer-by-layer (LbL) films with silk fibroin (SF) and deposited on gold interdigitated electrodes. The electrical response of the sensing units varied upon immersion into solutions containing the antibody anti-HCV owing to the biomolecular recognition of NS5A-1. This was associated with morphological changes on the LbL films caused by adsorption of NS5A-1 and inferred from atomic force microscopy images. Buffer solutions with different anti-HCV concentrations down to 2 ng mL-1 could be clearly distinguished by analyzing the impedance spectroscopy data with a multidimensional projection technique. The specificity toward anti-HCV antibodies was confirmed in control experiments where no significant changes in the electrical response were measured by exposing the sensing units to solutions containing an anti-human immunodeficiency virus (HIV) antibody. The high sensitivity and selectivity of the units made with LbL films demonstrate the feasibility of measuring electrical impedance as an immunosensing strategy to detect hepatitis C.","author":[{"dropping-particle":"","family":"Lima","given":"Lais R.","non-dropping-particle":"","parse-names":false,"suffix":""},{"dropping-particle":"","family":"Gonçalves","given":"Alem Mar B.","non-dropping-particle":"","parse-names":false,"suffix":""},{"dropping-particle":"V.","family":"Paulovich","given":"Fernando","non-dropping-particle":"","parse-names":false,"suffix":""},{"dropping-particle":"","family":"Oliveira","given":"Osvaldo N.","non-dropping-particle":"","parse-names":false,"suffix":""},{"dropping-particle":"","family":"Ribeiro","given":"Sidney J.L.","non-dropping-particle":"","parse-names":false,"suffix":""},{"dropping-particle":"","family":"Moraes","given":"Marli L.","non-dropping-particle":"","parse-names":false,"suffix":""}],"container-title":"Journal of the Brazilian Chemical Society","id":"ITEM-1","issue":"10","issued":{"date-parts":[["2018"]]},"page":"2054-2059","title":"Electrical immunosensor made with antigenic peptide NS5A- 1 immobilized onto silk fibroin for diagnosing hepatitis C","type":"article-journal","volume":"29"},"uris":["http://www.mendeley.com/documents/?uuid=40fbe49c-b812-4636-b5e0-e76069f3c0ed"]}],"mendeley":{"formattedCitation":"[3]","plainTextFormattedCitation":"[3]","previouslyFormattedCitation":"[3]"},"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[3]</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 An HIV/HCV co-infection is a very serious health issue and in recent years, it has been among the leading causes of morbidity and mortality in the world. These diseases have similar means of transmission and approximately a quarter of HIV seropositive people have HCV. In addition, patients with HIV, when exposed to HCV, have difficulty controlling the infection, and patients with HCV, when exposed to HIV, significantly increase the risk of disease transmission</w:t>
      </w:r>
      <w:r>
        <w:fldChar w:fldCharType="begin"/>
      </w:r>
      <w:r>
        <w:rPr>
          <w:rFonts w:eastAsia="Times New Roman" w:ascii="Times New Roman" w:hAnsi="Times New Roman"/>
          <w:lang w:val="en-US"/>
        </w:rPr>
        <w:instrText>ADDIN CSL_CITATION {"citationItems":[{"id":"ITEM-1","itemData":{"DOI":"10.1109/TRANSDUCERS.2015.7181100","ISBN":"9781479989553","abstract":"This paper reports an integrated diagnostic platform, including a paper-based electrochemical immunosensor array and a customized handheld potentiostat, for detecting protein markers of human immunodeficiency virus (HIV) and hepatitis C virus (HCV) in serum. To our best knowledge, this is the first paper-based electrochemical immunosensing platform, with multiplexing and telemedicine capabilities, for diagnosing HIV/HCV co-infection. The platform can perform simultaneous enzyme-linked immunesorbent assays (ELISAs) on 8 serum samples, produce multiple measurement data for HIV and HCV markers from a single run, and transmit the results to remote sites for telemedicine. The unique integration of paper-based microfluidics and mobile instrumentation renders our tests portable, low-cost, user-friendly, and high-throughput.","author":[{"dropping-particle":"","family":"Zhao","given":"Chen","non-dropping-particle":"","parse-names":false,"suffix":""},{"dropping-particle":"","family":"Liu","given":"Xinyu","non-dropping-particle":"","parse-names":false,"suffix":""}],"container-title":"2015 Transducers - 2015 18th International Conference on Solid-State Sensors, Actuators and Microsystems, TRANSDUCERS 2015","id":"ITEM-1","issued":{"date-parts":[["2015"]]},"page":"1025-1028","title":"A portable, paper-based multiplexing immunosensor for detection of HIV and HCV markers in serum","type":"article-journal"},"uris":["http://www.mendeley.com/documents/?uuid=64c5be06-f1d8-4f55-ba95-0d28580afe61"]}],"mendeley":{"formattedCitation":"[4]","plainTextFormattedCitation":"[4]","previouslyFormattedCitation":"[4]"},"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[4]</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 so methods for multiple detections of these diseases are of great interest</w:t>
      </w:r>
      <w:r>
        <w:fldChar w:fldCharType="begin"/>
      </w:r>
      <w:r>
        <w:rPr>
          <w:rFonts w:eastAsia="Times New Roman" w:ascii="Times New Roman" w:hAnsi="Times New Roman"/>
          <w:lang w:val="en-US"/>
        </w:rPr>
        <w:instrText>ADDIN CSL_CITATION {"citationItems":[{"id":"ITEM-1","itemData":{"DOI":"10.1016/j.coelec.2017.06.002","ISSN":"24519111","abstract":"High-performance, low-cost point-of-care (POC) biomedical electrochemical sensors integrated with digital mobile technologies have emerged as the most promising innovations for quick and accurate diagnosis of the diseases that plague resource-limited countries. This work is a short review on key developments in the field of biomedical electrochemical sensing in the last two years with a special focus on four priority diseases (malaria, tuberculosis (TB), human immunodeficiency virus (HIV) infection and human papillomavirus (HPV) infections).","author":[{"dropping-particle":"","family":"Ozoemena","given":"Kenneth I.","non-dropping-particle":"","parse-names":false,"suffix":""},{"dropping-particle":"","family":"Carrara","given":"Sandro","non-dropping-particle":"","parse-names":false,"suffix":""}],"container-title":"Current Opinion in Electrochemistry","id":"ITEM-1","issue":"1","issued":{"date-parts":[["2017"]]},"page":"51-56","publisher":"Elsevier B.V.","title":"Biomedical electrochemical sensors for resource-limited countries","type":"article-journal","volume":"3"},"uris":["http://www.mendeley.com/documents/?uuid=2d6e1496-2af4-4214-b74c-6934f7fb3121"]}],"mendeley":{"formattedCitation":"[1]","plainTextFormattedCitation":"[1]","previouslyFormattedCitation":"[1]"},"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In recent years, several studies have been carried out using a statistical method to extract and classify data in the health care field. This method is called Principal Component Analysis (PCA)</w:t>
      </w:r>
      <w:r>
        <w:fldChar w:fldCharType="begin"/>
      </w:r>
      <w:r>
        <w:rPr>
          <w:rFonts w:eastAsia="Times New Roman" w:ascii="Times New Roman" w:hAnsi="Times New Roman"/>
          <w:lang w:val="en-US"/>
        </w:rPr>
        <w:instrText>ADDIN CSL_CITATION {"citationItems":[{"id":"ITEM-1","itemData":{"DOI":"10.1016/j.imu.2020.100330","ISSN":"23529148","abstract":"The prediction of cardiac disease helps practitioners make more accurate decisions regarding patients' health. Therefore, the use of machine learning (ML) is a solution to reduce and understand the symptoms related to heart disease. The aim of this work is the proposal of a dimensionality reduction method and finding features of heart disease by applying a feature selection technique. The information used for this analysis was obtained from the UCI Machine Learning Repository called Heart Disease. The dataset contains 74 features and a label that we validated by six ML classifiers. Chi-square and principal component analysis (CHI-PCA) with random forests (RF) had the highest accuracy, with 98.7% for Cleveland, 99.0% for Hungarian, and 99.4% for Cleveland-Hungarian (CH) datasets. From the analysis, ChiSqSelector derived features of anatomical and physiological relevance, such as cholesterol, highest heart rate, chest pain, features related to ST depression, and heart vessels. The experimental results proved that the combination of chi-square with PCA obtains greater performance in most classifiers. The usage of PCA directly from the raw data computed lower results and would require greater dimensionality to improve the results.","author":[{"dropping-particle":"","family":"Gárate-Escamila","given":"Anna Karen","non-dropping-particle":"","parse-names":false,"suffix":""},{"dropping-particle":"","family":"Hajjam El Hassani","given":"Amir","non-dropping-particle":"","parse-names":false,"suffix":""},{"dropping-particle":"","family":"Andrès","given":"Emmanuel","non-dropping-particle":"","parse-names":false,"suffix":""}],"container-title":"Informatics in Medicine Unlocked","id":"ITEM-1","issued":{"date-parts":[["2020"]]},"title":"Classification models for heart disease prediction using feature selection and PCA","type":"article-journal","volume":"19"},"uris":["http://www.mendeley.com/documents/?uuid=a3b009f5-01b0-4483-86f4-05254256d064"]}],"mendeley":{"formattedCitation":"[5]","plainTextFormattedCitation":"[5]","previouslyFormattedCitation":"[5]"},"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[5]</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 PCA is a statistical method widely used in analyzing multivariable data and dimension reduction techniques for many parameters or measurements, identifying the dominant patterns in these data</w:t>
      </w:r>
      <w:r>
        <w:fldChar w:fldCharType="begin"/>
      </w:r>
      <w:r>
        <w:rPr>
          <w:rFonts w:eastAsia="Times New Roman" w:ascii="Times New Roman" w:hAnsi="Times New Roman"/>
          <w:lang w:val="en-US"/>
        </w:rPr>
        <w:instrText>ADDIN CSL_CITATION {"citationItems":[{"id":"ITEM-1","itemData":{"DOI":"10.1016/j.snb.2017.04.051","ISSN":"09254005","abstract":"Nanoporous anodic alumina (NAA) presents interesting optical properties such as the Fabry-Pérot interference phenomenon, which can be used for sensing purposes. Optical sensing with NAA requires the determination of the material's effective refractive index from the interference spectra and its variation when the analyte interacts with NAA pores in a non-specific or selective way. In this work, we propose an alternative approach to deal with Fabry-Pérot interference spectra as an analytical signal for optical sensors: multivariate analysis. As a proof of concept, NAA substrates were employed in the determination of glucose by photoluminescence spectroscopy. Principal component analysis (PCA) and partial least-squares (PLS) regression were used to qualitatively investigate spectra profile changes with increasing concentrations of glucose, and to establish a quantitative regression model to determine glucose concentrations from the photoluminescence spectra, respectively. Results showed that multivariate analysis can be used in Fabry-Pérot interferences to obtain optical sensors responses.","author":[{"dropping-particle":"","family":"Ferro","given":"Letícia M.M.","non-dropping-particle":"","parse-names":false,"suffix":""},{"dropping-particle":"","family":"Lemos","given":"Sherlan G.","non-dropping-particle":"","parse-names":false,"suffix":""},{"dropping-particle":"","family":"Ferreira","given":"Marystela","non-dropping-particle":"","parse-names":false,"suffix":""},{"dropping-particle":"","family":"Trivinho-Strixino","given":"Francisco","non-dropping-particle":"","parse-names":false,"suffix":""}],"container-title":"Sensors and Actuators, B: Chemical","id":"ITEM-1","issued":{"date-parts":[["2017"]]},"page":"718-723","publisher":"Elsevier B.V.","title":"Use of multivariate analysis on Fabry-Pérot interference spectra of nanoporous anodic alumina (NAA) for optical sensors purposes","type":"article-journal","volume":"248"},"uris":["http://www.mendeley.com/documents/?uuid=5019948f-b045-4772-9485-eeb8f29a5308"]},{"id":"ITEM-2","itemData":{"DOI":"10.1109/JPROC.2018.2844126","ISSN":"15582256","abstract":"Principal component analysis (PCA) is one of the most widely used dimension reduction techniques. Robust PCA (RPCA) refers to the problem of PCA when the data may be corrupted by outliers. Recent work by Cands, Wright, Li, and Ma defined RPCA as a problem of decomposing a given data matrix into the sum of a low-rank matrix (true data) and a sparse matrix (outliers). The column space of the low-rank matrix then gives the PCA solution. This simple definition has led to a large amount of interesting new work on provably correct, fast, and practical solutions to RPCA. More recently, the dynamic (time-varying) version of the RPCA problem has been studied and a series of provably correct, fast, and memory-efficient tracking solutions have been proposed. Dynamic RPCA [or robust subspace tracking RST)] is the problem of tracking data lying in a (slowly) changing subspace, while being robust to sparse outliers. This paper provides an exhaustive review of the last decade of literature on RPCA and its dynamic counterpart (RST), along with describing their theoretical guarantees, discussing the pros and cons of various approaches, and providing empirical comparisons of performance and speed. A brief overview of the newer (lowrank) matrix completion (MC) literature is also provided. This refers to the problem of completing a low-rank matrix when only a subset of its entries are observed. It can be interpreted as a simpler special case of RPCA in which the indices of the outlier corrupted entries are known.","author":[{"dropping-particle":"","family":"Vaswani","given":"Namrata","non-dropping-particle":"","parse-names":false,"suffix":""},{"dropping-particle":"","family":"Narayanamurthy","given":"Praneeth","non-dropping-particle":"","parse-names":false,"suffix":""}],"container-title":"Proceedings of the IEEE","id":"ITEM-2","issue":"8","issued":{"date-parts":[["2018"]]},"page":"1359-1379","title":"Static and Dynamic Robust PCA and Matrix Completion: A Review","type":"article-journal","volume":"106"},"uris":["http://www.mendeley.com/documents/?uuid=01485734-52a7-4fe8-a7a3-54ebdc54531f"]},{"id":"ITEM-3","itemData":{"DOI":"10.1109/JSEN.2020.2972542","ISSN":"15581748","abstract":"In this work, a gas sensor array has been designed and developed comprising of Pt, Cu and Ag decorated TiO2 and ZnO functionalized GaN nanowires using industry standard top-down fabrication approach. The receptor metal/metal-oxide combinations within the array have been determined from our prior molecular simulation results using first principle calculations based on density functional theory (DFT). The gas sensing data was collected for both singular and mixture of NO2, ethanol, SO2 and H2 in presence of H2O and O2 gases under UV light at room temperature. Each gas produced a unique response pattern across the sensors within the array by which precise identification of cross-sensitive gases is possible. After pre-processing of raw data, unsupervised principal component analysis (PCA) technique was applied on the array response. It is found that, each analyte gas forms a separate cluster in the score plot for all the target gases and their mixtures, indicating a clear discrimination among them. Then, four supervised machine learning algorithms such as- Decision Tree, Support Vector Machine (SVM), Naive Bayes (kernel) and k-Nearest Neighbor (k-NN) were trained and optimized using their significant parameters with our array dataset for the classification of gas type. Results indicate that the optimized SVM and NB classifier models exhibited 100% classification accuracy on test dataset. Practical applicability of the considered algorithms has been discussed as well. Moreover, this array device works at room-temperature using very low power and low-cost UV light-emitting diode (LED) as compared to high power consuming commercially available metal-oxide sensors.","author":[{"dropping-particle":"","family":"Khan","given":"Md Ashfaque Hossain","non-dropping-particle":"","parse-names":false,"suffix":""},{"dropping-particle":"","family":"Thomson","given":"Brian","non-dropping-particle":"","parse-names":false,"suffix":""},{"dropping-particle":"","family":"Debnath","given":"Ratan","non-dropping-particle":"","parse-names":false,"suffix":""},{"dropping-particle":"","family":"Motayed","given":"Abhishek","non-dropping-particle":"","parse-names":false,"suffix":""},{"dropping-particle":"V.","family":"Rao","given":"Mulpuri","non-dropping-particle":"","parse-names":false,"suffix":""}],"container-title":"IEEE Sensors Journal","id":"ITEM-3","issue":"11","issued":{"date-parts":[["2020"]]},"page":"6020-6028","title":"Nanowire-Based Sensor Array for Detection of Cross-Sensitive Gases Using PCA and Machine Learning Algorithms","type":"article-journal","volume":"20"},"uris":["http://www.mendeley.com/documents/?uuid=0f824a36-1d49-4b81-a688-83006cbda86b"]},{"id":"ITEM-4","itemData":{"DOI":"10.1109/ICSNS.2018.8573661","ISBN":"9781538645529","abstract":"Monitoring and control of batch processes is more complicated than that of a continuous process. This is due to the fact that the properties change with time in a batch process. Penicillin production using fed-batch fermentation technique is one such process which is dynamic and highly non-linear in nature. In thsi research, a dynamic pricnipal component regression based soft-sensor model is proposed for continuous monitoring of penicillin concentration in the fed-bath fermentation reactor. The available data (generated using pensim simulator) were divided into training and validation data. The model was developed from the training data and accuracy testing was done by simulation of the model with validation data. Results show that the dynamic PCR model proposed in this work is able to capture the collinearity and dynamic nature of the data quite effectively and is able to predict the product concentration with good accuracy.","author":[{"dropping-particle":"","family":"Ahuja","given":"Kabir","non-dropping-particle":"","parse-names":false,"suffix":""},{"dropping-particle":"","family":"Pani","given":"Ajaya Kumar","non-dropping-particle":"","parse-names":false,"suffix":""}],"container-title":"ICSNS 2018 - Proceedings of IEEE International Conference on Soft-Computing and Network Security","id":"ITEM-4","issue":"1","issued":{"date-parts":[["2018"]]},"page":"1-6","publisher":"IEEE","title":"Software sensor development for product concentration monitoring in fed-batch fermentation process using dynamic principal component regression","type":"article-journal"},"uris":["http://www.mendeley.com/documents/?uuid=988c22e3-8f19-4d6c-9ed2-5044fe1c35b3"]}],"mendeley":{"formattedCitation":"[6]–[9]","plainTextFormattedCitation":"[6]–[9]","previouslyFormattedCitation":"[6]–[9]"},"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[6]–[9]</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 It is a technique applied to extract the most useful information, principal components (PCs), and to verify the relationship between objects and variables</w:t>
      </w:r>
      <w:r>
        <w:fldChar w:fldCharType="begin"/>
      </w:r>
      <w:r>
        <w:rPr>
          <w:rFonts w:eastAsia="Times New Roman" w:ascii="Times New Roman" w:hAnsi="Times New Roman"/>
          <w:lang w:val="en-US"/>
        </w:rPr>
        <w:instrText>ADDIN CSL_CITATION {"citationItems":[{"id":"ITEM-1","itemData":{"DOI":"10.1109/JSEN.2020.2972542","ISSN":"15581748","abstract":"In this work, a gas sensor array has been designed and developed comprising of Pt, Cu and Ag decorated TiO2 and ZnO functionalized GaN nanowires using industry standard top-down fabrication approach. The receptor metal/metal-oxide combinations within the array have been determined from our prior molecular simulation results using first principle calculations based on density functional theory (DFT). The gas sensing data was collected for both singular and mixture of NO2, ethanol, SO2 and H2 in presence of H2O and O2 gases under UV light at room temperature. Each gas produced a unique response pattern across the sensors within the array by which precise identification of cross-sensitive gases is possible. After pre-processing of raw data, unsupervised principal component analysis (PCA) technique was applied on the array response. It is found that, each analyte gas forms a separate cluster in the score plot for all the target gases and their mixtures, indicating a clear discrimination among them. Then, four supervised machine learning algorithms such as- Decision Tree, Support Vector Machine (SVM), Naive Bayes (kernel) and k-Nearest Neighbor (k-NN) were trained and optimized using their significant parameters with our array dataset for the classification of gas type. Results indicate that the optimized SVM and NB classifier models exhibited 100% classification accuracy on test dataset. Practical applicability of the considered algorithms has been discussed as well. Moreover, this array device works at room-temperature using very low power and low-cost UV light-emitting diode (LED) as compared to high power consuming commercially available metal-oxide sensors.","author":[{"dropping-particle":"","family":"Khan","given":"Md Ashfaque Hossain","non-dropping-particle":"","parse-names":false,"suffix":""},{"dropping-particle":"","family":"Thomson","given":"Brian","non-dropping-particle":"","parse-names":false,"suffix":""},{"dropping-particle":"","family":"Debnath","given":"Ratan","non-dropping-particle":"","parse-names":false,"suffix":""},{"dropping-particle":"","family":"Motayed","given":"Abhishek","non-dropping-particle":"","parse-names":false,"suffix":""},{"dropping-particle":"V.","family":"Rao","given":"Mulpuri","non-dropping-particle":"","parse-names":false,"suffix":""}],"container-title":"IEEE Sensors Journal","id":"ITEM-1","issue":"11","issued":{"date-parts":[["2020"]]},"page":"6020-6028","title":"Nanowire-Based Sensor Array for Detection of Cross-Sensitive Gases Using PCA and Machine Learning Algorithms","type":"article-journal","volume":"20"},"uris":["http://www.mendeley.com/documents/?uuid=0f824a36-1d49-4b81-a688-83006cbda86b"]},{"id":"ITEM-2","itemData":{"DOI":"10.1016/j.snb.2017.04.051","ISSN":"09254005","abstract":"Nanoporous anodic alumina (NAA) presents interesting optical properties such as the Fabry-Pérot interference phenomenon, which can be used for sensing purposes. Optical sensing with NAA requires the determination of the material's effective refractive index from the interference spectra and its variation when the analyte interacts with NAA pores in a non-specific or selective way. In this work, we propose an alternative approach to deal with Fabry-Pérot interference spectra as an analytical signal for optical sensors: multivariate analysis. As a proof of concept, NAA substrates were employed in the determination of glucose by photoluminescence spectroscopy. Principal component analysis (PCA) and partial least-squares (PLS) regression were used to qualitatively investigate spectra profile changes with increasing concentrations of glucose, and to establish a quantitative regression model to determine glucose concentrations from the photoluminescence spectra, respectively. Results showed that multivariate analysis can be used in Fabry-Pérot interferences to obtain optical sensors responses.","author":[{"dropping-particle":"","family":"Ferro","given":"Letícia M.M.","non-dropping-particle":"","parse-names":false,"suffix":""},{"dropping-particle":"","family":"Lemos","given":"Sherlan G.","non-dropping-particle":"","parse-names":false,"suffix":""},{"dropping-particle":"","family":"Ferreira","given":"Marystela","non-dropping-particle":"","parse-names":false,"suffix":""},{"dropping-particle":"","family":"Trivinho-Strixino","given":"Francisco","non-dropping-particle":"","parse-names":false,"suffix":""}],"container-title":"Sensors and Actuators, B: Chemical","id":"ITEM-2","issued":{"date-parts":[["2017"]]},"page":"718-723","publisher":"Elsevier B.V.","title":"Use of multivariate analysis on Fabry-Pérot interference spectra of nanoporous anodic alumina (NAA) for optical sensors purposes","type":"article-journal","volume":"248"},"uris":["http://www.mendeley.com/documents/?uuid=5019948f-b045-4772-9485-eeb8f29a5308"]}],"mendeley":{"formattedCitation":"[6], [8]","plainTextFormattedCitation":"[6], [8]","previouslyFormattedCitation":"[6], [8]"},"properties":{"noteIndex":0},"schema":"https://github.com/citation-style-language/schema/raw/master/csl-citation.json"}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[6], [8]</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 After applying the method, the principal components (PC) used in the PCA method will have a good representation of the data since the data with the most significant variables are used or the data most impacted during the measurement process</w:t>
      </w:r>
      <w:r>
        <w:fldChar w:fldCharType="begin"/>
      </w:r>
      <w:r>
        <w:rPr>
          <w:rFonts w:eastAsia="Times New Roman" w:ascii="Times New Roman" w:hAnsi="Times New Roman"/>
          <w:lang w:val="en-US"/>
        </w:rPr>
        <w:instrText>ADDIN CSL_CITATION {"citationItems":[{"id":"ITEM-1","itemData":{"DOI":"10.1109/ICSNS.2018.8573661","ISBN":"9781538645529","abstract":"Monitoring and control of batch processes is more complicated than that of a continuous process. This is due to the fact that the properties change with time in a batch process. Penicillin production using fed-batch fermentation technique is one such process which is dynamic and highly non-linear in nature. In thsi research, a dynamic pricnipal component regression based soft-sensor model is proposed for continuous monitoring of penicillin concentration in the fed-bath fermentation reactor. The available data (generated using pensim simulator) were divided into training and validation data. The model was developed from the training data and accuracy testing was done by simulation of the model with validation data. Results show that the dynamic PCR model proposed in this work is able to capture the collinearity and dynamic nature of the data quite effectively and is able to predict the product concentration with good accuracy.","author":[{"dropping-particle":"","family":"Ahuja","given":"Kabir","non-dropping-particle":"","parse-names":false,"suffix":""},{"dropping-particle":"","family":"Pani","given":"Ajaya Kumar","non-dropping-particle":"","parse-names":false,"suffix":""}],"container-title":"ICSNS 2018 - Proceedings of IEEE International Conference on Soft-Computing and Network Security","id":"ITEM-1","issue":"1","issued":{"date-parts":[["2018"]]},"page":"1-6","publisher":"IEEE","title":"Software sensor development for product concentration monitoring in fed-batch fermentation process using dynamic principal component regression","type":"article-journal"},"uris":["http://www.mendeley.com/documents/?uuid=988c22e3-8f19-4d6c-9ed2-5044fe1c35b3"]}],"mendeley":{"formattedCitation":"[9]","plainTextFormattedCitation":"[9]","previouslyFormattedCitation":"[9]"},"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[9]</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 Each analyzed substance leaves a unique footprint on the sensors; that footprint will be analyzed by the algorithm created after applying the PCA and machine learning algorithms, where the substances can be identified. Once the detection method and the sensitive element to the sample have been decided and applied, the data can be interpreted</w:t>
      </w:r>
      <w:r>
        <w:fldChar w:fldCharType="begin"/>
      </w:r>
      <w:r>
        <w:rPr>
          <w:rFonts w:eastAsia="Times New Roman" w:ascii="Times New Roman" w:hAnsi="Times New Roman"/>
          <w:lang w:val="en-US"/>
        </w:rPr>
        <w:instrText>ADDIN CSL_CITATION {"citationItems":[{"id":"ITEM-1","itemData":{"DOI":"10.1016/j.snb.2017.04.051","ISSN":"09254005","abstract":"Nanoporous anodic alumina (NAA) presents interesting optical properties such as the Fabry-Pérot interference phenomenon, which can be used for sensing purposes. Optical sensing with NAA requires the determination of the material's effective refractive index from the interference spectra and its variation when the analyte interacts with NAA pores in a non-specific or selective way. In this work, we propose an alternative approach to deal with Fabry-Pérot interference spectra as an analytical signal for optical sensors: multivariate analysis. As a proof of concept, NAA substrates were employed in the determination of glucose by photoluminescence spectroscopy. Principal component analysis (PCA) and partial least-squares (PLS) regression were used to qualitatively investigate spectra profile changes with increasing concentrations of glucose, and to establish a quantitative regression model to determine glucose concentrations from the photoluminescence spectra, respectively. Results showed that multivariate analysis can be used in Fabry-Pérot interferences to obtain optical sensors responses.","author":[{"dropping-particle":"","family":"Ferro","given":"Letícia M.M.","non-dropping-particle":"","parse-names":false,"suffix":""},{"dropping-particle":"","family":"Lemos","given":"Sherlan G.","non-dropping-particle":"","parse-names":false,"suffix":""},{"dropping-particle":"","family":"Ferreira","given":"Marystela","non-dropping-particle":"","parse-names":false,"suffix":""},{"dropping-particle":"","family":"Trivinho-Strixino","given":"Francisco","non-dropping-particle":"","parse-names":false,"suffix":""}],"container-title":"Sensors and Actuators, B: Chemical","id":"ITEM-1","issued":{"date-parts":[["2017"]]},"page":"718-723","publisher":"Elsevier B.V.","title":"Use of multivariate analysis on Fabry-Pérot interference spectra of nanoporous anodic alumina (NAA) for optical sensors purposes","type":"article-journal","volume":"248"},"uris":["http://www.mendeley.com/documents/?uuid=5019948f-b045-4772-9485-eeb8f29a5308"]}],"mendeley":{"formattedCitation":"[6]","plainTextFormattedCitation":"[6]","previouslyFormattedCitation":"[6]"},"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[6]</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This article presents the step-by-step use of the PCA statistical method to analyze and classify data from two sensors used to identify HIV and HCV antigens and compare them.</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This paper is organized as follows. In section 2, we will have the PCA projection techniques and an explanation of the statistical method. In session 3 we will present the methodology and how the sensors were prepared, in session 4 we will present the analysis of the obtained data and results. Then the research conclusions are presented in section 5.</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ListParagraph"/>
        <w:numPr>
          <w:ilvl w:val="1"/>
          <w:numId w:val="2"/>
        </w:numPr>
        <w:spacing w:lineRule="auto" w:line="240" w:before="0" w:after="0"/>
        <w:ind w:left="792" w:right="-569" w:hanging="432"/>
        <w:contextualSpacing/>
        <w:jc w:val="both"/>
        <w:rPr>
          <w:rFonts w:ascii="Times New Roman" w:hAnsi="Times New Roman" w:eastAsia="Times New Roman"/>
          <w:i/>
          <w:i/>
          <w:iCs/>
          <w:lang w:val="en-US"/>
        </w:rPr>
      </w:pPr>
      <w:r>
        <w:rPr>
          <w:rFonts w:eastAsia="Times New Roman" w:ascii="Times New Roman" w:hAnsi="Times New Roman"/>
          <w:i/>
          <w:iCs/>
          <w:lang w:val="en-US"/>
        </w:rPr>
        <w:t>PCA mathematical foundations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objective of this section is present the concept behind the statistical method and how its projection technique works.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PCA is an unsupervised mathematical method that uses data matrices, where X can be the samples and Y the sample variables, to convert a large amount of possibly related data into a small amount of unrelated data</w:t>
      </w:r>
      <w:r>
        <w:fldChar w:fldCharType="begin"/>
      </w:r>
      <w:r>
        <w:rPr>
          <w:rFonts w:eastAsia="Times New Roman" w:ascii="Times New Roman" w:hAnsi="Times New Roman"/>
          <w:lang w:val="en-US"/>
        </w:rPr>
        <w:instrText>ADDIN CSL_CITATION {"citationItems":[{"id":"ITEM-1","itemData":{"DOI":"10.1109/JSEN.2020.2972542","ISSN":"15581748","abstract":"In this work, a gas sensor array has been designed and developed comprising of Pt, Cu and Ag decorated TiO2 and ZnO functionalized GaN nanowires using industry standard top-down fabrication approach. The receptor metal/metal-oxide combinations within the array have been determined from our prior molecular simulation results using first principle calculations based on density functional theory (DFT). The gas sensing data was collected for both singular and mixture of NO2, ethanol, SO2 and H2 in presence of H2O and O2 gases under UV light at room temperature. Each gas produced a unique response pattern across the sensors within the array by which precise identification of cross-sensitive gases is possible. After pre-processing of raw data, unsupervised principal component analysis (PCA) technique was applied on the array response. It is found that, each analyte gas forms a separate cluster in the score plot for all the target gases and their mixtures, indicating a clear discrimination among them. Then, four supervised machine learning algorithms such as- Decision Tree, Support Vector Machine (SVM), Naive Bayes (kernel) and k-Nearest Neighbor (k-NN) were trained and optimized using their significant parameters with our array dataset for the classification of gas type. Results indicate that the optimized SVM and NB classifier models exhibited 100% classification accuracy on test dataset. Practical applicability of the considered algorithms has been discussed as well. Moreover, this array device works at room-temperature using very low power and low-cost UV light-emitting diode (LED) as compared to high power consuming commercially available metal-oxide sensors.","author":[{"dropping-particle":"","family":"Khan","given":"Md Ashfaque Hossain","non-dropping-particle":"","parse-names":false,"suffix":""},{"dropping-particle":"","family":"Thomson","given":"Brian","non-dropping-particle":"","parse-names":false,"suffix":""},{"dropping-particle":"","family":"Debnath","given":"Ratan","non-dropping-particle":"","parse-names":false,"suffix":""},{"dropping-particle":"","family":"Motayed","given":"Abhishek","non-dropping-particle":"","parse-names":false,"suffix":""},{"dropping-particle":"V.","family":"Rao","given":"Mulpuri","non-dropping-particle":"","parse-names":false,"suffix":""}],"container-title":"IEEE Sensors Journal","id":"ITEM-1","issue":"11","issued":{"date-parts":[["2020"]]},"page":"6020-6028","title":"Nanowire-Based Sensor Array for Detection of Cross-Sensitive Gases Using PCA and Machine Learning Algorithms","type":"article-journal","volume":"20"},"uris":["http://www.mendeley.com/documents/?uuid=0f824a36-1d49-4b81-a688-83006cbda86b"]}],"mendeley":{"formattedCitation":"[8]","plainTextFormattedCitation":"[8]","previouslyFormattedCitation":"[8]"},"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[8]</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 xml:space="preserve">. Orthogonal vectors, called principal components (PC), represent the maximum variation of the original data </w:t>
      </w:r>
      <w:r>
        <w:fldChar w:fldCharType="begin"/>
      </w:r>
      <w:r>
        <w:rPr>
          <w:rFonts w:eastAsia="Times New Roman" w:ascii="Times New Roman" w:hAnsi="Times New Roman"/>
          <w:lang w:val="en-US"/>
        </w:rPr>
        <w:instrText>ADDIN CSL_CITATION {"citationItems":[{"id":"ITEM-1","itemData":{"DOI":"10.1016/j.snb.2017.04.051","ISSN":"09254005","abstract":"Nanoporous anodic alumina (NAA) presents interesting optical properties such as the Fabry-Pérot interference phenomenon, which can be used for sensing purposes. Optical sensing with NAA requires the determination of the material's effective refractive index from the interference spectra and its variation when the analyte interacts with NAA pores in a non-specific or selective way. In this work, we propose an alternative approach to deal with Fabry-Pérot interference spectra as an analytical signal for optical sensors: multivariate analysis. As a proof of concept, NAA substrates were employed in the determination of glucose by photoluminescence spectroscopy. Principal component analysis (PCA) and partial least-squares (PLS) regression were used to qualitatively investigate spectra profile changes with increasing concentrations of glucose, and to establish a quantitative regression model to determine glucose concentrations from the photoluminescence spectra, respectively. Results showed that multivariate analysis can be used in Fabry-Pérot interferences to obtain optical sensors responses.","author":[{"dropping-particle":"","family":"Ferro","given":"Letícia M.M.","non-dropping-particle":"","parse-names":false,"suffix":""},{"dropping-particle":"","family":"Lemos","given":"Sherlan G.","non-dropping-particle":"","parse-names":false,"suffix":""},{"dropping-particle":"","family":"Ferreira","given":"Marystela","non-dropping-particle":"","parse-names":false,"suffix":""},{"dropping-particle":"","family":"Trivinho-Strixino","given":"Francisco","non-dropping-particle":"","parse-names":false,"suffix":""}],"container-title":"Sensors and Actuators, B: Chemical","id":"ITEM-1","issued":{"date-parts":[["2017"]]},"page":"718-723","publisher":"Elsevier B.V.","title":"Use of multivariate analysis on Fabry-Pérot interference spectra of nanoporous anodic alumina (NAA) for optical sensors purposes","type":"article-journal","volume":"248"},"uris":["http://www.mendeley.com/documents/?uuid=5019948f-b045-4772-9485-eeb8f29a5308"]},{"id":"ITEM-2","itemData":{"DOI":"10.1109/ICSNS.2018.8573661","ISBN":"9781538645529","abstract":"Monitoring and control of batch processes is more complicated than that of a continuous process. This is due to the fact that the properties change with time in a batch process. Penicillin production using fed-batch fermentation technique is one such process which is dynamic and highly non-linear in nature. In thsi research, a dynamic pricnipal component regression based soft-sensor model is proposed for continuous monitoring of penicillin concentration in the fed-bath fermentation reactor. The available data (generated using pensim simulator) were divided into training and validation data. The model was developed from the training data and accuracy testing was done by simulation of the model with validation data. Results show that the dynamic PCR model proposed in this work is able to capture the collinearity and dynamic nature of the data quite effectively and is able to predict the product concentration with good accuracy.","author":[{"dropping-particle":"","family":"Ahuja","given":"Kabir","non-dropping-particle":"","parse-names":false,"suffix":""},{"dropping-particle":"","family":"Pani","given":"Ajaya Kumar","non-dropping-particle":"","parse-names":false,"suffix":""}],"container-title":"ICSNS 2018 - Proceedings of IEEE International Conference on Soft-Computing and Network Security","id":"ITEM-2","issue":"1","issued":{"date-parts":[["2018"]]},"page":"1-6","publisher":"IEEE","title":"Software sensor development for product concentration monitoring in fed-batch fermentation process using dynamic principal component regression","type":"article-journal"},"uris":["http://www.mendeley.com/documents/?uuid=988c22e3-8f19-4d6c-9ed2-5044fe1c35b3"]}],"mendeley":{"formattedCitation":"[6], [9]","plainTextFormattedCitation":"[6], [9]","previouslyFormattedCitation":"[6], [9]"},"properties":{"noteIndex":0},"schema":"https://github.com/citation-style-language/schema/raw/master/csl-citation.json"}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[6], [9]</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 Although there is this loss of less sensitive information in the application of the method, it is advantageous in cases of high correlation between the substances to be detected</w:t>
      </w:r>
      <w:r>
        <w:fldChar w:fldCharType="begin"/>
      </w:r>
      <w:r>
        <w:rPr>
          <w:rFonts w:eastAsia="Times New Roman" w:ascii="Times New Roman" w:hAnsi="Times New Roman"/>
          <w:lang w:val="en-US"/>
        </w:rPr>
        <w:instrText>ADDIN CSL_CITATION {"citationItems":[{"id":"ITEM-1","itemData":{"DOI":"10.1109/ICSNS.2018.8573661","ISBN":"9781538645529","abstract":"Monitoring and control of batch processes is more complicated than that of a continuous process. This is due to the fact that the properties change with time in a batch process. Penicillin production using fed-batch fermentation technique is one such process which is dynamic and highly non-linear in nature. In thsi research, a dynamic pricnipal component regression based soft-sensor model is proposed for continuous monitoring of penicillin concentration in the fed-bath fermentation reactor. The available data (generated using pensim simulator) were divided into training and validation data. The model was developed from the training data and accuracy testing was done by simulation of the model with validation data. Results show that the dynamic PCR model proposed in this work is able to capture the collinearity and dynamic nature of the data quite effectively and is able to predict the product concentration with good accuracy.","author":[{"dropping-particle":"","family":"Ahuja","given":"Kabir","non-dropping-particle":"","parse-names":false,"suffix":""},{"dropping-particle":"","family":"Pani","given":"Ajaya Kumar","non-dropping-particle":"","parse-names":false,"suffix":""}],"container-title":"ICSNS 2018 - Proceedings of IEEE International Conference on Soft-Computing and Network Security","id":"ITEM-1","issue":"1","issued":{"date-parts":[["2018"]]},"page":"1-6","publisher":"IEEE","title":"Software sensor development for product concentration monitoring in fed-batch fermentation process using dynamic principal component regression","type":"article-journal"},"uris":["http://www.mendeley.com/documents/?uuid=988c22e3-8f19-4d6c-9ed2-5044fe1c35b3"]}],"mendeley":{"formattedCitation":"[9]","plainTextFormattedCitation":"[9]","previouslyFormattedCitation":"[9]"},"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[9]</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analysis of multivariable data is applied to obtain statistical data from a large number of parameters or measurements, identifying the dominant patterns in these data</w:t>
      </w:r>
      <w:r>
        <w:fldChar w:fldCharType="begin"/>
      </w:r>
      <w:r>
        <w:rPr>
          <w:rFonts w:eastAsia="Times New Roman" w:ascii="Times New Roman" w:hAnsi="Times New Roman"/>
          <w:lang w:val="en-US"/>
        </w:rPr>
        <w:instrText>ADDIN CSL_CITATION {"citationItems":[{"id":"ITEM-1","itemData":{"DOI":"10.1016/j.snb.2017.04.051","ISSN":"09254005","abstract":"Nanoporous anodic alumina (NAA) presents interesting optical properties such as the Fabry-Pérot interference phenomenon, which can be used for sensing purposes. Optical sensing with NAA requires the determination of the material's effective refractive index from the interference spectra and its variation when the analyte interacts with NAA pores in a non-specific or selective way. In this work, we propose an alternative approach to deal with Fabry-Pérot interference spectra as an analytical signal for optical sensors: multivariate analysis. As a proof of concept, NAA substrates were employed in the determination of glucose by photoluminescence spectroscopy. Principal component analysis (PCA) and partial least-squares (PLS) regression were used to qualitatively investigate spectra profile changes with increasing concentrations of glucose, and to establish a quantitative regression model to determine glucose concentrations from the photoluminescence spectra, respectively. Results showed that multivariate analysis can be used in Fabry-Pérot interferences to obtain optical sensors responses.","author":[{"dropping-particle":"","family":"Ferro","given":"Letícia M.M.","non-dropping-particle":"","parse-names":false,"suffix":""},{"dropping-particle":"","family":"Lemos","given":"Sherlan G.","non-dropping-particle":"","parse-names":false,"suffix":""},{"dropping-particle":"","family":"Ferreira","given":"Marystela","non-dropping-particle":"","parse-names":false,"suffix":""},{"dropping-particle":"","family":"Trivinho-Strixino","given":"Francisco","non-dropping-particle":"","parse-names":false,"suffix":""}],"container-title":"Sensors and Actuators, B: Chemical","id":"ITEM-1","issued":{"date-parts":[["2017"]]},"page":"718-723","publisher":"Elsevier B.V.","title":"Use of multivariate analysis on Fabry-Pérot interference spectra of nanoporous anodic alumina (NAA) for optical sensors purposes","type":"article-journal","volume":"248"},"uris":["http://www.mendeley.com/documents/?uuid=5019948f-b045-4772-9485-eeb8f29a5308"]}],"mendeley":{"formattedCitation":"[6]","plainTextFormattedCitation":"[6]","previouslyFormattedCitation":"[6]"},"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[6]</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 The PCA projection allows for observing all the information from the database in a point graph with the linear combinations of the original response signal from the sensors where the axes will represent the principal components (PCs)</w:t>
      </w:r>
      <w:r>
        <w:fldChar w:fldCharType="begin"/>
      </w:r>
      <w:r>
        <w:rPr>
          <w:rFonts w:eastAsia="Times New Roman" w:ascii="Times New Roman" w:hAnsi="Times New Roman"/>
          <w:lang w:val="en-US"/>
        </w:rPr>
        <w:instrText>ADDIN CSL_CITATION {"citationItems":[{"id":"ITEM-1","itemData":{"DOI":"10.1016/j.snb.2017.04.051","ISSN":"09254005","abstract":"Nanoporous anodic alumina (NAA) presents interesting optical properties such as the Fabry-Pérot interference phenomenon, which can be used for sensing purposes. Optical sensing with NAA requires the determination of the material's effective refractive index from the interference spectra and its variation when the analyte interacts with NAA pores in a non-specific or selective way. In this work, we propose an alternative approach to deal with Fabry-Pérot interference spectra as an analytical signal for optical sensors: multivariate analysis. As a proof of concept, NAA substrates were employed in the determination of glucose by photoluminescence spectroscopy. Principal component analysis (PCA) and partial least-squares (PLS) regression were used to qualitatively investigate spectra profile changes with increasing concentrations of glucose, and to establish a quantitative regression model to determine glucose concentrations from the photoluminescence spectra, respectively. Results showed that multivariate analysis can be used in Fabry-Pérot interferences to obtain optical sensors responses.","author":[{"dropping-particle":"","family":"Ferro","given":"Letícia M.M.","non-dropping-particle":"","parse-names":false,"suffix":""},{"dropping-particle":"","family":"Lemos","given":"Sherlan G.","non-dropping-particle":"","parse-names":false,"suffix":""},{"dropping-particle":"","family":"Ferreira","given":"Marystela","non-dropping-particle":"","parse-names":false,"suffix":""},{"dropping-particle":"","family":"Trivinho-Strixino","given":"Francisco","non-dropping-particle":"","parse-names":false,"suffix":""}],"container-title":"Sensors and Actuators, B: Chemical","id":"ITEM-1","issued":{"date-parts":[["2017"]]},"page":"718-723","publisher":"Elsevier B.V.","title":"Use of multivariate analysis on Fabry-Pérot interference spectra of nanoporous anodic alumina (NAA) for optical sensors purposes","type":"article-journal","volume":"248"},"uris":["http://www.mendeley.com/documents/?uuid=5019948f-b045-4772-9485-eeb8f29a5308"]}],"mendeley":{"formattedCitation":"[6]","plainTextFormattedCitation":"[6]","previouslyFormattedCitation":"[6]"},"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[6]</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Considering a matrix of X of variables with the following representation:</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T</m:t>
                      </m:r>
                    </m:sup>
                  </m:sSubSup>
                </m:e>
              </m:mr>
              <m:mr>
                <m:e>
                  <m:r>
                    <w:rPr>
                      <w:rFonts w:ascii="Cambria Math" w:hAnsi="Cambria Math"/>
                    </w:rPr>
                    <m:t xml:space="preserve">⋮</m:t>
                  </m:r>
                </m:e>
              </m:mr>
              <m:mr>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T</m:t>
                      </m:r>
                    </m:sup>
                  </m:sSubSup>
                </m:e>
              </m:mr>
            </m:m>
          </m:e>
        </m:d>
        <m:r>
          <w:rPr>
            <w:rFonts w:ascii="Cambria Math" w:hAnsi="Cambria Math"/>
          </w:rPr>
          <m:t xml:space="preserve">=</m:t>
        </m:r>
        <m:d>
          <m:dPr>
            <m:begChr m:val="["/>
            <m:endChr m:val="]"/>
          </m:dPr>
          <m:e>
            <m:m>
              <m:mr>
                <m:e>
                  <m:sSub>
                    <m:e>
                      <m:r>
                        <w:rPr>
                          <w:rFonts w:ascii="Cambria Math" w:hAnsi="Cambria Math"/>
                        </w:rPr>
                        <m:t xml:space="preserve">x</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x</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x</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x</m:t>
                      </m:r>
                    </m:e>
                    <m:sub>
                      <m:r>
                        <w:rPr>
                          <w:rFonts w:ascii="Cambria Math" w:hAnsi="Cambria Math"/>
                        </w:rPr>
                        <m:t xml:space="preserve">IJ</m:t>
                      </m:r>
                    </m:sub>
                  </m:sSub>
                </m:e>
              </m:mr>
            </m:m>
          </m:e>
        </m:d>
        <m:r>
          <w:rPr>
            <w:rFonts w:ascii="Cambria Math" w:hAnsi="Cambria Math"/>
          </w:rPr>
          <m:t xml:space="preserve">=</m:t>
        </m:r>
        <m:d>
          <m:dPr>
            <m:begChr m:val="["/>
            <m:endChr m:val="]"/>
          </m:dPr>
          <m:e>
            <m:m>
              <m:mr>
                <m:e>
                  <m:sSub>
                    <m:e>
                      <m:r>
                        <w:rPr>
                          <w:rFonts w:ascii="Cambria Math" w:hAnsi="Cambria Math"/>
                        </w:rPr>
                        <m:t xml:space="preserve">x</m:t>
                      </m:r>
                    </m:e>
                    <m:sub>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x</m:t>
                      </m:r>
                    </m:e>
                    <m:sub>
                      <m:r>
                        <w:rPr>
                          <w:rFonts w:ascii="Cambria Math" w:hAnsi="Cambria Math"/>
                        </w:rPr>
                        <m:t xml:space="preserve">J</m:t>
                      </m:r>
                    </m:sub>
                  </m:sSub>
                </m:e>
              </m:mr>
            </m:m>
          </m:e>
        </m:d>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first step of the analysis is the preprocessing of the dataset. To perform the PCA analysis, it is necessary to subtract the mean of each variable from the data, the feature scaling or standard scaler, producing a dataset with the mean centered on zero (0). This ensures that the data is centered at the origin of the principal components and maintains the spatial relationship of the data and the value of the variables</w:t>
      </w:r>
      <w:r>
        <w:fldChar w:fldCharType="begin"/>
      </w:r>
      <w:r>
        <w:rPr>
          <w:rFonts w:eastAsia="Times New Roman" w:ascii="Times New Roman" w:hAnsi="Times New Roman"/>
          <w:lang w:val="en-US"/>
        </w:rPr>
        <w:instrText>ADDIN CSL_CITATION {"citationItems":[{"id":"ITEM-1","itemData":{"author":[{"dropping-particle":"","family":"Ho","given":"Steven M","non-dropping-particle":"","parse-names":false,"suffix":""}],"container-title":"Principal Components Analysis","id":"ITEM-1","issue":"December","issued":{"date-parts":[["2019"]]},"page":"12","title":"Principal Components Analysis (Pca)","type":"article-journal"},"uris":["http://www.mendeley.com/documents/?uuid=1d17dfe0-e9f7-4ccc-bf03-52b927e5f6e0"]},{"id":"ITEM-2","itemData":{"author":[{"dropping-particle":"","family":"Ferreira","given":"Marcia Miguel Castro","non-dropping-particle":"","parse-names":false,"suffix":""}],"id":"ITEM-2","issued":{"date-parts":[["2015"]]},"number-of-pages":"496","title":"Quimiometria: Conceitos, Métodos e Aplicações","type":"book"},"uris":["http://www.mendeley.com/documents/?uuid=002b185f-d045-47ef-b1af-47ff12b92e1b"]},{"id":"ITEM-3","itemData":{"author":[{"dropping-particle":"","family":"Smith","given":"Lindsay","non-dropping-particle":"","parse-names":false,"suffix":""}],"container-title":"Department of Computer Science, University of Otago.","id":"ITEM-3","issued":{"date-parts":[["2006"]]},"page":"12-28","title":"A tutorial on PCSA","type":"article-journal"},"uris":["http://www.mendeley.com/documents/?uuid=b8c37344-eaeb-4876-be4b-d3744b8ebe09"]}],"mendeley":{"formattedCitation":"[10]–[12]","plainTextFormattedCitation":"[10]–[12]","previouslyFormattedCitation":"[10]–[12]"},"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[10]–[12]</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bar>
          <m:barPr>
            <m:pos m:val="top"/>
          </m:barPr>
          <m:e>
            <m:r>
              <w:rPr>
                <w:rFonts w:ascii="Cambria Math" w:hAnsi="Cambria Math"/>
              </w:rPr>
              <m:t xml:space="preserve">X</m:t>
            </m:r>
          </m:e>
        </m:ba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sub>
                </m:sSub>
              </m:e>
            </m:nary>
          </m:num>
          <m:den>
            <m:r>
              <w:rPr>
                <w:rFonts w:ascii="Cambria Math" w:hAnsi="Cambria Math"/>
              </w:rPr>
              <m:t xml:space="preserve">n</m:t>
            </m:r>
          </m:den>
        </m:f>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X̅ is the mean value that is equal to the sum of all X variables divided by the number of samples n of X variable. Now that we have the mean of the variable X, we need to know the scale of the variable and how much our data is spread on this scale. For this, we need to calculate the Standard Deviation (SD)</w:t>
      </w:r>
      <w:r>
        <w:fldChar w:fldCharType="begin"/>
      </w:r>
      <w:r>
        <w:rPr>
          <w:rFonts w:eastAsia="Times New Roman" w:ascii="Times New Roman" w:hAnsi="Times New Roman"/>
          <w:lang w:val="en-US"/>
        </w:rPr>
        <w:instrText>ADDIN CSL_CITATION {"citationItems":[{"id":"ITEM-1","itemData":{"author":[{"dropping-particle":"","family":"Smith","given":"Lindsay","non-dropping-particle":"","parse-names":false,"suffix":""}],"container-title":"Department of Computer Science, University of Otago.","id":"ITEM-1","issued":{"date-parts":[["2006"]]},"page":"12-28","title":"A tutorial on PCSA","type":"article-journal"},"uris":["http://www.mendeley.com/documents/?uuid=b8c37344-eaeb-4876-be4b-d3744b8ebe09"]}],"mendeley":{"formattedCitation":"[12]","plainTextFormattedCitation":"[12]","previouslyFormattedCitation":"[12]"},"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[12]</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r>
          <w:rPr>
            <w:rFonts w:ascii="Cambria Math" w:hAnsi="Cambria Math"/>
          </w:rPr>
          <m:t xml:space="preserve">SD</m:t>
        </m:r>
        <m:r>
          <w:rPr>
            <w:rFonts w:ascii="Cambria Math" w:hAnsi="Cambria Math"/>
          </w:rPr>
          <m:t xml:space="preserve">=</m:t>
        </m:r>
        <m:rad>
          <m:radPr>
            <m:degHide m:val="1"/>
          </m:radPr>
          <m:deg/>
          <m:e>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X</m:t>
                                </m:r>
                              </m:e>
                            </m:bar>
                          </m:e>
                        </m:d>
                      </m:e>
                      <m:sup>
                        <m:r>
                          <w:rPr>
                            <w:rFonts w:ascii="Cambria Math" w:hAnsi="Cambria Math"/>
                          </w:rPr>
                          <m:t xml:space="preserve">2</m:t>
                        </m:r>
                      </m:sup>
                    </m:sSup>
                  </m:e>
                </m:nary>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e>
        </m:rad>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Standard Deviation (SD) represents the average distance from the calculated mean to a point in the dataset. It represents the square root of the sum of each point of variable X minus its mean value X̅ squared, divided by the number of samples of that variable X minus 1</w:t>
      </w:r>
      <w:r>
        <w:fldChar w:fldCharType="begin"/>
      </w:r>
      <w:r>
        <w:rPr>
          <w:rFonts w:eastAsia="Times New Roman" w:ascii="Times New Roman" w:hAnsi="Times New Roman"/>
          <w:lang w:val="en-US"/>
        </w:rPr>
        <w:instrText>ADDIN CSL_CITATION {"citationItems":[{"id":"ITEM-1","itemData":{"author":[{"dropping-particle":"","family":"Smith","given":"Lindsay","non-dropping-particle":"","parse-names":false,"suffix":""}],"container-title":"Department of Computer Science, University of Otago.","id":"ITEM-1","issued":{"date-parts":[["2006"]]},"page":"12-28","title":"A tutorial on PCSA","type":"article-journal"},"uris":["http://www.mendeley.com/documents/?uuid=b8c37344-eaeb-4876-be4b-d3744b8ebe09"]}],"mendeley":{"formattedCitation":"[12]","plainTextFormattedCitation":"[12]","previouslyFormattedCitation":"[12]"},"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[12]</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In this article, the samples are represented by the row vector, each sample has a representative line and a representative point line regarding its frequency value, and each variable is represented by the column vector</w:t>
      </w:r>
      <w:r>
        <w:fldChar w:fldCharType="begin"/>
      </w:r>
      <w:r>
        <w:rPr>
          <w:rFonts w:eastAsia="Times New Roman" w:ascii="Times New Roman" w:hAnsi="Times New Roman"/>
          <w:lang w:val="en-US"/>
        </w:rPr>
        <w:instrText>ADDIN CSL_CITATION {"citationItems":[{"id":"ITEM-1","itemData":{"author":[{"dropping-particle":"","family":"Ferreira","given":"Marcia Miguel Castro","non-dropping-particle":"","parse-names":false,"suffix":""}],"id":"ITEM-1","issued":{"date-parts":[["2015"]]},"number-of-pages":"496","title":"Quimiometria: Conceitos, Métodos e Aplicações","type":"book"},"uris":["http://www.mendeley.com/documents/?uuid=002b185f-d045-47ef-b1af-47ff12b92e1b"]}],"mendeley":{"formattedCitation":"[11]","plainTextFormattedCitation":"[11]","previouslyFormattedCitation":"[11]"},"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[11]</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 xml:space="preserve">Principal Component Analysis (PCA) is then defined mathematically as the decomposition of the initial matrix </w:t>
      </w: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oMath>
      <w:r>
        <w:rPr>
          <w:rFonts w:eastAsia="Times New Roman" w:ascii="Times New Roman" w:hAnsi="Times New Roman"/>
          <w:lang w:val="en-US"/>
        </w:rPr>
        <w:t xml:space="preserve"> into two matrices, the first one representing the T scores and the second one representing the L loadings</w:t>
      </w:r>
      <w:r>
        <w:fldChar w:fldCharType="begin"/>
      </w:r>
      <w:r>
        <w:rPr>
          <w:rFonts w:eastAsia="Times New Roman" w:ascii="Times New Roman" w:hAnsi="Times New Roman"/>
          <w:lang w:val="en-US"/>
        </w:rPr>
        <w:instrText>ADDIN CSL_CITATION {"citationItems":[{"id":"ITEM-1","itemData":{"author":[{"dropping-particle":"","family":"Ferreira","given":"Marcia Miguel Castro","non-dropping-particle":"","parse-names":false,"suffix":""}],"id":"ITEM-1","issued":{"date-parts":[["2015"]]},"number-of-pages":"496","title":"Quimiometria: Conceitos, Métodos e Aplicações","type":"book"},"uris":["http://www.mendeley.com/documents/?uuid=002b185f-d045-47ef-b1af-47ff12b92e1b"]}],"mendeley":{"formattedCitation":"[11]","plainTextFormattedCitation":"[11]","previouslyFormattedCitation":"[11]"},"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[11]</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m:t>
        </m:r>
        <m:sSup>
          <m:e>
            <m:r>
              <w:rPr>
                <w:rFonts w:ascii="Cambria Math" w:hAnsi="Cambria Math"/>
              </w:rPr>
              <m:t xml:space="preserve">L</m:t>
            </m:r>
          </m:e>
          <m:sup>
            <m:r>
              <w:rPr>
                <w:rFonts w:ascii="Cambria Math" w:hAnsi="Cambria Math"/>
              </w:rPr>
              <m:t xml:space="preserve">T</m:t>
            </m:r>
          </m:sup>
        </m:sSup>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 xml:space="preserve">The scores (T) indicate the relationship between the samples and the loadings (L) indicate the relationships between the variables. PCA is a statistical method of data projection. When the initial matrix decomposition is performed from related data to unrelated data, using only the scores and loadings, each of the J columns of the loading matrix (L) starts to define the direction of the axis of a PC (Principal Component), projecting a new score matrix </w:t>
      </w:r>
      <w:r>
        <w:fldChar w:fldCharType="begin"/>
      </w:r>
      <w:r>
        <w:rPr>
          <w:rFonts w:eastAsia="Times New Roman" w:ascii="Times New Roman" w:hAnsi="Times New Roman"/>
          <w:lang w:val="en-US"/>
        </w:rPr>
        <w:instrText>ADDIN CSL_CITATION {"citationItems":[{"id":"ITEM-1","itemData":{"author":[{"dropping-particle":"","family":"Ferreira","given":"Marcia Miguel Castro","non-dropping-particle":"","parse-names":false,"suffix":""}],"id":"ITEM-1","issued":{"date-parts":[["2015"]]},"number-of-pages":"496","title":"Quimiometria: Conceitos, Métodos e Aplicações","type":"book"},"uris":["http://www.mendeley.com/documents/?uuid=002b185f-d045-47ef-b1af-47ff12b92e1b"]},{"id":"ITEM-2","itemData":{"author":[{"dropping-particle":"","family":"Ho","given":"Steven M","non-dropping-particle":"","parse-names":false,"suffix":""}],"container-title":"Principal Components Analysis","id":"ITEM-2","issue":"December","issued":{"date-parts":[["2019"]]},"page":"12","title":"Principal Components Analysis (Pca)","type":"article-journal"},"uris":["http://www.mendeley.com/documents/?uuid=1d17dfe0-e9f7-4ccc-bf03-52b927e5f6e0"]}],"mendeley":{"formattedCitation":"[10], [11]","plainTextFormattedCitation":"[10], [11]","previouslyFormattedCitation":"[10], [11]"},"properties":{"noteIndex":0},"schema":"https://github.com/citation-style-language/schema/raw/master/csl-citation.json"}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[10], [11]</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R</m:t>
        </m:r>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R-value is the transformation matrix from the original to the principal components (PC)</w:t>
      </w:r>
      <w:r>
        <w:fldChar w:fldCharType="begin"/>
      </w:r>
      <w:r>
        <w:rPr>
          <w:rFonts w:eastAsia="Times New Roman" w:ascii="Times New Roman" w:hAnsi="Times New Roman"/>
          <w:lang w:val="en-US"/>
        </w:rPr>
        <w:instrText>ADDIN CSL_CITATION {"citationItems":[{"id":"ITEM-1","itemData":{"author":[{"dropping-particle":"","family":"Ferreira","given":"Marcia Miguel Castro","non-dropping-particle":"","parse-names":false,"suffix":""}],"id":"ITEM-1","issued":{"date-parts":[["2015"]]},"number-of-pages":"496","title":"Quimiometria: Conceitos, Métodos e Aplicações","type":"book"},"uris":["http://www.mendeley.com/documents/?uuid=002b185f-d045-47ef-b1af-47ff12b92e1b"]}],"mendeley":{"formattedCitation":"[11]","plainTextFormattedCitation":"[11]","previouslyFormattedCitation":"[11]"},"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[11]</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scores and loadings can have positive and negative values, having no relation to the original values. When we have positive loadings, this indicates that the variable is positively correlated with the PC. That is, if the value of the variable increases, it will increase the point value in the PC and then, when we have negative loadings, this indicates that the variable is negatively correlated with PC, and if there is an indication of null value, zero, it means that there is no correlation. If the loading is positively or negatively large, it indicates a great dependence of the Principal Component on this variable</w:t>
      </w:r>
      <w:r>
        <w:fldChar w:fldCharType="begin"/>
      </w:r>
      <w:r>
        <w:rPr>
          <w:rFonts w:eastAsia="Times New Roman" w:ascii="Times New Roman" w:hAnsi="Times New Roman"/>
          <w:lang w:val="en-US"/>
        </w:rPr>
        <w:instrText>ADDIN CSL_CITATION {"citationItems":[{"id":"ITEM-1","itemData":{"DOI":"10.1002/jrs.2525","ISSN":"03770486","abstract":"This article reviews the analytic techniques for Raman spectroscopic imaging with emphasis on chemometrics. Key information included in Raman spectra is often distributed broadly throughout the dataset. It is possible to condense the information into a very compact matrix representation by a chemometric technique of factor analysis such as principal component analysis (PCA) or self-modeling curve resolution (SMCR). PCA yields two matrices called scores and loadings which complementarily represent the entire features broadly distributed in the dataset. This concept can be further extended to other forms of data transformation schemes, including bilinear data decomposition based on SMCR analysis. SMCR offers a firmer model which is chemically or physically interpretable.The information derived from these techniques readily brings useful insight into building a mechanistic model for understanding complex phenomena studied by Raman spectroscopy. Illustrative examples are given for applications of both PCA and SMCR to Raman imaging of pharmaceutical tablets. © 2009 John Wiley &amp; Sons, Ltd.","author":[{"dropping-particle":"","family":"Shinzawa","given":"Hideyuki","non-dropping-particle":"","parse-names":false,"suffix":""},{"dropping-particle":"","family":"Awa","given":"Kimie","non-dropping-particle":"","parse-names":false,"suffix":""},{"dropping-particle":"","family":"Kanematsu","given":"Wataru","non-dropping-particle":"","parse-names":false,"suffix":""},{"dropping-particle":"","family":"Ozaki","given":"Yukihiro","non-dropping-particle":"","parse-names":false,"suffix":""}],"container-title":"Journal of Raman Spectroscopy","id":"ITEM-1","issue":"12","issued":{"date-parts":[["2009"]]},"page":"1720-1725","title":"Multivariate data analysis for Raman spectroscopic imaging","type":"article-journal","volume":"40"},"uris":["http://www.mendeley.com/documents/?uuid=b2b8a2c1-4237-47d5-93a7-c08e7ed971c0"]},{"id":"ITEM-2","itemData":{"author":[{"dropping-particle":"","family":"Smith","given":"Lindsay","non-dropping-particle":"","parse-names":false,"suffix":""}],"container-title":"Department of Computer Science, University of Otago.","id":"ITEM-2","issued":{"date-parts":[["2006"]]},"page":"12-28","title":"A tutorial on PCSA","type":"article-journal"},"uris":["http://www.mendeley.com/documents/?uuid=b8c37344-eaeb-4876-be4b-d3744b8ebe09"]},{"id":"ITEM-3","itemData":{"author":[{"dropping-particle":"","family":"Ho","given":"Steven M","non-dropping-particle":"","parse-names":false,"suffix":""}],"container-title":"Principal Components Analysis","id":"ITEM-3","issue":"December","issued":{"date-parts":[["2019"]]},"page":"12","title":"Principal Components Analysis (Pca)","type":"article-journal"},"uris":["http://www.mendeley.com/documents/?uuid=1d17dfe0-e9f7-4ccc-bf03-52b927e5f6e0"]}],"mendeley":{"formattedCitation":"[10], [12], [13]","plainTextFormattedCitation":"[10], [12], [13]","previouslyFormattedCitation":"[10], [12], [13]"},"properties":{"noteIndex":0},"schema":"https://github.com/citation-style-language/schema/raw/master/csl-citation.json"}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[10], [12], [13]</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ListParagraph"/>
        <w:numPr>
          <w:ilvl w:val="1"/>
          <w:numId w:val="2"/>
        </w:numPr>
        <w:spacing w:lineRule="auto" w:line="240" w:before="0" w:after="0"/>
        <w:ind w:left="792" w:right="-569" w:hanging="432"/>
        <w:contextualSpacing/>
        <w:jc w:val="both"/>
        <w:rPr>
          <w:rFonts w:ascii="Times New Roman" w:hAnsi="Times New Roman" w:eastAsia="Times New Roman"/>
          <w:lang w:val="en-US"/>
        </w:rPr>
      </w:pPr>
      <w:r>
        <w:rPr>
          <w:rFonts w:eastAsia="Times New Roman" w:ascii="Times New Roman" w:hAnsi="Times New Roman"/>
          <w:i/>
          <w:iCs/>
          <w:lang w:val="en-US"/>
        </w:rPr>
        <w:t>Covariance matrix</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Starting the concept with variance (s2), the variance calculation resembles the Standard Deviation (SD) calculation. The variance represents a Principal Component (PC) 's variation in the dataset</w:t>
      </w:r>
      <w:r>
        <w:fldChar w:fldCharType="begin"/>
      </w:r>
      <w:r>
        <w:rPr>
          <w:rFonts w:eastAsia="Times New Roman" w:ascii="Times New Roman" w:hAnsi="Times New Roman"/>
          <w:lang w:val="en-US"/>
        </w:rPr>
        <w:instrText>ADDIN CSL_CITATION {"citationItems":[{"id":"ITEM-1","itemData":{"author":[{"dropping-particle":"","family":"Smith","given":"Lindsay","non-dropping-particle":"","parse-names":false,"suffix":""}],"container-title":"Department of Computer Science, University of Otago.","id":"ITEM-1","issued":{"date-parts":[["2006"]]},"page":"12-28","title":"A tutorial on PCSA","type":"article-journal"},"uris":["http://www.mendeley.com/documents/?uuid=b8c37344-eaeb-4876-be4b-d3744b8ebe09"]}],"mendeley":{"formattedCitation":"[12]","plainTextFormattedCitation":"[12]","previouslyFormattedCitation":"[12]"},"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[12]</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X</m:t>
                            </m:r>
                          </m:e>
                        </m:bar>
                      </m:e>
                    </m:d>
                  </m:e>
                  <m:sup>
                    <m:r>
                      <w:rPr>
                        <w:rFonts w:ascii="Cambria Math" w:hAnsi="Cambria Math"/>
                      </w:rPr>
                      <m:t xml:space="preserve">2</m:t>
                    </m:r>
                  </m:sup>
                </m:sSup>
              </m:e>
            </m:nary>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 xml:space="preserve">To understand the concept of covariance matrix, we need to understand the concept of covariance. The variance is a calculation made in a single dimension where it is possible to calculate the variation in that dimension. Still, if there is more than one dimension, it is possible to calculate the variation between the mean value calculated in each of these dimensions; this calculation is called covariance (cov) </w:t>
      </w:r>
      <w:r>
        <w:fldChar w:fldCharType="begin"/>
      </w:r>
      <w:r>
        <w:rPr>
          <w:rFonts w:eastAsia="Times New Roman" w:ascii="Times New Roman" w:hAnsi="Times New Roman"/>
          <w:lang w:val="en-US"/>
        </w:rPr>
        <w:instrText>ADDIN CSL_CITATION {"citationItems":[{"id":"ITEM-1","itemData":{"author":[{"dropping-particle":"","family":"Smith","given":"Lindsay","non-dropping-particle":"","parse-names":false,"suffix":""}],"container-title":"Department of Computer Science, University of Otago.","id":"ITEM-1","issued":{"date-parts":[["2006"]]},"page":"12-28","title":"A tutorial on PCSA","type":"article-journal"},"uris":["http://www.mendeley.com/documents/?uuid=b8c37344-eaeb-4876-be4b-d3744b8ebe09"]}],"mendeley":{"formattedCitation":"[12]","plainTextFormattedCitation":"[12]","previouslyFormattedCitation":"[12]"},"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[12]</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r>
          <w:rPr>
            <w:rFonts w:ascii="Cambria Math" w:hAnsi="Cambria Math"/>
          </w:rPr>
          <m:t xml:space="preserve">cov</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X</m:t>
                        </m:r>
                      </m:e>
                    </m:bar>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Y</m:t>
                        </m:r>
                      </m:e>
                    </m:bar>
                  </m:e>
                </m:d>
              </m:e>
            </m:nary>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Since we could have several variables (var) in different dimensions (X, Y and Z), we could calculate all the covariance data in a matrix, finally getting the covariance matrix. Based on this information, we can represent a covariance matrix (C) as follows: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m>
              <m:mr>
                <m:e>
                  <m:r>
                    <w:rPr>
                      <w:rFonts w:ascii="Cambria Math" w:hAnsi="Cambria Math"/>
                    </w:rPr>
                    <m:t xml:space="preserve">cov</m:t>
                  </m:r>
                  <m:d>
                    <m:dPr>
                      <m:begChr m:val="("/>
                      <m:endChr m:val=")"/>
                    </m:dPr>
                    <m:e>
                      <m:sSub>
                        <m:e>
                          <m:r>
                            <w:rPr>
                              <w:rFonts w:ascii="Cambria Math" w:hAnsi="Cambria Math"/>
                            </w:rPr>
                            <m:t xml:space="preserve">var</m:t>
                          </m:r>
                        </m:e>
                        <m:sub>
                          <m:r>
                            <w:rPr>
                              <w:rFonts w:ascii="Cambria Math" w:hAnsi="Cambria Math"/>
                            </w:rPr>
                            <m:t xml:space="preserve">x</m:t>
                          </m:r>
                          <m:r>
                            <w:rPr>
                              <w:rFonts w:ascii="Cambria Math" w:hAnsi="Cambria Math"/>
                            </w:rPr>
                            <m:t xml:space="preserve">,</m:t>
                          </m:r>
                          <m:r>
                            <w:rPr>
                              <w:rFonts w:ascii="Cambria Math" w:hAnsi="Cambria Math"/>
                            </w:rPr>
                            <m:t xml:space="preserve">x</m:t>
                          </m:r>
                        </m:sub>
                      </m:sSub>
                    </m:e>
                  </m:d>
                </m:e>
                <m:e>
                  <m:r>
                    <w:rPr>
                      <w:rFonts w:ascii="Cambria Math" w:hAnsi="Cambria Math"/>
                    </w:rPr>
                    <m:t xml:space="preserve">cov</m:t>
                  </m:r>
                  <m:d>
                    <m:dPr>
                      <m:begChr m:val="("/>
                      <m:endChr m:val=")"/>
                    </m:dPr>
                    <m:e>
                      <m:sSub>
                        <m:e>
                          <m:r>
                            <w:rPr>
                              <w:rFonts w:ascii="Cambria Math" w:hAnsi="Cambria Math"/>
                            </w:rPr>
                            <m:t xml:space="preserve">var</m:t>
                          </m:r>
                        </m:e>
                        <m:sub>
                          <m:r>
                            <w:rPr>
                              <w:rFonts w:ascii="Cambria Math" w:hAnsi="Cambria Math"/>
                            </w:rPr>
                            <m:t xml:space="preserve">x</m:t>
                          </m:r>
                          <m:r>
                            <w:rPr>
                              <w:rFonts w:ascii="Cambria Math" w:hAnsi="Cambria Math"/>
                            </w:rPr>
                            <m:t xml:space="preserve">,</m:t>
                          </m:r>
                          <m:r>
                            <w:rPr>
                              <w:rFonts w:ascii="Cambria Math" w:hAnsi="Cambria Math"/>
                            </w:rPr>
                            <m:t xml:space="preserve">y</m:t>
                          </m:r>
                        </m:sub>
                      </m:sSub>
                    </m:e>
                  </m:d>
                </m:e>
                <m:e>
                  <m:r>
                    <w:rPr>
                      <w:rFonts w:ascii="Cambria Math" w:hAnsi="Cambria Math"/>
                    </w:rPr>
                    <m:t xml:space="preserve">cov</m:t>
                  </m:r>
                  <m:d>
                    <m:dPr>
                      <m:begChr m:val="("/>
                      <m:endChr m:val=")"/>
                    </m:dPr>
                    <m:e>
                      <m:sSub>
                        <m:e>
                          <m:r>
                            <w:rPr>
                              <w:rFonts w:ascii="Cambria Math" w:hAnsi="Cambria Math"/>
                            </w:rPr>
                            <m:t xml:space="preserve">var</m:t>
                          </m:r>
                        </m:e>
                        <m:sub>
                          <m:r>
                            <w:rPr>
                              <w:rFonts w:ascii="Cambria Math" w:hAnsi="Cambria Math"/>
                            </w:rPr>
                            <m:t xml:space="preserve">x</m:t>
                          </m:r>
                          <m:r>
                            <w:rPr>
                              <w:rFonts w:ascii="Cambria Math" w:hAnsi="Cambria Math"/>
                            </w:rPr>
                            <m:t xml:space="preserve">,</m:t>
                          </m:r>
                          <m:r>
                            <w:rPr>
                              <w:rFonts w:ascii="Cambria Math" w:hAnsi="Cambria Math"/>
                            </w:rPr>
                            <m:t xml:space="preserve">z</m:t>
                          </m:r>
                        </m:sub>
                      </m:sSub>
                    </m:e>
                  </m:d>
                </m:e>
              </m:mr>
              <m:mr>
                <m:e>
                  <m:r>
                    <w:rPr>
                      <w:rFonts w:ascii="Cambria Math" w:hAnsi="Cambria Math"/>
                    </w:rPr>
                    <m:t xml:space="preserve">cov</m:t>
                  </m:r>
                  <m:d>
                    <m:dPr>
                      <m:begChr m:val="("/>
                      <m:endChr m:val=")"/>
                    </m:dPr>
                    <m:e>
                      <m:sSub>
                        <m:e>
                          <m:r>
                            <w:rPr>
                              <w:rFonts w:ascii="Cambria Math" w:hAnsi="Cambria Math"/>
                            </w:rPr>
                            <m:t xml:space="preserve">var</m:t>
                          </m:r>
                        </m:e>
                        <m:sub>
                          <m:r>
                            <w:rPr>
                              <w:rFonts w:ascii="Cambria Math" w:hAnsi="Cambria Math"/>
                            </w:rPr>
                            <m:t xml:space="preserve">y</m:t>
                          </m:r>
                          <m:r>
                            <w:rPr>
                              <w:rFonts w:ascii="Cambria Math" w:hAnsi="Cambria Math"/>
                            </w:rPr>
                            <m:t xml:space="preserve">,</m:t>
                          </m:r>
                          <m:r>
                            <w:rPr>
                              <w:rFonts w:ascii="Cambria Math" w:hAnsi="Cambria Math"/>
                            </w:rPr>
                            <m:t xml:space="preserve">x</m:t>
                          </m:r>
                        </m:sub>
                      </m:sSub>
                    </m:e>
                  </m:d>
                </m:e>
                <m:e>
                  <m:r>
                    <w:rPr>
                      <w:rFonts w:ascii="Cambria Math" w:hAnsi="Cambria Math"/>
                    </w:rPr>
                    <m:t xml:space="preserve">cov</m:t>
                  </m:r>
                  <m:d>
                    <m:dPr>
                      <m:begChr m:val="("/>
                      <m:endChr m:val=")"/>
                    </m:dPr>
                    <m:e>
                      <m:sSub>
                        <m:e>
                          <m:r>
                            <w:rPr>
                              <w:rFonts w:ascii="Cambria Math" w:hAnsi="Cambria Math"/>
                            </w:rPr>
                            <m:t xml:space="preserve">var</m:t>
                          </m:r>
                        </m:e>
                        <m:sub>
                          <m:r>
                            <w:rPr>
                              <w:rFonts w:ascii="Cambria Math" w:hAnsi="Cambria Math"/>
                            </w:rPr>
                            <m:t xml:space="preserve">y</m:t>
                          </m:r>
                          <m:r>
                            <w:rPr>
                              <w:rFonts w:ascii="Cambria Math" w:hAnsi="Cambria Math"/>
                            </w:rPr>
                            <m:t xml:space="preserve">,</m:t>
                          </m:r>
                          <m:r>
                            <w:rPr>
                              <w:rFonts w:ascii="Cambria Math" w:hAnsi="Cambria Math"/>
                            </w:rPr>
                            <m:t xml:space="preserve">y</m:t>
                          </m:r>
                        </m:sub>
                      </m:sSub>
                    </m:e>
                  </m:d>
                </m:e>
                <m:e>
                  <m:r>
                    <w:rPr>
                      <w:rFonts w:ascii="Cambria Math" w:hAnsi="Cambria Math"/>
                    </w:rPr>
                    <m:t xml:space="preserve">cov</m:t>
                  </m:r>
                  <m:d>
                    <m:dPr>
                      <m:begChr m:val="("/>
                      <m:endChr m:val=")"/>
                    </m:dPr>
                    <m:e>
                      <m:sSub>
                        <m:e>
                          <m:r>
                            <w:rPr>
                              <w:rFonts w:ascii="Cambria Math" w:hAnsi="Cambria Math"/>
                            </w:rPr>
                            <m:t xml:space="preserve">var</m:t>
                          </m:r>
                        </m:e>
                        <m:sub>
                          <m:r>
                            <w:rPr>
                              <w:rFonts w:ascii="Cambria Math" w:hAnsi="Cambria Math"/>
                            </w:rPr>
                            <m:t xml:space="preserve">y</m:t>
                          </m:r>
                          <m:r>
                            <w:rPr>
                              <w:rFonts w:ascii="Cambria Math" w:hAnsi="Cambria Math"/>
                            </w:rPr>
                            <m:t xml:space="preserve">,</m:t>
                          </m:r>
                          <m:r>
                            <w:rPr>
                              <w:rFonts w:ascii="Cambria Math" w:hAnsi="Cambria Math"/>
                            </w:rPr>
                            <m:t xml:space="preserve">z</m:t>
                          </m:r>
                        </m:sub>
                      </m:sSub>
                    </m:e>
                  </m:d>
                </m:e>
              </m:mr>
              <m:mr>
                <m:e>
                  <m:r>
                    <w:rPr>
                      <w:rFonts w:ascii="Cambria Math" w:hAnsi="Cambria Math"/>
                    </w:rPr>
                    <m:t xml:space="preserve">cov</m:t>
                  </m:r>
                  <m:d>
                    <m:dPr>
                      <m:begChr m:val="("/>
                      <m:endChr m:val=")"/>
                    </m:dPr>
                    <m:e>
                      <m:sSub>
                        <m:e>
                          <m:r>
                            <w:rPr>
                              <w:rFonts w:ascii="Cambria Math" w:hAnsi="Cambria Math"/>
                            </w:rPr>
                            <m:t xml:space="preserve">var</m:t>
                          </m:r>
                        </m:e>
                        <m:sub>
                          <m:r>
                            <w:rPr>
                              <w:rFonts w:ascii="Cambria Math" w:hAnsi="Cambria Math"/>
                            </w:rPr>
                            <m:t xml:space="preserve">z</m:t>
                          </m:r>
                          <m:r>
                            <w:rPr>
                              <w:rFonts w:ascii="Cambria Math" w:hAnsi="Cambria Math"/>
                            </w:rPr>
                            <m:t xml:space="preserve">,</m:t>
                          </m:r>
                          <m:r>
                            <w:rPr>
                              <w:rFonts w:ascii="Cambria Math" w:hAnsi="Cambria Math"/>
                            </w:rPr>
                            <m:t xml:space="preserve">x</m:t>
                          </m:r>
                        </m:sub>
                      </m:sSub>
                    </m:e>
                  </m:d>
                </m:e>
                <m:e>
                  <m:r>
                    <w:rPr>
                      <w:rFonts w:ascii="Cambria Math" w:hAnsi="Cambria Math"/>
                    </w:rPr>
                    <m:t xml:space="preserve">cov</m:t>
                  </m:r>
                  <m:d>
                    <m:dPr>
                      <m:begChr m:val="("/>
                      <m:endChr m:val=")"/>
                    </m:dPr>
                    <m:e>
                      <m:sSub>
                        <m:e>
                          <m:r>
                            <w:rPr>
                              <w:rFonts w:ascii="Cambria Math" w:hAnsi="Cambria Math"/>
                            </w:rPr>
                            <m:t xml:space="preserve">var</m:t>
                          </m:r>
                        </m:e>
                        <m:sub>
                          <m:r>
                            <w:rPr>
                              <w:rFonts w:ascii="Cambria Math" w:hAnsi="Cambria Math"/>
                            </w:rPr>
                            <m:t xml:space="preserve">z</m:t>
                          </m:r>
                          <m:r>
                            <w:rPr>
                              <w:rFonts w:ascii="Cambria Math" w:hAnsi="Cambria Math"/>
                            </w:rPr>
                            <m:t xml:space="preserve">,</m:t>
                          </m:r>
                          <m:r>
                            <w:rPr>
                              <w:rFonts w:ascii="Cambria Math" w:hAnsi="Cambria Math"/>
                            </w:rPr>
                            <m:t xml:space="preserve">y</m:t>
                          </m:r>
                        </m:sub>
                      </m:sSub>
                    </m:e>
                  </m:d>
                </m:e>
                <m:e>
                  <m:r>
                    <w:rPr>
                      <w:rFonts w:ascii="Cambria Math" w:hAnsi="Cambria Math"/>
                    </w:rPr>
                    <m:t xml:space="preserve">cov</m:t>
                  </m:r>
                  <m:d>
                    <m:dPr>
                      <m:begChr m:val="("/>
                      <m:endChr m:val=")"/>
                    </m:dPr>
                    <m:e>
                      <m:sSub>
                        <m:e>
                          <m:r>
                            <w:rPr>
                              <w:rFonts w:ascii="Cambria Math" w:hAnsi="Cambria Math"/>
                            </w:rPr>
                            <m:t xml:space="preserve">var</m:t>
                          </m:r>
                        </m:e>
                        <m:sub>
                          <m:r>
                            <w:rPr>
                              <w:rFonts w:ascii="Cambria Math" w:hAnsi="Cambria Math"/>
                            </w:rPr>
                            <m:t xml:space="preserve">z</m:t>
                          </m:r>
                          <m:r>
                            <w:rPr>
                              <w:rFonts w:ascii="Cambria Math" w:hAnsi="Cambria Math"/>
                            </w:rPr>
                            <m:t xml:space="preserve">,</m:t>
                          </m:r>
                          <m:r>
                            <w:rPr>
                              <w:rFonts w:ascii="Cambria Math" w:hAnsi="Cambria Math"/>
                            </w:rPr>
                            <m:t xml:space="preserve">z</m:t>
                          </m:r>
                        </m:sub>
                      </m:sSub>
                    </m:e>
                  </m:d>
                </m:e>
              </m:mr>
            </m:m>
          </m:e>
        </m:d>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covariance matrix will be a square matrix, and it will represent the covariance between the variables in the dataset</w:t>
      </w:r>
      <w:r>
        <w:fldChar w:fldCharType="begin"/>
      </w:r>
      <w:r>
        <w:rPr>
          <w:rFonts w:eastAsia="Times New Roman" w:ascii="Times New Roman" w:hAnsi="Times New Roman"/>
          <w:lang w:val="en-US"/>
        </w:rPr>
        <w:instrText>ADDIN CSL_CITATION {"citationItems":[{"id":"ITEM-1","itemData":{"author":[{"dropping-particle":"","family":"Smith","given":"Lindsay","non-dropping-particle":"","parse-names":false,"suffix":""}],"container-title":"Department of Computer Science, University of Otago.","id":"ITEM-1","issued":{"date-parts":[["2006"]]},"page":"12-28","title":"A tutorial on PCSA","type":"article-journal"},"uris":["http://www.mendeley.com/documents/?uuid=b8c37344-eaeb-4876-be4b-d3744b8ebe09"]}],"mendeley":{"formattedCitation":"[12]","plainTextFormattedCitation":"[12]","previouslyFormattedCitation":"[12]"},"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[12]</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 Eigenvectors of a matrix X is a vector μ, which can be represented as: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μ</m:t>
        </m:r>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λ value is the scalar called the eigenvalue. Considering the different variables and their dimensions in space, and if there is a correlation between them, the PCA will identify this correlation and trace a direction in order to minimize the sum of squared deviations, this vector created in this direction will form the first Principal Component (PC) of the data, or eigenvector 1. This vector represents the largest linear variation in the plane, and the second largest linear orthogonal variation to this vector would then be PC2, and so forth</w:t>
      </w:r>
      <w:r>
        <w:fldChar w:fldCharType="begin"/>
      </w:r>
      <w:r>
        <w:rPr>
          <w:rFonts w:eastAsia="Times New Roman" w:ascii="Times New Roman" w:hAnsi="Times New Roman"/>
          <w:lang w:val="en-US"/>
        </w:rPr>
        <w:instrText>ADDIN CSL_CITATION {"citationItems":[{"id":"ITEM-1","itemData":{"ISBN":"9780521454162","abstract":"De la bataille de Poitiers aux croisades, des échanges intellectuels du Moyen Age à l'orientalisme, de la colonisation à la guerre d'Algérie jusqu'aux débats actuels sur l'immigration, plus de soixante-dix spécialistes, historiens ou grands témoins retracent treize siècles d'une histoire politique, sociale et culturelle tumultueuse et captivante. \" C'est l'histoire culturelle qui domine ici, écrit Jacques Le Goff dans sa préface, et plus largement une histoire de l'imaginaire qui nous livre les fluctuations de l'image de l'Autre... Il s'agit de faire passer le musulman de la situation d'Autre à celle de concitoyen à part entière. Il reste sans doute un long chemin à parcourir, et l'éclairage de l'histoire depuis le Moyen Age y est nécessaire. \" Un ouvrage de référence unique, passionnant et richement illustré.","author":[{"dropping-particle":"","family":"Wall, J. V.; Jenkins","given":"C. R.","non-dropping-particle":"","parse-names":false,"suffix":""}],"container-title":"منشورات جامعة دمشق","id":"ITEM-1","issue":"December","issued":{"date-parts":[["2006"]]},"number-of-pages":"295","title":"Practical Statistics for Astronomers","type":"book","volume":"1999"},"uris":["http://www.mendeley.com/documents/?uuid=a3b37b03-b74d-4981-858e-ebc17c24252d"]}],"mendeley":{"formattedCitation":"[14]","plainTextFormattedCitation":"[14]","previouslyFormattedCitation":"[14]"},"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[14]</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ListParagraph"/>
        <w:numPr>
          <w:ilvl w:val="1"/>
          <w:numId w:val="2"/>
        </w:numPr>
        <w:spacing w:lineRule="auto" w:line="240" w:before="0" w:after="0"/>
        <w:ind w:left="792" w:right="-569" w:hanging="432"/>
        <w:contextualSpacing/>
        <w:jc w:val="both"/>
        <w:rPr>
          <w:rFonts w:ascii="Times New Roman" w:hAnsi="Times New Roman" w:eastAsia="Times New Roman"/>
          <w:i/>
          <w:i/>
          <w:iCs/>
          <w:lang w:val="en-US"/>
        </w:rPr>
      </w:pPr>
      <w:r>
        <w:rPr>
          <w:rFonts w:eastAsia="Times New Roman" w:ascii="Times New Roman" w:hAnsi="Times New Roman"/>
          <w:i/>
          <w:iCs/>
          <w:lang w:val="en-US"/>
        </w:rPr>
        <w:t>Eigenvectors and eigenvalues of covariance matrix</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Eigenvectors and eigenvalues are values that provide the eigen-decomposition of a square matrix. In the case of PCA, the eigen-decomposition of a covariance matrix will provide the minimum square estimate of the original matrix data</w:t>
      </w:r>
      <w:r>
        <w:fldChar w:fldCharType="begin"/>
      </w:r>
      <w:r>
        <w:rPr>
          <w:rFonts w:eastAsia="Times New Roman" w:ascii="Times New Roman" w:hAnsi="Times New Roman"/>
          <w:lang w:val="en-US"/>
        </w:rPr>
        <w:instrText>ADDIN CSL_CITATION {"citationItems":[{"id":"ITEM-1","itemData":{"DOI":"10.4135/9781412952644.n150","abstract":"Eigenvectors and eigenvalues are numbers and vectors associated to squarematrices, and together they provide the eigen-decompo- sition of amatrixwhich analyzes the structure of thismatrix. Even though the eigen-decomposition does not exist for all squarema- trices, it has a particularly simple expression for a class of matri- ces often used inmultivariate analysis such as correlation, covari- ance, or cross-productmatrices. The eigen-decomposition of this type ofmatrices is important in statistics because it is used to find the maximum (or minimum) of functions involving these matri- ces. For example, principal component analysis is obtained from the eigen-decompositionof a covariancematrix andgives the least square estimate of the original datamatrix. Eigenvectors and eigenvalues are also referred to as character- istic vectors and latent roots or characteristic equation (inGerman, “eigen”means “specificof”or “characteristicof”). The setof eigen- values of amatrix is also called its spectrum. 1In:","author":[{"dropping-particle":"","family":"Salkind","given":"Neil","non-dropping-particle":"","parse-names":false,"suffix":""}],"container-title":"Encyclopedia of Measurement and Statistics","id":"ITEM-1","issued":{"date-parts":[["2013"]]},"page":"1-10","title":"Eigen decomposition","type":"article-journal"},"uris":["http://www.mendeley.com/documents/?uuid=1d30e3a7-4a19-47aa-bdbf-9b57af8be2ed"]}],"mendeley":{"formattedCitation":"[15]","plainTextFormattedCitation":"[15]","previouslyFormattedCitation":"[15]"},"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[15]</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 Eigenvectors are the vectors, and eigenvalues are scalar values. That is, they are numerical values associated with a unit of measure. Each eigenvector will be a Principal Component (PC). That is, the directions of the PCA plane and the eigenvalues are the length, the greatest distance, and the values with the greatest magnitude, PC1 for example, would have the greatest eigenvalues and, therefore, the greatest variance</w:t>
      </w:r>
      <w:r>
        <w:fldChar w:fldCharType="begin"/>
      </w:r>
      <w:r>
        <w:rPr>
          <w:rFonts w:eastAsia="Times New Roman" w:ascii="Times New Roman" w:hAnsi="Times New Roman"/>
          <w:lang w:val="en-US"/>
        </w:rPr>
        <w:instrText>ADDIN CSL_CITATION {"citationItems":[{"id":"ITEM-1","itemData":{"author":[{"dropping-particle":"","family":"Tomar, Geetam Singh; Barbosa, Jorge Luis V.; Aghwariya, Mahesh Kumar; Chaudhari","given":"Narendra S.","non-dropping-particle":"","parse-names":false,"suffix":""}],"container-title":"Springer Nature Singapore","id":"ITEM-1","issued":{"date-parts":[["2020"]]},"page":"1689","title":"International Conference on Intelligent Computing and Smart Communication 2019: Proceedings of ICSC 2019","type":"article-journal"},"uris":["http://www.mendeley.com/documents/?uuid=fe653eeb-dc78-4fb8-b36e-d125f4374e15"]}],"mendeley":{"formattedCitation":"[16]","plainTextFormattedCitation":"[16]","previouslyFormattedCitation":"[16]"},"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[16]</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hanging="0"/>
        <w:jc w:val="both"/>
        <w:rPr>
          <w:rFonts w:ascii="Times New Roman" w:hAnsi="Times New Roman"/>
          <w:lang w:val="en-US"/>
        </w:rPr>
      </w:pPr>
      <w:r>
        <w:rPr>
          <w:rFonts w:ascii="Times New Roman" w:hAnsi="Times New Roman"/>
          <w:lang w:val="en-US"/>
        </w:rPr>
      </w:r>
    </w:p>
    <w:p>
      <w:pPr>
        <w:pStyle w:val="ListParagraph"/>
        <w:numPr>
          <w:ilvl w:val="0"/>
          <w:numId w:val="2"/>
        </w:numPr>
        <w:spacing w:lineRule="auto" w:line="240" w:before="0" w:after="0"/>
        <w:ind w:left="-284" w:right="-569" w:hanging="283"/>
        <w:contextualSpacing/>
        <w:jc w:val="both"/>
        <w:rPr>
          <w:rFonts w:ascii="Times New Roman" w:hAnsi="Times New Roman"/>
          <w:b/>
          <w:b/>
          <w:color w:val="000000"/>
          <w:sz w:val="24"/>
          <w:szCs w:val="24"/>
          <w:lang w:val="en-US"/>
        </w:rPr>
      </w:pPr>
      <w:r>
        <w:rPr>
          <w:rFonts w:ascii="Times New Roman" w:hAnsi="Times New Roman"/>
          <w:b/>
          <w:color w:val="000000"/>
          <w:sz w:val="24"/>
          <w:szCs w:val="24"/>
          <w:lang w:val="en-US"/>
        </w:rPr>
        <w:t>Experimental</w:t>
      </w:r>
    </w:p>
    <w:p>
      <w:pPr>
        <w:pStyle w:val="Normal"/>
        <w:spacing w:lineRule="auto" w:line="240" w:before="0" w:after="0"/>
        <w:ind w:left="-567" w:right="-569" w:hanging="0"/>
        <w:jc w:val="both"/>
        <w:rPr>
          <w:rFonts w:ascii="Times New Roman" w:hAnsi="Times New Roman"/>
          <w:color w:val="000000"/>
          <w:lang w:val="en-US"/>
        </w:rPr>
      </w:pPr>
      <w:r>
        <w:rPr>
          <w:rFonts w:ascii="Times New Roman" w:hAnsi="Times New Roman"/>
          <w:color w:val="000000"/>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This session will describe the step-by-step development of the analysis performed in the Jupyter Notebook virtual laboratory, using Python and statistical libraries. It will also briefly explain how the sensors were made and their films and measurements performed.</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ListParagraph"/>
        <w:numPr>
          <w:ilvl w:val="1"/>
          <w:numId w:val="2"/>
        </w:numPr>
        <w:spacing w:lineRule="auto" w:line="240" w:before="0" w:after="0"/>
        <w:ind w:left="792" w:right="-569" w:hanging="432"/>
        <w:contextualSpacing/>
        <w:jc w:val="both"/>
        <w:rPr>
          <w:rFonts w:ascii="Times New Roman" w:hAnsi="Times New Roman" w:eastAsia="Times New Roman"/>
          <w:i/>
          <w:i/>
          <w:iCs/>
          <w:lang w:val="en-US"/>
        </w:rPr>
      </w:pPr>
      <w:r>
        <w:rPr>
          <w:rFonts w:eastAsia="Times New Roman" w:ascii="Times New Roman" w:hAnsi="Times New Roman"/>
          <w:i/>
          <w:iCs/>
          <w:lang w:val="en-US"/>
        </w:rPr>
        <w:t>Selecting dataset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dataset contains background information about sensor measurements (HIV/ HCV). Preparing the data and removing the variables with no significant values was necessary. For our analysis, the variables used were the sensor type, the electrode adopted, the frequency (Hertz), the real impedance (Ohms), imaginary impedance (Ohms), HCV antibody concentration (μg/ml), HIV antibody concentration (μg/ml).</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For this step, we imported the main data analysis library, which makes it possible to read the data in csv format, and then the data was loaded into memory. We will adopt the df variable name for the data frame.</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r>
          <w:rPr>
            <w:rFonts w:ascii="Cambria Math" w:hAnsi="Cambria Math"/>
          </w:rPr>
          <m:t xml:space="preserve">import</m:t>
        </m:r>
        <m:r>
          <w:rPr>
            <w:rFonts w:ascii="Cambria Math" w:hAnsi="Cambria Math"/>
          </w:rPr>
          <m:t xml:space="preserve">pandas</m:t>
        </m:r>
        <m:r>
          <w:rPr>
            <w:rFonts w:ascii="Cambria Math" w:hAnsi="Cambria Math"/>
          </w:rPr>
          <m:t xml:space="preserve">as</m:t>
        </m:r>
        <m:r>
          <w:rPr>
            <w:rFonts w:ascii="Cambria Math" w:hAnsi="Cambria Math"/>
          </w:rPr>
          <m:t xml:space="preserve">pd</m:t>
        </m:r>
      </m:oMath>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r>
          <w:rPr>
            <w:rFonts w:ascii="Cambria Math" w:hAnsi="Cambria Math"/>
          </w:rPr>
          <m:t xml:space="preserve">df</m:t>
        </m:r>
        <m:r>
          <w:rPr>
            <w:rFonts w:ascii="Cambria Math" w:hAnsi="Cambria Math"/>
          </w:rPr>
          <m:t xml:space="preserve">=</m:t>
        </m:r>
        <m:r>
          <w:rPr>
            <w:rFonts w:ascii="Cambria Math" w:hAnsi="Cambria Math"/>
          </w:rPr>
          <m:t xml:space="preserve">pd</m:t>
        </m:r>
        <m:r>
          <w:rPr>
            <w:rFonts w:ascii="Cambria Math" w:hAnsi="Cambria Math"/>
          </w:rPr>
          <m:t xml:space="preserve">.</m:t>
        </m:r>
        <m:sSub>
          <m:e>
            <m:r>
              <w:rPr>
                <w:rFonts w:ascii="Cambria Math" w:hAnsi="Cambria Math"/>
              </w:rPr>
              <m:t xml:space="preserve">read</m:t>
            </m:r>
          </m:e>
          <m:sub>
            <m:r>
              <w:rPr>
                <w:rFonts w:ascii="Cambria Math" w:hAnsi="Cambria Math"/>
              </w:rPr>
              <m:t xml:space="preserve">csv</m:t>
            </m:r>
          </m:sub>
        </m:sSub>
        <m:d>
          <m:dPr>
            <m:begChr m:val="("/>
            <m:endChr m:val=")"/>
          </m:dPr>
          <m:e>
            <m:r>
              <w:rPr>
                <w:rFonts w:ascii="Cambria Math" w:hAnsi="Cambria Math"/>
              </w:rPr>
              <m:t xml:space="preserve">'</m:t>
            </m:r>
            <m:r>
              <w:rPr>
                <w:rFonts w:ascii="Cambria Math" w:hAnsi="Cambria Math"/>
              </w:rPr>
              <m:t xml:space="preserve">'</m:t>
            </m:r>
          </m:e>
        </m:d>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Once the data was loaded, all the columns with the data to be treated were selected, except for the column with the target data of the analysis. After this selection, the to_numpy function was used to transform this data into a list, an array of data.</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sSub>
          <m:e>
            <m:r>
              <w:rPr>
                <w:rFonts w:ascii="Cambria Math" w:hAnsi="Cambria Math"/>
              </w:rPr>
              <m:t xml:space="preserve">df</m:t>
            </m:r>
          </m:e>
          <m:sub>
            <m:r>
              <w:rPr>
                <w:rFonts w:ascii="Cambria Math" w:hAnsi="Cambria Math"/>
              </w:rPr>
              <m:t xml:space="preserve">features</m:t>
            </m:r>
          </m:sub>
        </m:sSub>
        <m:r>
          <w:rPr>
            <w:rFonts w:ascii="Cambria Math" w:hAnsi="Cambria Math"/>
          </w:rPr>
          <m:t xml:space="preserve">=</m:t>
        </m:r>
        <m:r>
          <w:rPr>
            <w:rFonts w:ascii="Cambria Math" w:hAnsi="Cambria Math"/>
          </w:rPr>
          <m:t xml:space="preserve">df</m:t>
        </m:r>
        <m:r>
          <w:rPr>
            <w:rFonts w:ascii="Cambria Math" w:hAnsi="Cambria Math"/>
          </w:rPr>
          <m:t xml:space="preserve">.</m:t>
        </m:r>
        <m:r>
          <w:rPr>
            <w:rFonts w:ascii="Cambria Math" w:hAnsi="Cambria Math"/>
          </w:rPr>
          <m:t xml:space="preserve">iloc</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e>
        </m:d>
        <m:r>
          <w:rPr>
            <w:rFonts w:ascii="Cambria Math" w:hAnsi="Cambria Math"/>
          </w:rPr>
          <m:t xml:space="preserve">.</m:t>
        </m:r>
        <m:r>
          <w:rPr>
            <w:rFonts w:ascii="Cambria Math" w:hAnsi="Cambria Math"/>
          </w:rPr>
          <m:t xml:space="preserve">copy</m:t>
        </m:r>
        <m:d>
          <m:dPr>
            <m:begChr m:val="("/>
            <m:endChr m:val=")"/>
          </m:dPr>
        </m:d>
      </m:oMath>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df</m:t>
            </m:r>
          </m:e>
          <m:sub>
            <m:r>
              <w:rPr>
                <w:rFonts w:ascii="Cambria Math" w:hAnsi="Cambria Math"/>
              </w:rPr>
              <m:t xml:space="preserve">features</m:t>
            </m:r>
          </m:sub>
        </m:sSub>
        <m:r>
          <w:rPr>
            <w:rFonts w:ascii="Cambria Math" w:hAnsi="Cambria Math"/>
          </w:rPr>
          <m:t xml:space="preserve">.</m:t>
        </m:r>
        <m:sSub>
          <m:e/>
          <m:sub>
            <m:r>
              <w:rPr>
                <w:rFonts w:ascii="Cambria Math" w:hAnsi="Cambria Math"/>
              </w:rPr>
              <m:t xml:space="preserve">numpy</m:t>
            </m:r>
          </m:sub>
        </m:sSub>
        <m:d>
          <m:dPr>
            <m:begChr m:val="("/>
            <m:endChr m:val=")"/>
          </m:dPr>
        </m:d>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In the next step, the target column was selected, and the to_numpy function was applied to return an array with all the values of this column.</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sSub>
          <m:e>
            <m:r>
              <w:rPr>
                <w:rFonts w:ascii="Cambria Math" w:hAnsi="Cambria Math"/>
              </w:rPr>
              <m:t xml:space="preserve">df</m:t>
            </m:r>
          </m:e>
          <m:sub>
            <m:r>
              <w:rPr>
                <w:rFonts w:ascii="Cambria Math" w:hAnsi="Cambria Math"/>
              </w:rPr>
              <m:t xml:space="preserve">features</m:t>
            </m:r>
          </m:sub>
        </m:sSub>
        <m:r>
          <w:rPr>
            <w:rFonts w:ascii="Cambria Math" w:hAnsi="Cambria Math"/>
          </w:rPr>
          <m:t xml:space="preserve">=</m:t>
        </m:r>
        <m:r>
          <w:rPr>
            <w:rFonts w:ascii="Cambria Math" w:hAnsi="Cambria Math"/>
          </w:rPr>
          <m:t xml:space="preserve">df</m:t>
        </m:r>
        <m:r>
          <w:rPr>
            <w:rFonts w:ascii="Cambria Math" w:hAnsi="Cambria Math"/>
          </w:rPr>
          <m:t xml:space="preserve">.</m:t>
        </m:r>
        <m:r>
          <w:rPr>
            <w:rFonts w:ascii="Cambria Math" w:hAnsi="Cambria Math"/>
          </w:rPr>
          <m:t xml:space="preserve">iloc</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0</m:t>
            </m:r>
          </m:e>
        </m:d>
        <m:r>
          <w:rPr>
            <w:rFonts w:ascii="Cambria Math" w:hAnsi="Cambria Math"/>
          </w:rPr>
          <m:t xml:space="preserve">.</m:t>
        </m:r>
        <m:sSub>
          <m:e/>
          <m:sub>
            <m:r>
              <w:rPr>
                <w:rFonts w:ascii="Cambria Math" w:hAnsi="Cambria Math"/>
              </w:rPr>
              <m:t xml:space="preserve">numpy</m:t>
            </m:r>
          </m:sub>
        </m:sSub>
        <m:d>
          <m:dPr>
            <m:begChr m:val="("/>
            <m:endChr m:val=")"/>
          </m:dPr>
        </m:d>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ListParagraph"/>
        <w:numPr>
          <w:ilvl w:val="1"/>
          <w:numId w:val="2"/>
        </w:numPr>
        <w:spacing w:lineRule="auto" w:line="240" w:before="0" w:after="0"/>
        <w:ind w:left="792" w:right="-569" w:hanging="432"/>
        <w:contextualSpacing/>
        <w:jc w:val="both"/>
        <w:rPr>
          <w:rFonts w:ascii="Times New Roman" w:hAnsi="Times New Roman" w:eastAsia="Times New Roman"/>
          <w:i/>
          <w:i/>
          <w:iCs/>
          <w:lang w:val="en-US"/>
        </w:rPr>
      </w:pPr>
      <w:r>
        <w:rPr>
          <w:rFonts w:eastAsia="Times New Roman" w:ascii="Times New Roman" w:hAnsi="Times New Roman"/>
          <w:i/>
          <w:iCs/>
          <w:lang w:val="en-US"/>
        </w:rPr>
        <w:t>PCA analysis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In the previous steps, the data were loaded and selected. In this step, the data were preprocessed and prepared for use in the PCA calculation.</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r>
          <w:rPr>
            <w:rFonts w:ascii="Cambria Math" w:hAnsi="Cambria Math"/>
          </w:rPr>
          <m:t xml:space="preserve">sklearn</m:t>
        </m:r>
        <m:r>
          <w:rPr>
            <w:rFonts w:ascii="Cambria Math" w:hAnsi="Cambria Math"/>
          </w:rPr>
          <m:t xml:space="preserve">.</m:t>
        </m:r>
        <m:r>
          <w:rPr>
            <w:rFonts w:ascii="Cambria Math" w:hAnsi="Cambria Math"/>
          </w:rPr>
          <m:t xml:space="preserve">preprocessing</m:t>
        </m:r>
        <m:r>
          <w:rPr>
            <w:rFonts w:ascii="Cambria Math" w:hAnsi="Cambria Math"/>
          </w:rPr>
          <m:t xml:space="preserve">import</m:t>
        </m:r>
        <m:r>
          <w:rPr>
            <w:rFonts w:ascii="Cambria Math" w:hAnsi="Cambria Math"/>
          </w:rPr>
          <m:t xml:space="preserve">scale</m:t>
        </m:r>
      </m:oMath>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r>
          <w:rPr>
            <w:rFonts w:ascii="Cambria Math" w:hAnsi="Cambria Math"/>
          </w:rPr>
          <m:t xml:space="preserve">sklearn</m:t>
        </m:r>
        <m:r>
          <w:rPr>
            <w:rFonts w:ascii="Cambria Math" w:hAnsi="Cambria Math"/>
          </w:rPr>
          <m:t xml:space="preserve">import</m:t>
        </m:r>
        <m:r>
          <w:rPr>
            <w:rFonts w:ascii="Cambria Math" w:hAnsi="Cambria Math"/>
          </w:rPr>
          <m:t xml:space="preserve">decomposition</m:t>
        </m:r>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As mentioned earlier in this section, it is imperative to standardize the data because PCA is strongly affected by scale, so we needed to scale the data's features to optimize the performance of the algorithms.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scale</m:t>
        </m:r>
        <m:d>
          <m:dPr>
            <m:begChr m:val="("/>
            <m:endChr m:val=")"/>
          </m:dPr>
          <m:e>
            <m:r>
              <w:rPr>
                <w:rFonts w:ascii="Cambria Math" w:hAnsi="Cambria Math"/>
              </w:rPr>
              <m:t xml:space="preserve">X</m:t>
            </m:r>
          </m:e>
        </m:d>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first step in applying the PCA function was to decompose the variables in the orthogonal components, eigenvalues and eigenvectors according to the maximum variance.</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To do this, we applied the function below:</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r>
          <w:rPr>
            <w:rFonts w:ascii="Cambria Math" w:hAnsi="Cambria Math"/>
          </w:rPr>
          <m:t xml:space="preserve">pca</m:t>
        </m:r>
        <m:r>
          <w:rPr>
            <w:rFonts w:ascii="Cambria Math" w:hAnsi="Cambria Math"/>
          </w:rPr>
          <m:t xml:space="preserve">=</m:t>
        </m:r>
        <m:r>
          <w:rPr>
            <w:rFonts w:ascii="Cambria Math" w:hAnsi="Cambria Math"/>
          </w:rPr>
          <m:t xml:space="preserve">decomposition</m:t>
        </m:r>
        <m:r>
          <w:rPr>
            <w:rFonts w:ascii="Cambria Math" w:hAnsi="Cambria Math"/>
          </w:rPr>
          <m:t xml:space="preserve">.</m:t>
        </m:r>
        <m:r>
          <w:rPr>
            <w:rFonts w:ascii="Cambria Math" w:hAnsi="Cambria Math"/>
          </w:rPr>
          <m:t xml:space="preserve">PCA</m:t>
        </m:r>
        <m:d>
          <m:dPr>
            <m:begChr m:val="("/>
            <m:endChr m:val=")"/>
          </m:dPr>
          <m:e>
            <m:sSub>
              <m:e>
                <m:r>
                  <w:rPr>
                    <w:rFonts w:ascii="Cambria Math" w:hAnsi="Cambria Math"/>
                  </w:rPr>
                  <m:t xml:space="preserve">n</m:t>
                </m:r>
              </m:e>
              <m:sub>
                <m:r>
                  <w:rPr>
                    <w:rFonts w:ascii="Cambria Math" w:hAnsi="Cambria Math"/>
                  </w:rPr>
                  <m:t xml:space="preserve">components</m:t>
                </m:r>
              </m:sub>
            </m:sSub>
            <m:r>
              <w:rPr>
                <w:rFonts w:ascii="Cambria Math" w:hAnsi="Cambria Math"/>
              </w:rPr>
              <m:t xml:space="preserve">=</m:t>
            </m:r>
            <m:r>
              <w:rPr>
                <w:rFonts w:ascii="Cambria Math" w:hAnsi="Cambria Math"/>
              </w:rPr>
              <m:t xml:space="preserve">2</m:t>
            </m:r>
          </m:e>
        </m:d>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In this function, we choose the number of desired components n_components=2.</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next step was to build the model; for that, we applied the fit function.</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r>
          <w:rPr>
            <w:rFonts w:ascii="Cambria Math" w:hAnsi="Cambria Math"/>
          </w:rPr>
          <m:t xml:space="preserve">pca</m:t>
        </m:r>
        <m:r>
          <w:rPr>
            <w:rFonts w:ascii="Cambria Math" w:hAnsi="Cambria Math"/>
          </w:rPr>
          <m:t xml:space="preserve">.</m:t>
        </m:r>
        <m:r>
          <w:rPr>
            <w:rFonts w:ascii="Cambria Math" w:hAnsi="Cambria Math"/>
          </w:rPr>
          <m:t xml:space="preserve">fit</m:t>
        </m:r>
        <m:d>
          <m:dPr>
            <m:begChr m:val="("/>
            <m:endChr m:val=")"/>
          </m:dPr>
          <m:e>
            <m:r>
              <w:rPr>
                <w:rFonts w:ascii="Cambria Math" w:hAnsi="Cambria Math"/>
              </w:rPr>
              <m:t xml:space="preserve">x</m:t>
            </m:r>
          </m:e>
        </m:d>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 xml:space="preserve">The input data is essentially the x variable because PCA is an unsupervised algorithm, and it does not need the y-plan to learn. </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fit method is a function used to train the algorithm based on the data, using the mean and standard Deviation, based on the machine learning model</w:t>
      </w:r>
      <w:r>
        <w:fldChar w:fldCharType="begin"/>
      </w:r>
      <w:r>
        <w:rPr>
          <w:rFonts w:eastAsia="Times New Roman" w:ascii="Times New Roman" w:hAnsi="Times New Roman"/>
          <w:lang w:val="en-US"/>
        </w:rPr>
        <w:instrText>ADDIN CSL_CITATION {"citationItems":[{"id":"ITEM-1","itemData":{"abstract":"Data preparation involves transforming raw data in to a form that can be modeled using machine learning algorithms. Cut through the equations, Greek letters, and confusion, and discover the specialized data preparation techniques that you need to know to get the most out of your data on your next project. Using clear explanations, standard Python libraries, and step-by-step tutorial lessons, you will discover how to confidently and effectively prepare your data for predictive modeling with machine learning.","author":[{"dropping-particle":"","family":"Brownlee","given":"Jason","non-dropping-particle":"","parse-names":false,"suffix":""}],"id":"ITEM-1","issued":{"date-parts":[["2020"]]},"title":"Machine Learning Mastery With Python: Data Cleaning, Feature Selection, and Data Transforms in Python","type":"article-journal"},"uris":["http://www.mendeley.com/documents/?uuid=ea88d6d4-77c5-47f7-a63b-4b2f363434d3"]}],"mendeley":{"formattedCitation":"[17]","plainTextFormattedCitation":"[17]","previouslyFormattedCitation":"[17]"},"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[17]</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 Model training in data science is the stage where we design a model in order to minimize data loss while designing the prediction outcome values. After training the model, we applied the transform function to project data based on the trained model. The new data projected represents the scores, that is, the coordinates of the samples in the new axes system.</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r>
          <w:rPr>
            <w:rFonts w:ascii="Cambria Math" w:hAnsi="Cambria Math"/>
          </w:rPr>
          <m:t xml:space="preserve">scores</m:t>
        </m:r>
        <m:r>
          <w:rPr>
            <w:rFonts w:ascii="Cambria Math" w:hAnsi="Cambria Math"/>
          </w:rPr>
          <m:t xml:space="preserve">=</m:t>
        </m:r>
        <m:r>
          <w:rPr>
            <w:rFonts w:ascii="Cambria Math" w:hAnsi="Cambria Math"/>
          </w:rPr>
          <m:t xml:space="preserve">pca</m:t>
        </m:r>
        <m:r>
          <w:rPr>
            <w:rFonts w:ascii="Cambria Math" w:hAnsi="Cambria Math"/>
          </w:rPr>
          <m:t xml:space="preserve">.</m:t>
        </m:r>
        <m:r>
          <w:rPr>
            <w:rFonts w:ascii="Cambria Math" w:hAnsi="Cambria Math"/>
          </w:rPr>
          <m:t xml:space="preserve">transform</m:t>
        </m:r>
        <m:d>
          <m:dPr>
            <m:begChr m:val="("/>
            <m:endChr m:val=")"/>
          </m:dPr>
          <m:e>
            <m:r>
              <w:rPr>
                <w:rFonts w:ascii="Cambria Math" w:hAnsi="Cambria Math"/>
              </w:rPr>
              <m:t xml:space="preserve">x</m:t>
            </m:r>
          </m:e>
        </m:d>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following steps were taken to improve the reading and interpretation of the data. First, we nominate the Principal Component vectors as PC1, PC2 and PC3 if necessary. Then the target column was replaced by the respective name of the electrode sensors. The Principal Components data were then concatenated with the target column data. Finally, we retrieve the loading values and the variable's relationship regarding the Principal Components.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sSub>
          <m:e>
            <m:r>
              <w:rPr>
                <w:rFonts w:ascii="Cambria Math" w:hAnsi="Cambria Math"/>
              </w:rPr>
              <m:t xml:space="preserve">feature</m:t>
            </m:r>
          </m:e>
          <m:sub>
            <m:r>
              <w:rPr>
                <w:rFonts w:ascii="Cambria Math" w:hAnsi="Cambria Math"/>
              </w:rPr>
              <m:t xml:space="preserve">names</m:t>
            </m:r>
          </m:sub>
        </m:sSub>
        <m:r>
          <w:rPr>
            <w:rFonts w:ascii="Cambria Math" w:hAnsi="Cambria Math"/>
          </w:rPr>
          <m:t xml:space="preserve">=</m:t>
        </m:r>
        <m:r>
          <w:rPr>
            <w:rFonts w:ascii="Cambria Math" w:hAnsi="Cambria Math"/>
          </w:rPr>
          <m:t xml:space="preserve">df</m:t>
        </m:r>
        <m:r>
          <w:rPr>
            <w:rFonts w:ascii="Cambria Math" w:hAnsi="Cambria Math"/>
          </w:rPr>
          <m:t xml:space="preserve">.</m:t>
        </m:r>
        <m:r>
          <w:rPr>
            <w:rFonts w:ascii="Cambria Math" w:hAnsi="Cambria Math"/>
          </w:rPr>
          <m:t xml:space="preserve">columns</m:t>
        </m:r>
        <m:d>
          <m:dPr>
            <m:begChr m:val="["/>
            <m:endChr m:val="]"/>
          </m:dPr>
          <m:e>
            <m:r>
              <w:rPr>
                <w:rFonts w:ascii="Cambria Math" w:hAnsi="Cambria Math"/>
              </w:rPr>
              <m:t xml:space="preserve">1</m:t>
            </m:r>
            <m:r>
              <w:rPr>
                <w:rFonts w:ascii="Cambria Math" w:hAnsi="Cambria Math"/>
              </w:rPr>
              <m:t xml:space="preserve">:</m:t>
            </m:r>
          </m:e>
        </m:d>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To access the loading values, we applied the components_.T method.</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r>
          <w:rPr>
            <w:rFonts w:ascii="Cambria Math" w:hAnsi="Cambria Math"/>
          </w:rPr>
          <m:t xml:space="preserve">loadings</m:t>
        </m:r>
        <m:r>
          <w:rPr>
            <w:rFonts w:ascii="Cambria Math" w:hAnsi="Cambria Math"/>
          </w:rPr>
          <m:t xml:space="preserve">=</m:t>
        </m:r>
        <m:r>
          <w:rPr>
            <w:rFonts w:ascii="Cambria Math" w:hAnsi="Cambria Math"/>
          </w:rPr>
          <m:t xml:space="preserve">pca</m:t>
        </m:r>
        <m:r>
          <w:rPr>
            <w:rFonts w:ascii="Cambria Math" w:hAnsi="Cambria Math"/>
          </w:rPr>
          <m:t xml:space="preserve">.</m:t>
        </m:r>
        <m:sSub>
          <m:e>
            <m:r>
              <w:rPr>
                <w:rFonts w:ascii="Cambria Math" w:hAnsi="Cambria Math"/>
              </w:rPr>
              <m:t xml:space="preserve">components</m:t>
            </m:r>
          </m:e>
          <m:sub>
            <m:r>
              <w:rPr>
                <w:rFonts w:ascii="Cambria Math" w:hAnsi="Cambria Math"/>
              </w:rPr>
              <m:t xml:space="preserve">.</m:t>
            </m:r>
          </m:sub>
        </m:sSub>
        <m:r>
          <w:rPr>
            <w:rFonts w:ascii="Cambria Math" w:hAnsi="Cambria Math"/>
          </w:rPr>
          <m:t xml:space="preserve">T</m:t>
        </m:r>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After accessing the stored loadings, we created a new data frame with the Principal Components (PC), where it was possible to analyze the importance of each original variable in the new axis system of the PC.</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sSub>
          <m:e>
            <m:r>
              <w:rPr>
                <w:rFonts w:ascii="Cambria Math" w:hAnsi="Cambria Math"/>
              </w:rPr>
              <m:t xml:space="preserve">df</m:t>
            </m:r>
          </m:e>
          <m:sub>
            <m:r>
              <w:rPr>
                <w:rFonts w:ascii="Cambria Math" w:hAnsi="Cambria Math"/>
              </w:rPr>
              <m:t xml:space="preserve">loadings</m:t>
            </m:r>
          </m:sub>
        </m:sSub>
        <m:r>
          <w:rPr>
            <w:rFonts w:ascii="Cambria Math" w:hAnsi="Cambria Math"/>
          </w:rPr>
          <m:t xml:space="preserve">=</m:t>
        </m:r>
        <m:r>
          <w:rPr>
            <w:rFonts w:ascii="Cambria Math" w:hAnsi="Cambria Math"/>
          </w:rPr>
          <m:t xml:space="preserve">pd</m:t>
        </m:r>
        <m:r>
          <w:rPr>
            <w:rFonts w:ascii="Cambria Math" w:hAnsi="Cambria Math"/>
          </w:rPr>
          <m:t xml:space="preserve">.</m:t>
        </m:r>
        <m:r>
          <w:rPr>
            <w:rFonts w:ascii="Cambria Math" w:hAnsi="Cambria Math"/>
          </w:rPr>
          <m:t xml:space="preserve">DataFrame</m:t>
        </m:r>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In this step, the percent variance corresponding to each Principal Component was calculated, and from this point, the need to include or not other Principal Components for the statistical model analysis was considered in order to increase the variance and obtain a better projection of the data.</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sSub>
          <m:e>
            <m:r>
              <w:rPr>
                <w:rFonts w:ascii="Cambria Math" w:hAnsi="Cambria Math"/>
              </w:rPr>
              <m:t xml:space="preserve">explained</m:t>
            </m:r>
          </m:e>
          <m:sub>
            <m:r>
              <w:rPr>
                <w:rFonts w:ascii="Cambria Math" w:hAnsi="Cambria Math"/>
              </w:rPr>
              <m:t xml:space="preserve">variance</m:t>
            </m:r>
          </m:sub>
        </m:sSub>
        <m:r>
          <w:rPr>
            <w:rFonts w:ascii="Cambria Math" w:hAnsi="Cambria Math"/>
          </w:rPr>
          <m:t xml:space="preserve">=</m:t>
        </m:r>
        <m:r>
          <w:rPr>
            <w:rFonts w:ascii="Cambria Math" w:hAnsi="Cambria Math"/>
          </w:rPr>
          <m:t xml:space="preserve">pca</m:t>
        </m:r>
        <m:r>
          <w:rPr>
            <w:rFonts w:ascii="Cambria Math" w:hAnsi="Cambria Math"/>
          </w:rPr>
          <m:t xml:space="preserve">.</m:t>
        </m:r>
        <m:sSub>
          <m:e>
            <m:r>
              <w:rPr>
                <w:rFonts w:ascii="Cambria Math" w:hAnsi="Cambria Math"/>
              </w:rPr>
              <m:t xml:space="preserve">explained</m:t>
            </m:r>
          </m:e>
          <m:sub/>
        </m:sSub>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ListParagraph"/>
        <w:numPr>
          <w:ilvl w:val="1"/>
          <w:numId w:val="2"/>
        </w:numPr>
        <w:spacing w:lineRule="auto" w:line="240" w:before="0" w:after="0"/>
        <w:ind w:left="792" w:right="-569" w:hanging="432"/>
        <w:contextualSpacing/>
        <w:jc w:val="both"/>
        <w:rPr>
          <w:rFonts w:ascii="Times New Roman" w:hAnsi="Times New Roman" w:eastAsia="Times New Roman"/>
          <w:i/>
          <w:i/>
          <w:iCs/>
          <w:lang w:val="en-US"/>
        </w:rPr>
      </w:pPr>
      <w:r>
        <w:rPr>
          <w:rFonts w:eastAsia="Times New Roman" w:ascii="Times New Roman" w:hAnsi="Times New Roman"/>
          <w:i/>
          <w:iCs/>
          <w:lang w:val="en-US"/>
        </w:rPr>
        <w:t>Scree plot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scree plot will indicate the relationship between the magnitude of the eigenvalues for each eigenvector, or each Principal Component (PC), explaining the percentage of the variance of that PC in relation to the total data as a PC selection criterion; PC1 will have the highest percentage of variance and will be the most significant, PC2 will have the second highest percentage of variance and so forth</w:t>
      </w:r>
      <w:r>
        <w:fldChar w:fldCharType="begin"/>
      </w:r>
      <w:r>
        <w:rPr>
          <w:rFonts w:eastAsia="Times New Roman" w:ascii="Times New Roman" w:hAnsi="Times New Roman"/>
          <w:lang w:val="en-US"/>
        </w:rPr>
        <w:instrText>ADDIN CSL_CITATION {"citationItems":[{"id":"ITEM-1","itemData":{"abstract":"Total 83 rice genotypes comprising traditional landraces and released varieties from JNKVV was evaluated for 33 quantitative and quality traits by principal component analysis for determining the pattern of variation, relationship among individuals and their characteristics. Principal component analysis was utilized to examine the variation and to estimate the relative contribution of various traits for total variability. The PC1 showed 18.683%, while, PC2, PC3, PC4, and PC5 exhibited 15.404%, 13.401%, 9.433%, 8.037%, and 5.232% variability. Rotated component matrix revealed that PC3 accounts for yield &amp; yield attributing traits. PC1 was also dominated by yield related traits. The PC2, PC4 &amp; PC5 was dominated by quality traits.It can be observed that scoring germplasm R 304, Mahamaya, R-710, R-435, IR 64, Lakna, ShriRam, Rani Kajar, Surajone and Safari-17 comes in different principal component which has relation with yield and quality attributing trait both. Sugandha-2 comes in PC2, PC4 &amp; PC5 which all related quality aspect. Thus the results of principal component analysis used in the study have revealed the traits contributing for the variation were identified. Resulting germplasm of that study will be greater beneficial to identify the parents for improving various yield and quality attributes with early maturity variety development.","author":[{"dropping-particle":"","family":"Gour","given":"Lokesh","non-dropping-particle":"","parse-names":false,"suffix":""},{"dropping-particle":"","family":"Maurya","given":"S B","non-dropping-particle":"","parse-names":false,"suffix":""},{"dropping-particle":"","family":"Koutu","given":"G K","non-dropping-particle":"","parse-names":false,"suffix":""},{"dropping-particle":"","family":"Singh","given":"S K","non-dropping-particle":"","parse-names":false,"suffix":""},{"dropping-particle":"","family":"Shukla","given":"S S","non-dropping-particle":"","parse-names":false,"suffix":""},{"dropping-particle":"","family":"Mishra","given":"D K","non-dropping-particle":"","parse-names":false,"suffix":""}],"container-title":"International Journal of Chemical Studies","id":"ITEM-1","issue":"4","issued":{"date-parts":[["2017"]]},"page":"975-983","title":"Characterization of rice (Orzya sativa L.) genotypes using principal component analysis including scree plot and rotated component matrix","type":"article-journal","volume":"5"},"uris":["http://www.mendeley.com/documents/?uuid=68a3aa63-4564-4b54-a70a-fcfbe4164332"]},{"id":"ITEM-2","itemData":{"abstract":"This inquiry has four sub-questions: (a) What are principal components analysis (PCA) and exploratory factor analysis (EFA), how are they different, and how do researchers decide which to use? (b) How do investigators determine the number of components or factors to include in the analysis? (c) What is rotation, what are the different types, and how do researchers decide which to use? And, (d) how are PCA and EFA used in language test and questionnaire development? I have addressed the first question (a) in the previous column (Brown, 2009, pp. 26-30). I’ll attend to the second one (b) here, and answer the other two in subsequent columns.","author":[{"dropping-particle":"","family":"Brown","given":"James Dean","non-dropping-particle":"","parse-names":false,"suffix":""}],"container-title":"JALT Testing &amp; Evaluation SIG","id":"ITEM-2","issue":"May","issued":{"date-parts":[["2009"]]},"page":"19-23","title":"Questions and answers about language testing statistics : Choosing the Right Number of Components or Factors in PCA and EFA Choosing the Number of Components or Factors to Include in a PCA or EFA Examples Illustrating the Five Stopping Rules","type":"article-journal","volume":"13"},"uris":["http://www.mendeley.com/documents/?uuid=0b0dc11a-4f65-4959-9c97-d8bc54949d36"]},{"id":"ITEM-3","itemData":{"DOI":"10.4018/978-1-7998-0106-1","ISBN":"9781799801078","abstract":"As organizations continue to develop, there is an increasing need for technological methods that can keep up with the rising amount of data and information that is being generated. Machine learning is a tool that has become powerful due to its ability to analyze large amounts of data quickly. Machine learning is one of many technological advancements that is being implemented into a multitude of specialized fields. An extensive study on the execution of these advancements within professional industries is necessary. The Handbook of Research on Big Data Clustering and Machine Learning is an essential reference source that synthesizes the analytic principles of clustering and machine learning to big data and provides an interface between the main disciplines of engineering/technology and the organizational, administrative, and planning abilities of management. Featuring research on topics such as project management, contextual data modeling, and business information systems, this book is ideally designed for engineers, economists, finance officers, marketers, decision makers, business professionals, industry practitioners, academicians, students, and researchers seeking coverage on the implementation of big data and machine learning within specific professional fields.","author":[{"dropping-particle":"","family":"Márquez","given":"Fausto Pedro García","non-dropping-particle":"","parse-names":false,"suffix":""}],"container-title":"Handbook of Research on Big Data Clustering and Machine Learning","id":"ITEM-3","issued":{"date-parts":[["2019"]]},"number-of-pages":"1-499","title":"Handbook of Research on Big Data Clustering and Machine Learning","type":"book"},"uris":["http://www.mendeley.com/documents/?uuid=bd49fbc7-8512-47ee-8a25-595e3f05dcfc"]}],"mendeley":{"formattedCitation":"[18]–[20]","plainTextFormattedCitation":"[18]–[20]","previouslyFormattedCitation":"[18]–[20]"},"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[18]–[20]</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 The greater the percentage of variance desired, the greater the number of Principal Components to be analyzed, as the variance of the Principal Components is added up to 100% variance in the data. The number of Principal Components to be considered will depend on the objective percentage for data variance</w:t>
      </w:r>
      <w:r>
        <w:fldChar w:fldCharType="begin"/>
      </w:r>
      <w:r>
        <w:rPr>
          <w:rFonts w:eastAsia="Times New Roman" w:ascii="Times New Roman" w:hAnsi="Times New Roman"/>
          <w:lang w:val="en-US"/>
        </w:rPr>
        <w:instrText>ADDIN CSL_CITATION {"citationItems":[{"id":"ITEM-1","itemData":{"DOI":"10.4018/978-1-7998-0106-1","ISBN":"9781799801078","abstract":"As organizations continue to develop, there is an increasing need for technological methods that can keep up with the rising amount of data and information that is being generated. Machine learning is a tool that has become powerful due to its ability to analyze large amounts of data quickly. Machine learning is one of many technological advancements that is being implemented into a multitude of specialized fields. An extensive study on the execution of these advancements within professional industries is necessary. The Handbook of Research on Big Data Clustering and Machine Learning is an essential reference source that synthesizes the analytic principles of clustering and machine learning to big data and provides an interface between the main disciplines of engineering/technology and the organizational, administrative, and planning abilities of management. Featuring research on topics such as project management, contextual data modeling, and business information systems, this book is ideally designed for engineers, economists, finance officers, marketers, decision makers, business professionals, industry practitioners, academicians, students, and researchers seeking coverage on the implementation of big data and machine learning within specific professional fields.","author":[{"dropping-particle":"","family":"Márquez","given":"Fausto Pedro García","non-dropping-particle":"","parse-names":false,"suffix":""}],"container-title":"Handbook of Research on Big Data Clustering and Machine Learning","id":"ITEM-1","issued":{"date-parts":[["2019"]]},"number-of-pages":"1-499","title":"Handbook of Research on Big Data Clustering and Machine Learning","type":"book"},"uris":["http://www.mendeley.com/documents/?uuid=bd49fbc7-8512-47ee-8a25-595e3f05dcfc"]}],"mendeley":{"formattedCitation":"[20]","plainTextFormattedCitation":"[20]","previouslyFormattedCitation":"[20]"},"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[20]</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r>
          <w:rPr>
            <w:rFonts w:ascii="Cambria Math" w:hAnsi="Cambria Math"/>
          </w:rPr>
          <m:t xml:space="preserve">import</m:t>
        </m:r>
        <m:r>
          <w:rPr>
            <w:rFonts w:ascii="Cambria Math" w:hAnsi="Cambria Math"/>
          </w:rPr>
          <m:t xml:space="preserve">numpy</m:t>
        </m:r>
        <m:r>
          <w:rPr>
            <w:rFonts w:ascii="Cambria Math" w:hAnsi="Cambria Math"/>
          </w:rPr>
          <m:t xml:space="preserve">as</m:t>
        </m:r>
        <m:r>
          <w:rPr>
            <w:rFonts w:ascii="Cambria Math" w:hAnsi="Cambria Math"/>
          </w:rPr>
          <m:t xml:space="preserve">np</m:t>
        </m:r>
      </m:oMath>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r>
          <w:rPr>
            <w:rFonts w:ascii="Cambria Math" w:hAnsi="Cambria Math"/>
          </w:rPr>
          <m:t xml:space="preserve">import</m:t>
        </m:r>
        <m:r>
          <w:rPr>
            <w:rFonts w:ascii="Cambria Math" w:hAnsi="Cambria Math"/>
          </w:rPr>
          <m:t xml:space="preserve">plotly</m:t>
        </m:r>
        <m:r>
          <w:rPr>
            <w:rFonts w:ascii="Cambria Math" w:hAnsi="Cambria Math"/>
          </w:rPr>
          <m:t xml:space="preserve">.</m:t>
        </m:r>
        <m:r>
          <w:rPr>
            <w:rFonts w:ascii="Cambria Math" w:hAnsi="Cambria Math"/>
          </w:rPr>
          <m:t xml:space="preserve">express</m:t>
        </m:r>
        <m:r>
          <w:rPr>
            <w:rFonts w:ascii="Cambria Math" w:hAnsi="Cambria Math"/>
          </w:rPr>
          <m:t xml:space="preserve">as</m:t>
        </m:r>
        <m:r>
          <w:rPr>
            <w:rFonts w:ascii="Cambria Math" w:hAnsi="Cambria Math"/>
          </w:rPr>
          <m:t xml:space="preserve">px</m:t>
        </m:r>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sSub>
          <m:e>
            <m:r>
              <w:rPr>
                <w:rFonts w:ascii="Cambria Math" w:hAnsi="Cambria Math"/>
              </w:rPr>
              <m:t xml:space="preserve">explained</m:t>
            </m:r>
          </m:e>
          <m:sub>
            <m:r>
              <w:rPr>
                <w:rFonts w:ascii="Cambria Math" w:hAnsi="Cambria Math"/>
              </w:rPr>
              <m:t xml:space="preserve">variance</m:t>
            </m:r>
          </m:sub>
        </m:sSub>
        <m:r>
          <w:rPr>
            <w:rFonts w:ascii="Cambria Math" w:hAnsi="Cambria Math"/>
          </w:rPr>
          <m:t xml:space="preserve">=</m:t>
        </m:r>
        <m:r>
          <w:rPr>
            <w:rFonts w:ascii="Cambria Math" w:hAnsi="Cambria Math"/>
          </w:rPr>
          <m:t xml:space="preserve">np</m:t>
        </m:r>
        <m:r>
          <w:rPr>
            <w:rFonts w:ascii="Cambria Math" w:hAnsi="Cambria Math"/>
          </w:rPr>
          <m:t xml:space="preserve">.</m:t>
        </m:r>
        <m:r>
          <w:rPr>
            <w:rFonts w:ascii="Cambria Math" w:hAnsi="Cambria Math"/>
          </w:rPr>
          <m:t xml:space="preserve">insert</m:t>
        </m:r>
        <m:d>
          <m:dPr>
            <m:begChr m:val="("/>
            <m:endChr m:val=")"/>
          </m:dPr>
          <m:e>
            <m:sSub>
              <m:e>
                <m:r>
                  <w:rPr>
                    <w:rFonts w:ascii="Cambria Math" w:hAnsi="Cambria Math"/>
                  </w:rPr>
                  <m:t xml:space="preserve">explained</m:t>
                </m:r>
              </m:e>
              <m:sub>
                <m:r>
                  <w:rPr>
                    <w:rFonts w:ascii="Cambria Math" w:hAnsi="Cambria Math"/>
                  </w:rPr>
                  <m:t xml:space="preserve">variance</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e>
        </m:d>
      </m:oMath>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sSub>
          <m:e>
            <m:r>
              <w:rPr>
                <w:rFonts w:ascii="Cambria Math" w:hAnsi="Cambria Math"/>
              </w:rPr>
              <m:t xml:space="preserve">cumulative</m:t>
            </m:r>
          </m:e>
          <m:sub>
            <m:r>
              <w:rPr>
                <w:rFonts w:ascii="Cambria Math" w:hAnsi="Cambria Math"/>
              </w:rPr>
              <m:t xml:space="preserve">variance</m:t>
            </m:r>
          </m:sub>
        </m:sSub>
        <m:r>
          <w:rPr>
            <w:rFonts w:ascii="Cambria Math" w:hAnsi="Cambria Math"/>
          </w:rPr>
          <m:t xml:space="preserve">=</m:t>
        </m:r>
        <m:r>
          <w:rPr>
            <w:rFonts w:ascii="Cambria Math" w:hAnsi="Cambria Math"/>
          </w:rPr>
          <m:t xml:space="preserve">np</m:t>
        </m:r>
        <m:r>
          <w:rPr>
            <w:rFonts w:ascii="Cambria Math" w:hAnsi="Cambria Math"/>
          </w:rPr>
          <m:t xml:space="preserve">.</m:t>
        </m:r>
        <m:r>
          <w:rPr>
            <w:rFonts w:ascii="Cambria Math" w:hAnsi="Cambria Math"/>
          </w:rPr>
          <m:t xml:space="preserve">cumsum</m:t>
        </m:r>
        <m:d>
          <m:dPr>
            <m:begChr m:val="("/>
            <m:endChr m:val=")"/>
          </m:dPr>
          <m:e>
            <m:r>
              <w:rPr>
                <w:rFonts w:ascii="Cambria Math" w:hAnsi="Cambria Math"/>
              </w:rPr>
              <m:t xml:space="preserve">np</m:t>
            </m:r>
            <m:r>
              <w:rPr>
                <w:rFonts w:ascii="Cambria Math" w:hAnsi="Cambria Math"/>
              </w:rPr>
              <m:t xml:space="preserve">.</m:t>
            </m:r>
            <m:r>
              <w:rPr>
                <w:rFonts w:ascii="Cambria Math" w:hAnsi="Cambria Math"/>
              </w:rPr>
              <m:t xml:space="preserve">round</m:t>
            </m:r>
            <m:d>
              <m:dPr>
                <m:begChr m:val="("/>
                <m:endChr m:val=")"/>
              </m:dPr>
              <m:e>
                <m:sSub>
                  <m:e>
                    <m:r>
                      <w:rPr>
                        <w:rFonts w:ascii="Cambria Math" w:hAnsi="Cambria Math"/>
                      </w:rPr>
                      <m:t xml:space="preserve">explained</m:t>
                    </m:r>
                  </m:e>
                  <m:sub>
                    <m:r>
                      <w:rPr>
                        <w:rFonts w:ascii="Cambria Math" w:hAnsi="Cambria Math"/>
                      </w:rPr>
                      <m:t xml:space="preserve">variance</m:t>
                    </m:r>
                  </m:sub>
                </m:sSub>
                <m:r>
                  <w:rPr>
                    <w:rFonts w:ascii="Cambria Math" w:hAnsi="Cambria Math"/>
                  </w:rPr>
                  <m:t xml:space="preserve">,</m:t>
                </m:r>
                <m:r>
                  <w:rPr>
                    <w:rFonts w:ascii="Cambria Math" w:hAnsi="Cambria Math"/>
                  </w:rPr>
                  <m:t xml:space="preserve">decimals</m:t>
                </m:r>
                <m:r>
                  <w:rPr>
                    <w:rFonts w:ascii="Cambria Math" w:hAnsi="Cambria Math"/>
                  </w:rPr>
                  <m:t xml:space="preserve">=</m:t>
                </m:r>
                <m:r>
                  <w:rPr>
                    <w:rFonts w:ascii="Cambria Math" w:hAnsi="Cambria Math"/>
                  </w:rPr>
                  <m:t xml:space="preserve">3</m:t>
                </m:r>
              </m:e>
            </m:d>
          </m:e>
        </m:d>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sSub>
          <m:e>
            <m:r>
              <w:rPr>
                <w:rFonts w:ascii="Cambria Math" w:hAnsi="Cambria Math"/>
              </w:rPr>
              <m:t xml:space="preserve">pc</m:t>
            </m:r>
          </m:e>
          <m:sub>
            <m:r>
              <w:rPr>
                <w:rFonts w:ascii="Cambria Math" w:hAnsi="Cambria Math"/>
              </w:rPr>
              <m:t xml:space="preserve">df</m:t>
            </m:r>
          </m:sub>
        </m:sSub>
        <m:r>
          <w:rPr>
            <w:rFonts w:ascii="Cambria Math" w:hAnsi="Cambria Math"/>
          </w:rPr>
          <m:t xml:space="preserve">=</m:t>
        </m:r>
        <m:r>
          <w:rPr>
            <w:rFonts w:ascii="Cambria Math" w:hAnsi="Cambria Math"/>
          </w:rPr>
          <m:t xml:space="preserve">pd</m:t>
        </m:r>
        <m:r>
          <w:rPr>
            <w:rFonts w:ascii="Cambria Math" w:hAnsi="Cambria Math"/>
          </w:rPr>
          <m:t xml:space="preserve">.</m:t>
        </m:r>
        <m:r>
          <w:rPr>
            <w:rFonts w:ascii="Cambria Math" w:hAnsi="Cambria Math"/>
          </w:rPr>
          <m:t xml:space="preserve">DataFrame</m:t>
        </m:r>
        <m:d>
          <m:dPr>
            <m:begChr m:val="("/>
            <m:endChr m:val=")"/>
          </m:dPr>
          <m:e>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PC</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PC</m:t>
                </m:r>
                <m:r>
                  <w:rPr>
                    <w:rFonts w:ascii="Cambria Math" w:hAnsi="Cambria Math"/>
                  </w:rPr>
                  <m:t xml:space="preserve">2</m:t>
                </m:r>
                <m:r>
                  <w:rPr>
                    <w:rFonts w:ascii="Cambria Math" w:hAnsi="Cambria Math"/>
                  </w:rPr>
                  <m:t xml:space="preserve">'</m:t>
                </m:r>
              </m:e>
            </m:d>
            <m:r>
              <w:rPr>
                <w:rFonts w:ascii="Cambria Math" w:hAnsi="Cambria Math"/>
              </w:rPr>
              <m:t xml:space="preserve">,</m:t>
            </m:r>
            <m:r>
              <w:rPr>
                <w:rFonts w:ascii="Cambria Math" w:hAnsi="Cambria Math"/>
              </w:rPr>
              <m:t xml:space="preserve">columns</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PC</m:t>
                </m:r>
                <m:r>
                  <w:rPr>
                    <w:rFonts w:ascii="Cambria Math" w:hAnsi="Cambria Math"/>
                  </w:rPr>
                  <m:t xml:space="preserve">'</m:t>
                </m:r>
              </m:e>
            </m:d>
          </m:e>
        </m:d>
      </m:oMath>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sSub>
          <m:e>
            <m:r>
              <w:rPr>
                <w:rFonts w:ascii="Cambria Math" w:hAnsi="Cambria Math"/>
              </w:rPr>
              <m:t xml:space="preserve">explained</m:t>
            </m:r>
          </m:e>
          <m:sub/>
        </m:sSub>
        <m:r>
          <w:rPr>
            <w:rFonts w:ascii="Cambria Math" w:hAnsi="Cambria Math"/>
          </w:rPr>
          <m:t xml:space="preserve">=</m:t>
        </m:r>
        <m:r>
          <w:rPr>
            <w:rFonts w:ascii="Cambria Math" w:hAnsi="Cambria Math"/>
          </w:rPr>
          <m:t xml:space="preserve">pd</m:t>
        </m:r>
        <m:r>
          <w:rPr>
            <w:rFonts w:ascii="Cambria Math" w:hAnsi="Cambria Math"/>
          </w:rPr>
          <m:t xml:space="preserve">.</m:t>
        </m:r>
        <m:r>
          <w:rPr>
            <w:rFonts w:ascii="Cambria Math" w:hAnsi="Cambria Math"/>
          </w:rPr>
          <m:t xml:space="preserve">DataFrame</m:t>
        </m:r>
        <m:d>
          <m:dPr>
            <m:begChr m:val="("/>
            <m:endChr m:val=")"/>
          </m:dPr>
          <m:e>
            <m:sSub>
              <m:e>
                <m:r>
                  <w:rPr>
                    <w:rFonts w:ascii="Cambria Math" w:hAnsi="Cambria Math"/>
                  </w:rPr>
                  <m:t xml:space="preserve">explained</m:t>
                </m:r>
              </m:e>
              <m:sub>
                <m:r>
                  <w:rPr>
                    <w:rFonts w:ascii="Cambria Math" w:hAnsi="Cambria Math"/>
                  </w:rPr>
                  <m:t xml:space="preserve">variance</m:t>
                </m:r>
              </m:sub>
            </m:sSub>
            <m:r>
              <w:rPr>
                <w:rFonts w:ascii="Cambria Math" w:hAnsi="Cambria Math"/>
              </w:rPr>
              <m:t xml:space="preserve">,</m:t>
            </m:r>
            <m:r>
              <w:rPr>
                <w:rFonts w:ascii="Cambria Math" w:hAnsi="Cambria Math"/>
              </w:rPr>
              <m:t xml:space="preserve">columns</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Explained</m:t>
                </m:r>
                <m:r>
                  <w:rPr>
                    <w:rFonts w:ascii="Cambria Math" w:hAnsi="Cambria Math"/>
                  </w:rPr>
                  <m:t xml:space="preserve">Variance</m:t>
                </m:r>
                <m:r>
                  <w:rPr>
                    <w:rFonts w:ascii="Cambria Math" w:hAnsi="Cambria Math"/>
                  </w:rPr>
                  <m:t xml:space="preserve">'</m:t>
                </m:r>
              </m:e>
            </m:d>
          </m:e>
        </m:d>
      </m:oMath>
    </w:p>
    <w:p>
      <w:pPr>
        <w:pStyle w:val="Normal"/>
        <w:spacing w:lineRule="auto" w:line="240" w:before="0" w:after="0"/>
        <w:ind w:left="-567" w:right="-569" w:firstLine="283"/>
        <w:jc w:val="both"/>
        <w:rPr>
          <w:rFonts w:ascii="Times New Roman" w:hAnsi="Times New Roman" w:eastAsia="Times New Roman"/>
          <w:lang w:val="en-US"/>
        </w:rPr>
      </w:pPr>
      <w:r>
        <w:rPr/>
      </w:r>
      <m:oMath xmlns:m="http://schemas.openxmlformats.org/officeDocument/2006/math">
        <m:sSub>
          <m:e>
            <m:r>
              <w:rPr>
                <w:rFonts w:ascii="Cambria Math" w:hAnsi="Cambria Math"/>
              </w:rPr>
              <m:t xml:space="preserve">cumulative</m:t>
            </m:r>
          </m:e>
          <m:sub/>
        </m:sSub>
        <m:r>
          <w:rPr>
            <w:rFonts w:ascii="Cambria Math" w:hAnsi="Cambria Math"/>
          </w:rPr>
          <m:t xml:space="preserve">=</m:t>
        </m:r>
        <m:r>
          <w:rPr>
            <w:rFonts w:ascii="Cambria Math" w:hAnsi="Cambria Math"/>
          </w:rPr>
          <m:t xml:space="preserve">pd</m:t>
        </m:r>
        <m:r>
          <w:rPr>
            <w:rFonts w:ascii="Cambria Math" w:hAnsi="Cambria Math"/>
          </w:rPr>
          <m:t xml:space="preserve">.</m:t>
        </m:r>
        <m:r>
          <w:rPr>
            <w:rFonts w:ascii="Cambria Math" w:hAnsi="Cambria Math"/>
          </w:rPr>
          <m:t xml:space="preserve">DataFrame</m:t>
        </m:r>
        <m:d>
          <m:dPr>
            <m:begChr m:val="("/>
            <m:endChr m:val=")"/>
          </m:dPr>
          <m:e>
            <m:sSub>
              <m:e>
                <m:r>
                  <w:rPr>
                    <w:rFonts w:ascii="Cambria Math" w:hAnsi="Cambria Math"/>
                  </w:rPr>
                  <m:t xml:space="preserve">cumulative</m:t>
                </m:r>
              </m:e>
              <m:sub>
                <m:r>
                  <w:rPr>
                    <w:rFonts w:ascii="Cambria Math" w:hAnsi="Cambria Math"/>
                  </w:rPr>
                  <m:t xml:space="preserve">variance</m:t>
                </m:r>
              </m:sub>
            </m:sSub>
            <m:r>
              <w:rPr>
                <w:rFonts w:ascii="Cambria Math" w:hAnsi="Cambria Math"/>
              </w:rPr>
              <m:t xml:space="preserve">,</m:t>
            </m:r>
            <m:r>
              <w:rPr>
                <w:rFonts w:ascii="Cambria Math" w:hAnsi="Cambria Math"/>
              </w:rPr>
              <m:t xml:space="preserve">columns</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Cumulative</m:t>
                </m:r>
                <m:r>
                  <w:rPr>
                    <w:rFonts w:ascii="Cambria Math" w:hAnsi="Cambria Math"/>
                  </w:rPr>
                  <m:t xml:space="preserve">Variance</m:t>
                </m:r>
                <m:r>
                  <w:rPr>
                    <w:rFonts w:ascii="Cambria Math" w:hAnsi="Cambria Math"/>
                  </w:rPr>
                  <m:t xml:space="preserve">'</m:t>
                </m:r>
              </m:e>
            </m:d>
          </m:e>
        </m:d>
      </m:oMath>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ListParagraph"/>
        <w:numPr>
          <w:ilvl w:val="1"/>
          <w:numId w:val="2"/>
        </w:numPr>
        <w:spacing w:lineRule="auto" w:line="240" w:before="0" w:after="0"/>
        <w:ind w:left="792" w:right="-569" w:hanging="432"/>
        <w:contextualSpacing/>
        <w:jc w:val="both"/>
        <w:rPr>
          <w:rFonts w:ascii="Times New Roman" w:hAnsi="Times New Roman" w:eastAsia="Times New Roman"/>
          <w:i/>
          <w:i/>
          <w:iCs/>
          <w:lang w:val="en-US"/>
        </w:rPr>
      </w:pPr>
      <w:r>
        <w:rPr>
          <w:rFonts w:eastAsia="Times New Roman" w:ascii="Times New Roman" w:hAnsi="Times New Roman"/>
          <w:i/>
          <w:iCs/>
          <w:lang w:val="en-US"/>
        </w:rPr>
        <w:t>Scores plot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scores plot indicates the relationship between the samples helping to identify which are the main components that explain the variations of the original data. This relationship is highly influenced by the scaling and pre-treatment of the original data, so these steps must be performed properly to reduce significant value effects that can dominate comparisons in a dataset</w:t>
      </w:r>
      <w:r>
        <w:fldChar w:fldCharType="begin"/>
      </w:r>
      <w:r>
        <w:rPr>
          <w:rFonts w:eastAsia="Times New Roman" w:ascii="Times New Roman" w:hAnsi="Times New Roman"/>
          <w:lang w:val="en-US"/>
        </w:rPr>
        <w:instrText>ADDIN CSL_CITATION {"citationItems":[{"id":"ITEM-1","itemData":{"DOI":"10.1002/9781118230275","ISBN":"9780470170830","abstract":"Practical Utility of Biomarkers in Drug Discovery and Development covers all aspects of biomarker research applied to drug discovery and development and contains state-of-the-art appraisals on the practical utility of genomic, biochemical, and protein biomarkers. Case histories and lessons from successful and unsuccessful applications of biomarkers are included along with key chapters on GLP validation, safety biomarkers and proteomics biomarkers. Regulatory agency perspectives and initiatives both in the US and internationally are also discussed. © 2012 John Wiley &amp; Sons, Inc.","author":[{"dropping-particle":"","family":"Williams","given":"J. Andrew","non-dropping-particle":"","parse-names":false,"suffix":""},{"dropping-particle":"","family":"Koup","given":"Jeffrey R.","non-dropping-particle":"","parse-names":false,"suffix":""},{"dropping-particle":"","family":"Lalonde","given":"Richard","non-dropping-particle":"","parse-names":false,"suffix":""},{"dropping-particle":"","family":"Christ","given":"David D.","non-dropping-particle":"","parse-names":false,"suffix":""}],"container-title":"Predictive Approaches in Drug Discovery and Development: Biomarkers and In Vitro/In Vivo Correlations","id":"ITEM-1","issued":{"date-parts":[["2012"]]},"title":"Predictive Approaches in Drug Discovery and Development: Biomarkers and In Vitro/In Vivo Correlations","type":"book"},"uris":["http://www.mendeley.com/documents/?uuid=5d343f03-f8b4-467f-b55d-31635b932534"]},{"id":"ITEM-2","itemData":{"author":[{"dropping-particle":"","family":"Esbensen, Kim H.; Guyot, Dominique; Westad, Frank; Houmoller","given":"Lars P.","non-dropping-particle":"","parse-names":false,"suffix":""}],"id":"ITEM-2","issued":{"date-parts":[["2002"]]},"page":"598","title":"Multivariate Data Analysis In Practice : an Introduction to Multivariate Data Analysis and Experimental Design","type":"article-journal"},"uris":["http://www.mendeley.com/documents/?uuid=1235e307-4a79-4543-be27-d6d1393161ea"]}],"mendeley":{"formattedCitation":"[21], [22]","plainTextFormattedCitation":"[21], [22]","previouslyFormattedCitation":"[21], [22]"},"properties":{"noteIndex":0},"schema":"https://github.com/citation-style-language/schema/raw/master/csl-citation.json"}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[21], [22]</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ListParagraph"/>
        <w:numPr>
          <w:ilvl w:val="1"/>
          <w:numId w:val="2"/>
        </w:numPr>
        <w:spacing w:lineRule="auto" w:line="240" w:before="0" w:after="0"/>
        <w:ind w:left="792" w:right="-569" w:hanging="432"/>
        <w:contextualSpacing/>
        <w:jc w:val="both"/>
        <w:rPr>
          <w:rFonts w:ascii="Times New Roman" w:hAnsi="Times New Roman" w:eastAsia="Times New Roman"/>
          <w:i/>
          <w:i/>
          <w:iCs/>
          <w:lang w:val="en-US"/>
        </w:rPr>
      </w:pPr>
      <w:r>
        <w:rPr>
          <w:rFonts w:eastAsia="Times New Roman" w:ascii="Times New Roman" w:hAnsi="Times New Roman"/>
          <w:i/>
          <w:iCs/>
          <w:lang w:val="en-US"/>
        </w:rPr>
        <w:t>Loading plot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In loading plot visualization, we can understand the reason that the data were grouped and the influence of their positions by studying the relationship between the variables. Variables positioned in the same direction from the center have a positive correlation, and variables positioned on opposite sides of the center have a negative correlation</w:t>
      </w:r>
      <w:r>
        <w:fldChar w:fldCharType="begin"/>
      </w:r>
      <w:r>
        <w:rPr>
          <w:rFonts w:eastAsia="Times New Roman" w:ascii="Times New Roman" w:hAnsi="Times New Roman"/>
          <w:lang w:val="en-US"/>
        </w:rPr>
        <w:instrText>ADDIN CSL_CITATION {"citationItems":[{"id":"ITEM-1","itemData":{"author":[{"dropping-particle":"","family":"Esbensen, Kim H.; Guyot, Dominique; Westad, Frank; Houmoller","given":"Lars P.","non-dropping-particle":"","parse-names":false,"suffix":""}],"id":"ITEM-1","issued":{"date-parts":[["2002"]]},"page":"598","title":"Multivariate Data Analysis In Practice : an Introduction to Multivariate Data Analysis and Experimental Design","type":"article-journal"},"uris":["http://www.mendeley.com/documents/?uuid=1235e307-4a79-4543-be27-d6d1393161ea"]}],"mendeley":{"formattedCitation":"[22]","plainTextFormattedCitation":"[22]","previouslyFormattedCitation":"[22]"},"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[22]</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 While the scores plot will show the classification of the samples according to the Principal Components (PC), the loading plot will contribute to the identification of the variables responsible for this classification</w:t>
      </w:r>
      <w:r>
        <w:fldChar w:fldCharType="begin"/>
      </w:r>
      <w:r>
        <w:rPr>
          <w:rFonts w:eastAsia="Times New Roman" w:ascii="Times New Roman" w:hAnsi="Times New Roman"/>
          <w:lang w:val="en-US"/>
        </w:rPr>
        <w:instrText>ADDIN CSL_CITATION {"citationItems":[{"id":"ITEM-1","itemData":{"DOI":"10.1002/9781118230275","ISBN":"9780470170830","abstract":"Practical Utility of Biomarkers in Drug Discovery and Development covers all aspects of biomarker research applied to drug discovery and development and contains state-of-the-art appraisals on the practical utility of genomic, biochemical, and protein biomarkers. Case histories and lessons from successful and unsuccessful applications of biomarkers are included along with key chapters on GLP validation, safety biomarkers and proteomics biomarkers. Regulatory agency perspectives and initiatives both in the US and internationally are also discussed. © 2012 John Wiley &amp; Sons, Inc.","author":[{"dropping-particle":"","family":"Williams","given":"J. Andrew","non-dropping-particle":"","parse-names":false,"suffix":""},{"dropping-particle":"","family":"Koup","given":"Jeffrey R.","non-dropping-particle":"","parse-names":false,"suffix":""},{"dropping-particle":"","family":"Lalonde","given":"Richard","non-dropping-particle":"","parse-names":false,"suffix":""},{"dropping-particle":"","family":"Christ","given":"David D.","non-dropping-particle":"","parse-names":false,"suffix":""}],"container-title":"Predictive Approaches in Drug Discovery and Development: Biomarkers and In Vitro/In Vivo Correlations","id":"ITEM-1","issued":{"date-parts":[["2012"]]},"title":"Predictive Approaches in Drug Discovery and Development: Biomarkers and In Vitro/In Vivo Correlations","type":"book"},"uris":["http://www.mendeley.com/documents/?uuid=5d343f03-f8b4-467f-b55d-31635b932534"]}],"mendeley":{"formattedCitation":"[21]","plainTextFormattedCitation":"[21]","previouslyFormattedCitation":"[21]"},"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[21]</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ListParagraph"/>
        <w:numPr>
          <w:ilvl w:val="1"/>
          <w:numId w:val="2"/>
        </w:numPr>
        <w:spacing w:lineRule="auto" w:line="240" w:before="0" w:after="0"/>
        <w:ind w:left="792" w:right="-569" w:hanging="432"/>
        <w:contextualSpacing/>
        <w:jc w:val="both"/>
        <w:rPr>
          <w:rFonts w:ascii="Times New Roman" w:hAnsi="Times New Roman" w:eastAsia="Times New Roman"/>
          <w:i/>
          <w:i/>
          <w:iCs/>
          <w:lang w:val="en-US"/>
        </w:rPr>
      </w:pPr>
      <w:r>
        <w:rPr>
          <w:rFonts w:eastAsia="Times New Roman" w:ascii="Times New Roman" w:hAnsi="Times New Roman"/>
          <w:i/>
          <w:iCs/>
          <w:lang w:val="en-US"/>
        </w:rPr>
        <w:t>HIV Sensors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For the HIV sensors, Lignin was used in the immobilization matrix. This Lignin was extracted from sugar cane through an organosolv process, a pulping technique that uses an organic solvent. The p17-1 peptide sequence H2N-LSGGELDRWEKIRLRPGG-OH, Anti-p17 antibody and anti-HCV were provided by external companies. The peptide solution was prepared with 0.5mg of it to 1ml phosphate buffered saline solution (PBS). Different concentrations of antibody were prepared for the stock solutions. Lignin and peptide film layers were produced by immersing the substrate in the Lignin solution and then in the peptide solution, washing each immersion with Milli-Q water and drying with nitrogen. Interdigitated gold electrodes were used for impedance spectroscopy analysis and measurements were performed using the Solartron 1260A impedance analyzer in the range from 1Hz to 106Hz</w:t>
      </w:r>
      <w:r>
        <w:fldChar w:fldCharType="begin"/>
      </w:r>
      <w:r>
        <w:rPr>
          <w:rFonts w:eastAsia="Times New Roman" w:ascii="Times New Roman" w:hAnsi="Times New Roman"/>
          <w:lang w:val="en-US"/>
        </w:rPr>
        <w:instrText>ADDIN CSL_CITATION {"citationItems":[{"id":"ITEM-1","itemData":{"DOI":"10.1016/j.bios.2015.04.054","ISSN":"18734235","PMID":"25950938","abstract":"Immunosensors based on electrical impedance spectroscopy (EIS) are increasingly being used as a fast and potentially low cost method for clinical diagnostics. In this work we fabricated immunosensors by depositing layer-by-layer (LbL) films made with an antigenic peptide (p17-1) sequence (H&lt;inf&gt;2&lt;/inf&gt;N-LSGGELDRWEKIRLRPGG-OH) and lignin on interdigitated gold electrodes, which could detect anti-p17 (HIV, human immune deficiency virus) antibodies (Ab) in phosphate buffered solutions (PBS). The molecular recognition interaction between the peptide (p17-1) and the specific Ab (anti-p17) yielded substantial changes in morphology of the with LbL films, with increased roughness according to atomic force microscopy data. This interaction is behind the high sensitivity of the immunosensor. Indeed, from the EIS results, we noted that the capacitance increased significantly with the specific Ab concentration, before getting close to saturation of available peptide sites at high concentrations. Concentrations of specific antibodies as low as 0.1ng/mL could be detected and the immunosensors had their activity preserved for two months at least. The selectivity of the immunosensor was confirmed with two types of control experiments. First, no changes in impedance were observed when the lignin/peptide LbL immunosensor was immersed into a PBS solution containing the non-specific Ab (anti-HCV for Hepatitis C) antibodies. Furthermore, for sensing units made LbL films of lignin only, the electrical response was not affected by adding specific antibodies into the PBS buffer. The successful immunosensing for HIV with antigenic peptides in a lignin matrix is also relevant for valorization of lignin, which is an important biomass component in the sugar and ethanol industry, and brings the prospect for all-organic, biocompatible sensors if implantation is ever required.","author":[{"dropping-particle":"","family":"Cerrutti","given":"Bianca M.","non-dropping-particle":"","parse-names":false,"suffix":""},{"dropping-particle":"","family":"Moraes","given":"Marli L.","non-dropping-particle":"","parse-names":false,"suffix":""},{"dropping-particle":"","family":"Pulcinelli","given":"Sandra H.","non-dropping-particle":"","parse-names":false,"suffix":""},{"dropping-particle":"V.","family":"Santilli","given":"Celso","non-dropping-particle":"","parse-names":false,"suffix":""}],"container-title":"Biosensors and Bioelectronics","id":"ITEM-1","issued":{"date-parts":[["2015"]]},"page":"420-426","publisher":"Elsevier","title":"Lignin as immobilization matrix for HIV p17 peptide used in immunosensing","type":"article-journal","volume":"71"},"uris":["http://www.mendeley.com/documents/?uuid=d13a5d64-9556-4172-afae-948fdfcea33c"]},{"id":"ITEM-2","itemData":{"DOI":"10.3390/mi12020174","ISSN":"2072666X","abstract":"The last few decades have been plagued by viral outbreaks that present some of the biggest challenges to public safety. The current coronavirus (COVID-19) disease pandemic has exponentiated these concerns. Increased research on diagnostic tools is currently being implemented in order to assist with rapid identification of the virus, as mass diagnosis and containment is the best way to prevent the outbreak of the virus. Accordingly, there is a growing urgency to establish a point-of-care device for the rapid detection of coronavirus to prevent subsequent spread. This device needs to be sensitive, selective, and exhibit rapid diagnostic capabilities. Electrochemical biosensors have demonstrated these traits and, hence, serve as promising candidates for the detection of viruses. This review summarizes the designs and features of electrochemical biosensors developed for some past and current pandemic or epidemic viruses, including influenza, HIV, Ebola, and Zika. Alongside the design, this review also discusses the detection principles, fabrication techniques, and applications of the biosensors. Finally, research and perspective of biosensors as potential detection tools for the rapid identification of SARS-CoV-2 is discussed.","author":[{"dropping-particle":"","family":"Imran","given":"Saim","non-dropping-particle":"","parse-names":false,"suffix":""},{"dropping-particle":"","family":"Ahmadi","given":"Soha","non-dropping-particle":"","parse-names":false,"suffix":""},{"dropping-particle":"","family":"Kerman","given":"Kagan","non-dropping-particle":"","parse-names":false,"suffix":""}],"container-title":"Micromachines","id":"ITEM-2","issue":"2","issued":{"date-parts":[["2021"]]},"page":"1-23","title":"Electrochemical biosensors for the detection of sars-cov-2 and other viruses","type":"article-journal","volume":"12"},"uris":["http://www.mendeley.com/documents/?uuid=33c4cfcd-2d4c-42b4-81d5-ae2714e54369"]}],"mendeley":{"formattedCitation":"[2], [23]","plainTextFormattedCitation":"[2], [23]","previouslyFormattedCitation":"[2], [23]"},"properties":{"noteIndex":0},"schema":"https://github.com/citation-style-language/schema/raw/master/csl-citation.json"}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[2], [23]</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ListParagraph"/>
        <w:numPr>
          <w:ilvl w:val="1"/>
          <w:numId w:val="2"/>
        </w:numPr>
        <w:spacing w:lineRule="auto" w:line="240" w:before="0" w:after="0"/>
        <w:ind w:left="792" w:right="-569" w:hanging="432"/>
        <w:contextualSpacing/>
        <w:jc w:val="both"/>
        <w:rPr>
          <w:rFonts w:ascii="Times New Roman" w:hAnsi="Times New Roman" w:eastAsia="Times New Roman"/>
          <w:i/>
          <w:i/>
          <w:iCs/>
          <w:lang w:val="en-US"/>
        </w:rPr>
      </w:pPr>
      <w:r>
        <w:rPr>
          <w:rFonts w:eastAsia="Times New Roman" w:ascii="Times New Roman" w:hAnsi="Times New Roman"/>
          <w:i/>
          <w:iCs/>
          <w:lang w:val="en-US"/>
        </w:rPr>
        <w:t>HCV Sensors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For the HCV sensor, Silk Fibroin (SF) was used as an immobilization matrix, this Silk Fibroin was extracted from the Bombyx mori silkworm cocoon, The Silk Fibroin, the peptide PPLLESWKDPDYVPPWHG (NS5A-1), the anti-HCV antibody were provided by external companies. The peptide solution was prepared with 0.5mg of it to 1ml Milli-Q water. Different concentrations of antibody were prepared for the stock solutions. Silk Fibroin and peptide film layers were produced by immersing the substrate in the Silk Fibroin solution and then in the peptide solution, washing each immersion with Milli-Q water to remove loosely adsorbed molecules. Interdigitated gold electrodes were used for impedance spectroscopy analysis and measurements were performed using the Solartron 1260A impedance analyzer in the range from 1Hz to 106Hz</w:t>
      </w:r>
      <w:r>
        <w:fldChar w:fldCharType="begin"/>
      </w:r>
      <w:r>
        <w:rPr>
          <w:rFonts w:eastAsia="Times New Roman" w:ascii="Times New Roman" w:hAnsi="Times New Roman"/>
          <w:lang w:val="en-US"/>
        </w:rPr>
        <w:instrText>ADDIN CSL_CITATION {"citationItems":[{"id":"ITEM-1","itemData":{"DOI":"10.21577/0103-5053.20180080","ISSN":"16784790","abstract":"Immunosensors based on impedance spectroscopy for diagnosing hepatitis C are reported where the sensing units were made with the antigenic peptide PPLLESWKDPDYVPPWHG (NS5A-1) derived from the NS5A protein of the hepatitis C virus (HCV) immobilized in layer-by-layer (LbL) films with silk fibroin (SF) and deposited on gold interdigitated electrodes. The electrical response of the sensing units varied upon immersion into solutions containing the antibody anti-HCV owing to the biomolecular recognition of NS5A-1. This was associated with morphological changes on the LbL films caused by adsorption of NS5A-1 and inferred from atomic force microscopy images. Buffer solutions with different anti-HCV concentrations down to 2 ng mL-1 could be clearly distinguished by analyzing the impedance spectroscopy data with a multidimensional projection technique. The specificity toward anti-HCV antibodies was confirmed in control experiments where no significant changes in the electrical response were measured by exposing the sensing units to solutions containing an anti-human immunodeficiency virus (HIV) antibody. The high sensitivity and selectivity of the units made with LbL films demonstrate the feasibility of measuring electrical impedance as an immunosensing strategy to detect hepatitis C.","author":[{"dropping-particle":"","family":"Lima","given":"Lais R.","non-dropping-particle":"","parse-names":false,"suffix":""},{"dropping-particle":"","family":"Gonçalves","given":"Alem Mar B.","non-dropping-particle":"","parse-names":false,"suffix":""},{"dropping-particle":"V.","family":"Paulovich","given":"Fernando","non-dropping-particle":"","parse-names":false,"suffix":""},{"dropping-particle":"","family":"Oliveira","given":"Osvaldo N.","non-dropping-particle":"","parse-names":false,"suffix":""},{"dropping-particle":"","family":"Ribeiro","given":"Sidney J.L.","non-dropping-particle":"","parse-names":false,"suffix":""},{"dropping-particle":"","family":"Moraes","given":"Marli L.","non-dropping-particle":"","parse-names":false,"suffix":""}],"container-title":"Journal of the Brazilian Chemical Society","id":"ITEM-1","issue":"10","issued":{"date-parts":[["2018"]]},"page":"2054-2059","title":"Electrical immunosensor made with antigenic peptide NS5A- 1 immobilized onto silk fibroin for diagnosing hepatitis C","type":"article-journal","volume":"29"},"uris":["http://www.mendeley.com/documents/?uuid=40fbe49c-b812-4636-b5e0-e76069f3c0ed"]}],"mendeley":{"formattedCitation":"[3]","plainTextFormattedCitation":"[3]","previouslyFormattedCitation":"[3]"},"properties":{"noteIndex":0},"schema":"https://github.com/citation-style-language/schema/raw/master/csl-citation.json"}</w:instrText>
      </w:r>
      <w:r>
        <w:rPr>
          <w:rFonts w:eastAsia="Times New Roman" w:ascii="Times New Roman" w:hAnsi="Times New Roman"/>
          <w:lang w:val="en-US"/>
        </w:rPr>
      </w:r>
      <w:r>
        <w:rPr>
          <w:rFonts w:eastAsia="Times New Roman" w:ascii="Times New Roman" w:hAnsi="Times New Roman"/>
          <w:lang w:val="en-US"/>
        </w:rPr>
        <w:fldChar w:fldCharType="separate"/>
      </w:r>
      <w:r>
        <w:rPr>
          <w:rFonts w:eastAsia="Times New Roman" w:ascii="Times New Roman" w:hAnsi="Times New Roman"/>
          <w:lang w:val="en-US"/>
        </w:rPr>
        <w:t>[3]</w:t>
      </w:r>
      <w:r>
        <w:rPr>
          <w:rFonts w:eastAsia="Times New Roman" w:ascii="Times New Roman" w:hAnsi="Times New Roman"/>
          <w:lang w:val="en-US"/>
        </w:rPr>
      </w:r>
      <w:r>
        <w:rPr>
          <w:rFonts w:eastAsia="Times New Roman" w:ascii="Times New Roman" w:hAnsi="Times New Roman"/>
          <w:lang w:val="en-US"/>
        </w:rPr>
        <w:fldChar w:fldCharType="end"/>
      </w:r>
      <w:r>
        <w:rPr>
          <w:rFonts w:eastAsia="Times New Roman" w:ascii="Times New Roman" w:hAnsi="Times New Roman"/>
          <w:lang w:val="en-US"/>
        </w:rPr>
        <w:t>.</w:t>
      </w:r>
    </w:p>
    <w:p>
      <w:pPr>
        <w:pStyle w:val="Normal"/>
        <w:spacing w:lineRule="auto" w:line="240" w:before="0" w:after="0"/>
        <w:ind w:right="-569" w:hanging="0"/>
        <w:jc w:val="both"/>
        <w:rPr>
          <w:rFonts w:ascii="Times New Roman" w:hAnsi="Times New Roman"/>
          <w:color w:val="000000"/>
          <w:lang w:val="en-US"/>
        </w:rPr>
      </w:pPr>
      <w:r>
        <w:rPr>
          <w:rFonts w:ascii="Times New Roman" w:hAnsi="Times New Roman"/>
          <w:color w:val="000000"/>
          <w:lang w:val="en-US"/>
        </w:rPr>
      </w:r>
    </w:p>
    <w:p>
      <w:pPr>
        <w:pStyle w:val="ListParagraph"/>
        <w:numPr>
          <w:ilvl w:val="0"/>
          <w:numId w:val="2"/>
        </w:numPr>
        <w:spacing w:lineRule="auto" w:line="240" w:before="0" w:after="0"/>
        <w:ind w:left="-284" w:right="-569" w:hanging="283"/>
        <w:contextualSpacing/>
        <w:jc w:val="both"/>
        <w:rPr>
          <w:rFonts w:ascii="Times New Roman" w:hAnsi="Times New Roman"/>
          <w:b/>
          <w:b/>
          <w:color w:val="000000"/>
          <w:sz w:val="24"/>
          <w:szCs w:val="24"/>
          <w:lang w:val="en-US"/>
        </w:rPr>
      </w:pPr>
      <w:r>
        <w:rPr>
          <w:rFonts w:ascii="Times New Roman" w:hAnsi="Times New Roman"/>
          <w:b/>
          <w:color w:val="000000"/>
          <w:sz w:val="24"/>
          <w:szCs w:val="24"/>
          <w:lang w:val="en-US"/>
        </w:rPr>
        <w:t>Results and discussion</w:t>
      </w:r>
    </w:p>
    <w:p>
      <w:pPr>
        <w:pStyle w:val="Normal"/>
        <w:spacing w:lineRule="auto" w:line="240" w:before="0" w:after="0"/>
        <w:ind w:left="-567" w:right="-569" w:hanging="0"/>
        <w:jc w:val="both"/>
        <w:rPr>
          <w:rFonts w:ascii="Times New Roman" w:hAnsi="Times New Roman"/>
          <w:bCs/>
          <w:color w:val="000000"/>
          <w:lang w:val="en-US"/>
        </w:rPr>
      </w:pPr>
      <w:r>
        <w:rPr>
          <w:rFonts w:ascii="Times New Roman" w:hAnsi="Times New Roman"/>
          <w:bCs/>
          <w:color w:val="000000"/>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This section presents the results of the PCA statistical analysis and the explanation of fundamental concepts adopted, materials and discussions.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ListParagraph"/>
        <w:numPr>
          <w:ilvl w:val="1"/>
          <w:numId w:val="2"/>
        </w:numPr>
        <w:spacing w:lineRule="auto" w:line="240" w:before="0" w:after="0"/>
        <w:ind w:left="792" w:right="-569" w:hanging="432"/>
        <w:contextualSpacing/>
        <w:jc w:val="both"/>
        <w:rPr>
          <w:rFonts w:ascii="Times New Roman" w:hAnsi="Times New Roman" w:eastAsia="Times New Roman"/>
          <w:i/>
          <w:i/>
          <w:iCs/>
          <w:lang w:val="en-US"/>
        </w:rPr>
      </w:pPr>
      <w:r>
        <w:rPr>
          <w:rFonts w:eastAsia="Times New Roman" w:ascii="Times New Roman" w:hAnsi="Times New Roman"/>
          <w:i/>
          <w:iCs/>
          <w:lang w:val="en-US"/>
        </w:rPr>
        <w:t>HIV Sensors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ab/>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For the HIV sensor dataset, the variables are frequency range (Freq(Hz)),  anti-HIV antibody concentration, electrode adopted, parameters such as series capacitance, parallel capacitance, parallel resistance, real impedance (Z'), imaginary impedance (Z'') and parallel loss.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 xml:space="preserve">he antibody used is the anti-p17 which detects HIV-1. The specific sensors for detecting HIV in the presence of anti-p17 antibody are electrode 1, electrode 2, electrode 3, and electrode 4. The specific sensor for detecting HIV in the presence of anti-HCV is the antiHCV </w:t>
      </w:r>
      <w:r>
        <w:rPr>
          <w:rFonts w:eastAsia="Times New Roman" w:ascii="Times New Roman" w:hAnsi="Times New Roman"/>
          <w:lang w:val="en-US"/>
        </w:rPr>
        <w:t>E</w:t>
      </w:r>
      <w:r>
        <w:rPr>
          <w:rFonts w:eastAsia="Times New Roman" w:ascii="Times New Roman" w:hAnsi="Times New Roman"/>
          <w:lang w:val="en-US"/>
        </w:rPr>
        <w:t>lectrode 1, and the non-specific sensor for detecting HIV in the presence of the antibody is the Lignin sensor.</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 xml:space="preserve">The antibody concentrations used to measure the sensors were 0.0001 </w:t>
      </w:r>
      <w:r>
        <w:rPr>
          <w:rFonts w:eastAsia="Times New Roman" w:ascii="Times New Roman" w:hAnsi="Times New Roman"/>
          <w:lang w:val="pt-BR"/>
        </w:rPr>
        <w:t>μ</w:t>
      </w:r>
      <w:r>
        <w:rPr>
          <w:rFonts w:eastAsia="Times New Roman" w:ascii="Times New Roman" w:hAnsi="Times New Roman"/>
          <w:lang w:val="en-US"/>
        </w:rPr>
        <w:t xml:space="preserve">g/mL, 0.001 </w:t>
      </w:r>
      <w:r>
        <w:rPr>
          <w:rFonts w:eastAsia="Times New Roman" w:ascii="Times New Roman" w:hAnsi="Times New Roman"/>
          <w:lang w:val="pt-BR"/>
        </w:rPr>
        <w:t>μ</w:t>
      </w:r>
      <w:r>
        <w:rPr>
          <w:rFonts w:eastAsia="Times New Roman" w:ascii="Times New Roman" w:hAnsi="Times New Roman"/>
          <w:lang w:val="en-US"/>
        </w:rPr>
        <w:t xml:space="preserve">g/mL, 0.01 </w:t>
      </w:r>
      <w:r>
        <w:rPr>
          <w:rFonts w:eastAsia="Times New Roman" w:ascii="Times New Roman" w:hAnsi="Times New Roman"/>
          <w:lang w:val="pt-BR"/>
        </w:rPr>
        <w:t>μ</w:t>
      </w:r>
      <w:r>
        <w:rPr>
          <w:rFonts w:eastAsia="Times New Roman" w:ascii="Times New Roman" w:hAnsi="Times New Roman"/>
          <w:lang w:val="en-US"/>
        </w:rPr>
        <w:t xml:space="preserve">g/mL, 0.1 </w:t>
      </w:r>
      <w:r>
        <w:rPr>
          <w:rFonts w:eastAsia="Times New Roman" w:ascii="Times New Roman" w:hAnsi="Times New Roman"/>
          <w:lang w:val="pt-BR"/>
        </w:rPr>
        <w:t>μ</w:t>
      </w:r>
      <w:r>
        <w:rPr>
          <w:rFonts w:eastAsia="Times New Roman" w:ascii="Times New Roman" w:hAnsi="Times New Roman"/>
          <w:lang w:val="en-US"/>
        </w:rPr>
        <w:t xml:space="preserve">g/mL and 1 </w:t>
      </w:r>
      <w:r>
        <w:rPr>
          <w:rFonts w:eastAsia="Times New Roman" w:ascii="Times New Roman" w:hAnsi="Times New Roman"/>
          <w:lang w:val="pt-BR"/>
        </w:rPr>
        <w:t>μ</w:t>
      </w:r>
      <w:r>
        <w:rPr>
          <w:rFonts w:eastAsia="Times New Roman" w:ascii="Times New Roman" w:hAnsi="Times New Roman"/>
          <w:lang w:val="en-US"/>
        </w:rPr>
        <w:t>g/mL. For analysis purposes, data in PBS solution, the phosphate buffered saline with zero antibody concentration (PBS) was considered.</w:t>
      </w:r>
    </w:p>
    <w:p>
      <w:pPr>
        <w:pStyle w:val="Normal"/>
        <w:spacing w:lineRule="auto" w:line="240" w:before="0" w:after="0"/>
        <w:ind w:left="-567" w:right="-569" w:firstLine="283"/>
        <w:jc w:val="left"/>
        <w:rPr>
          <w:rFonts w:ascii="Times New Roman" w:hAnsi="Times New Roman" w:eastAsia="Times New Roman"/>
          <w:lang w:val="en-US"/>
        </w:rPr>
      </w:pPr>
      <w:r>
        <w:rPr>
          <w:rFonts w:eastAsia="Times New Roman" w:ascii="Times New Roman" w:hAnsi="Times New Roman"/>
          <w:lang w:val="en-US"/>
        </w:rPr>
        <w:t xml:space="preserve">Table 1 presents the values of the Principal Components PC1, PC2, </w:t>
      </w:r>
      <w:r>
        <w:rPr>
          <w:rFonts w:eastAsia="Times New Roman" w:ascii="Times New Roman" w:hAnsi="Times New Roman"/>
          <w:lang w:val="en-US"/>
        </w:rPr>
        <w:t>PC3</w:t>
      </w:r>
      <w:r>
        <w:rPr>
          <w:rFonts w:eastAsia="Times New Roman" w:ascii="Times New Roman" w:hAnsi="Times New Roman"/>
          <w:lang w:val="en-US"/>
        </w:rPr>
        <w:t xml:space="preserve"> and the target column selected for analysis.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 xml:space="preserve">Table 1 – </w:t>
      </w:r>
      <w:bookmarkStart w:id="2" w:name="_Hlk112598275"/>
      <w:r>
        <w:rPr>
          <w:rFonts w:eastAsia="Times New Roman" w:ascii="Times New Roman" w:hAnsi="Times New Roman"/>
          <w:lang w:val="en-US"/>
        </w:rPr>
        <w:t>Target column and Principal Components HIV sensor</w:t>
      </w:r>
      <w:bookmarkEnd w:id="2"/>
    </w:p>
    <w:p>
      <w:pPr>
        <w:pStyle w:val="Normal"/>
        <w:spacing w:lineRule="auto" w:line="240" w:before="0" w:after="0"/>
        <w:ind w:left="-567" w:right="-569" w:firstLine="283"/>
        <w:jc w:val="center"/>
        <w:rPr>
          <w:rFonts w:ascii="Times New Roman" w:hAnsi="Times New Roman" w:eastAsia="Times New Roman"/>
          <w:lang w:val="en-US"/>
        </w:rPr>
      </w:pPr>
      <w:r>
        <w:rPr/>
        <w:drawing>
          <wp:anchor behindDoc="0" distT="0" distB="0" distL="0" distR="0" simplePos="0" locked="0" layoutInCell="1" allowOverlap="1" relativeHeight="121">
            <wp:simplePos x="0" y="0"/>
            <wp:positionH relativeFrom="column">
              <wp:align>center</wp:align>
            </wp:positionH>
            <wp:positionV relativeFrom="paragraph">
              <wp:posOffset>635</wp:posOffset>
            </wp:positionV>
            <wp:extent cx="3409950" cy="30480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3409950" cy="3048000"/>
                    </a:xfrm>
                    <a:prstGeom prst="rect">
                      <a:avLst/>
                    </a:prstGeom>
                  </pic:spPr>
                </pic:pic>
              </a:graphicData>
            </a:graphic>
          </wp:anchor>
        </w:drawing>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left"/>
        <w:rPr>
          <w:rFonts w:ascii="Times New Roman" w:hAnsi="Times New Roman" w:eastAsia="Times New Roman"/>
          <w:lang w:val="en-US"/>
        </w:rPr>
      </w:pPr>
      <w:r>
        <w:rPr>
          <w:rFonts w:eastAsia="Times New Roman" w:ascii="Times New Roman" w:hAnsi="Times New Roman"/>
          <w:lang w:val="en-US"/>
        </w:rPr>
        <w:t xml:space="preserve">Figure 1 presents the scree plot considering PC1, PC2 </w:t>
      </w:r>
      <w:r>
        <w:rPr>
          <w:rFonts w:eastAsia="Times New Roman" w:ascii="Times New Roman" w:hAnsi="Times New Roman"/>
          <w:lang w:val="en-US"/>
        </w:rPr>
        <w:t>and PC3.</w:t>
      </w:r>
      <w:r>
        <w:rPr>
          <w:rFonts w:eastAsia="Times New Roman" w:ascii="Times New Roman" w:hAnsi="Times New Roman"/>
          <w:lang w:val="en-US"/>
        </w:rPr>
        <w:t xml:space="preserve"> The PC1, PC2 </w:t>
      </w:r>
      <w:r>
        <w:rPr>
          <w:rFonts w:eastAsia="Times New Roman" w:ascii="Times New Roman" w:hAnsi="Times New Roman"/>
          <w:lang w:val="en-US"/>
        </w:rPr>
        <w:t>and PC3</w:t>
      </w:r>
      <w:r>
        <w:rPr>
          <w:rFonts w:eastAsia="Times New Roman" w:ascii="Times New Roman" w:hAnsi="Times New Roman"/>
          <w:lang w:val="en-US"/>
        </w:rPr>
        <w:t xml:space="preserve"> added together reached a variance of 93.3% (Table 2).</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drawing>
          <wp:anchor behindDoc="0" distT="0" distB="0" distL="0" distR="0" simplePos="0" locked="0" layoutInCell="1" allowOverlap="1" relativeHeight="122">
            <wp:simplePos x="0" y="0"/>
            <wp:positionH relativeFrom="column">
              <wp:posOffset>570230</wp:posOffset>
            </wp:positionH>
            <wp:positionV relativeFrom="paragraph">
              <wp:posOffset>142240</wp:posOffset>
            </wp:positionV>
            <wp:extent cx="4524375" cy="414337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6"/>
                    <a:stretch>
                      <a:fillRect/>
                    </a:stretch>
                  </pic:blipFill>
                  <pic:spPr bwMode="auto">
                    <a:xfrm>
                      <a:off x="0" y="0"/>
                      <a:ext cx="4524375" cy="4143375"/>
                    </a:xfrm>
                    <a:prstGeom prst="rect">
                      <a:avLst/>
                    </a:prstGeom>
                  </pic:spPr>
                </pic:pic>
              </a:graphicData>
            </a:graphic>
          </wp:anchor>
        </w:drawing>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Figure 1 – Scree plot HIV sensor</w:t>
      </w:r>
    </w:p>
    <w:p>
      <w:pPr>
        <w:pStyle w:val="Normal"/>
        <w:spacing w:lineRule="auto" w:line="240" w:before="0" w:after="0"/>
        <w:ind w:right="-569" w:hanging="0"/>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Table 2 – Explained variance and cumulative variance HIV sensor</w:t>
      </w:r>
    </w:p>
    <w:p>
      <w:pPr>
        <w:pStyle w:val="Normal"/>
        <w:spacing w:lineRule="auto" w:line="240" w:before="0" w:after="0"/>
        <w:ind w:left="-567" w:right="-569" w:firstLine="283"/>
        <w:jc w:val="center"/>
        <w:rPr>
          <w:rFonts w:ascii="Times New Roman" w:hAnsi="Times New Roman" w:eastAsia="Times New Roman"/>
          <w:lang w:val="en-US"/>
        </w:rPr>
      </w:pPr>
      <w:r>
        <w:rPr/>
        <w:drawing>
          <wp:anchor behindDoc="0" distT="0" distB="0" distL="0" distR="0" simplePos="0" locked="0" layoutInCell="1" allowOverlap="1" relativeHeight="123">
            <wp:simplePos x="0" y="0"/>
            <wp:positionH relativeFrom="column">
              <wp:align>center</wp:align>
            </wp:positionH>
            <wp:positionV relativeFrom="paragraph">
              <wp:posOffset>635</wp:posOffset>
            </wp:positionV>
            <wp:extent cx="2971800" cy="127635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7"/>
                    <a:stretch>
                      <a:fillRect/>
                    </a:stretch>
                  </pic:blipFill>
                  <pic:spPr bwMode="auto">
                    <a:xfrm>
                      <a:off x="0" y="0"/>
                      <a:ext cx="2971800" cy="1276350"/>
                    </a:xfrm>
                    <a:prstGeom prst="rect">
                      <a:avLst/>
                    </a:prstGeom>
                  </pic:spPr>
                </pic:pic>
              </a:graphicData>
            </a:graphic>
          </wp:anchor>
        </w:drawing>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In the scores plot (Figure 2), among the specific electrodes for antibody detection, it is possible to notice that electrode 3 has the most significant frequency variation and detection sensitivity. Using the PCA statistical method, there was not a good separation of the sensors at low antibody concentrations. Still, we can observe that the specific sensor to detect HIV in the presence of the HCV antibody, antiHCV electrode 1, separated significantly from the other samples at a higher concentration.</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An interesting fact in this analysis is that the non-specific sensor to detect HIV in the presence of the HIV antibody, Lignin, did not have good separation from the other electrodes in the PCA analysis with low concentration. A possible cause would be the application of Lignin to all specific sensors as the antibody immobilization matrix.</w:t>
      </w:r>
    </w:p>
    <w:p>
      <w:pPr>
        <w:pStyle w:val="Normal"/>
        <w:spacing w:lineRule="auto" w:line="240" w:before="0" w:after="0"/>
        <w:ind w:left="-567" w:right="-569" w:firstLine="283"/>
        <w:jc w:val="center"/>
        <w:rPr>
          <w:rFonts w:ascii="Times New Roman" w:hAnsi="Times New Roman" w:eastAsia="Times New Roman"/>
          <w:lang w:val="en-US"/>
        </w:rPr>
      </w:pPr>
      <w:r>
        <w:rPr/>
        <w:drawing>
          <wp:inline distT="0" distB="0" distL="0" distR="0">
            <wp:extent cx="3467100" cy="1984375"/>
            <wp:effectExtent l="0" t="0" r="0" b="0"/>
            <wp:docPr id="8" name="Imagem 8"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Gráfico, Gráfico de dispersão&#10;&#10;Descrição gerada automaticamente"/>
                    <pic:cNvPicPr>
                      <a:picLocks noChangeAspect="1" noChangeArrowheads="1"/>
                    </pic:cNvPicPr>
                  </pic:nvPicPr>
                  <pic:blipFill>
                    <a:blip r:embed="rId8"/>
                    <a:stretch>
                      <a:fillRect/>
                    </a:stretch>
                  </pic:blipFill>
                  <pic:spPr bwMode="auto">
                    <a:xfrm>
                      <a:off x="0" y="0"/>
                      <a:ext cx="3467100" cy="1984375"/>
                    </a:xfrm>
                    <a:prstGeom prst="rect">
                      <a:avLst/>
                    </a:prstGeom>
                  </pic:spPr>
                </pic:pic>
              </a:graphicData>
            </a:graphic>
          </wp:inline>
        </w:drawing>
      </w:r>
      <w:r>
        <w:rPr/>
        <mc:AlternateContent>
          <mc:Choice Requires="wps">
            <w:drawing>
              <wp:inline distT="0" distB="0" distL="0" distR="7620" wp14:anchorId="61B7A569">
                <wp:extent cx="1212215" cy="867410"/>
                <wp:effectExtent l="0" t="0" r="7620" b="0"/>
                <wp:docPr id="9" name="Imagem 1" descr="Texto&#10;&#10;Descrição gerada automaticamente"/>
                <a:graphic xmlns:a="http://schemas.openxmlformats.org/drawingml/2006/main">
                  <a:graphicData uri="http://schemas.openxmlformats.org/drawingml/2006/picture">
                    <pic:pic xmlns:pic="http://schemas.openxmlformats.org/drawingml/2006/picture">
                      <pic:nvPicPr>
                        <pic:cNvPr id="0" name="Imagem 1" descr="Texto&#10;&#10;Descrição gerada automaticamente"/>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tretch/>
                      </pic:blipFill>
                      <pic:spPr>
                        <a:xfrm>
                          <a:off x="0" y="0"/>
                          <a:ext cx="1211760" cy="8668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m 1" stroked="f" style="position:absolute;margin-left:0pt;margin-top:-68.3pt;width:95.35pt;height:68.2pt;mso-position-vertical:top" wp14:anchorId="61B7A569" type="shapetype_75">
                <v:imagedata r:id="rId9" o:detectmouseclick="t"/>
                <w10:wrap type="none"/>
                <v:stroke color="#3465a4" joinstyle="round" endcap="flat"/>
              </v:shape>
            </w:pict>
          </mc:Fallback>
        </mc:AlternateContent>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Figure 2 – Scores plot HIV sensor</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Analyzing the loading plot (Figure 3) and the magnitude and influence of each PC, we observed that in PC1 the most important variables are the real impedance and imaginary impedance, in PC2 the predominance is of the concentrations of HIV antibody and HCV antibody, and that the PC3 is almost completely influenced by frequency (Table 3).</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drawing>
          <wp:inline distT="0" distB="0" distL="0" distR="0">
            <wp:extent cx="3276600" cy="2743200"/>
            <wp:effectExtent l="0" t="0" r="0" b="0"/>
            <wp:docPr id="10" name="Imagem 3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34" descr="Gráfico, Gráfico de dispersão&#10;&#10;Descrição gerada automaticamente"/>
                    <pic:cNvPicPr>
                      <a:picLocks noChangeAspect="1" noChangeArrowheads="1"/>
                    </pic:cNvPicPr>
                  </pic:nvPicPr>
                  <pic:blipFill>
                    <a:blip r:embed="rId11"/>
                    <a:stretch>
                      <a:fillRect/>
                    </a:stretch>
                  </pic:blipFill>
                  <pic:spPr bwMode="auto">
                    <a:xfrm>
                      <a:off x="0" y="0"/>
                      <a:ext cx="3276600" cy="2743200"/>
                    </a:xfrm>
                    <a:prstGeom prst="rect">
                      <a:avLst/>
                    </a:prstGeom>
                  </pic:spPr>
                </pic:pic>
              </a:graphicData>
            </a:graphic>
          </wp:inline>
        </w:drawing>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Figure 3 – Loading plot HIV sensor</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Table 3 – Influence of variables for each PC HIV sensor</w:t>
      </w:r>
    </w:p>
    <w:p>
      <w:pPr>
        <w:pStyle w:val="Normal"/>
        <w:spacing w:lineRule="auto" w:line="240" w:before="0" w:after="0"/>
        <w:ind w:left="-567" w:right="-569" w:firstLine="283"/>
        <w:jc w:val="center"/>
        <w:rPr>
          <w:rFonts w:ascii="Times New Roman" w:hAnsi="Times New Roman" w:eastAsia="Times New Roman"/>
          <w:lang w:val="en-US"/>
        </w:rPr>
      </w:pPr>
      <w:r>
        <w:rPr/>
        <w:drawing>
          <wp:inline distT="0" distB="0" distL="0" distR="0">
            <wp:extent cx="2346960" cy="1135380"/>
            <wp:effectExtent l="0" t="0" r="0" b="0"/>
            <wp:docPr id="11"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4" descr="Texto&#10;&#10;Descrição gerada automaticamente"/>
                    <pic:cNvPicPr>
                      <a:picLocks noChangeAspect="1" noChangeArrowheads="1"/>
                    </pic:cNvPicPr>
                  </pic:nvPicPr>
                  <pic:blipFill>
                    <a:blip r:embed="rId12"/>
                    <a:stretch>
                      <a:fillRect/>
                    </a:stretch>
                  </pic:blipFill>
                  <pic:spPr bwMode="auto">
                    <a:xfrm>
                      <a:off x="0" y="0"/>
                      <a:ext cx="2346960" cy="1135380"/>
                    </a:xfrm>
                    <a:prstGeom prst="rect">
                      <a:avLst/>
                    </a:prstGeom>
                  </pic:spPr>
                </pic:pic>
              </a:graphicData>
            </a:graphic>
          </wp:inline>
        </w:drawing>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ListParagraph"/>
        <w:numPr>
          <w:ilvl w:val="1"/>
          <w:numId w:val="2"/>
        </w:numPr>
        <w:spacing w:lineRule="auto" w:line="240" w:before="0" w:after="0"/>
        <w:ind w:left="792" w:right="-569" w:hanging="432"/>
        <w:contextualSpacing/>
        <w:jc w:val="both"/>
        <w:rPr>
          <w:rFonts w:ascii="Times New Roman" w:hAnsi="Times New Roman" w:eastAsia="Times New Roman"/>
          <w:lang w:val="en-US"/>
        </w:rPr>
      </w:pPr>
      <w:r>
        <w:rPr>
          <w:rFonts w:eastAsia="Times New Roman" w:ascii="Times New Roman" w:hAnsi="Times New Roman"/>
          <w:i/>
          <w:iCs/>
          <w:lang w:val="en-US"/>
        </w:rPr>
        <w:t>HCV Sensors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For the HCV sensor data set, the variables frequency (Freq(Hz)), real impedance (Z'), imaginary impedance (Z''), anti-HIV antibody concentration (antiHIVmi-crog/ml) and anti-HCV antibody concentration were considered (antiHCVmicrog/ml).</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antibody used is the NS5A</w:t>
        <w:noBreakHyphen/>
        <w:t>1 peptide that detects HCV-1. The specific sensors for detecting HCV in the presence of NS5A</w:t>
        <w:noBreakHyphen/>
        <w:t>1 antibody are SF_NS5A_1bic and SF_NS5A_5bic and the non-specific sensor for detecting HCV in the presence of the anti-p14 HIV antibody is the SF_NS5A_5bicp24 sensor.</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antibody concentrations used to measure the sensors were 0.002 µg/mL, 0.01 µg/mL, 0.02 µg/mL, 0.1 µg/mL, 0.2 µg/mL and 0.1 µg/mL. For analysis purposes, data in PBS solution, phosphate buffered saline with zero antibody concentration, were not considered.</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Table 4 presents the values of the main components PC1, PC2 and PC3 and the target column selected for analysis.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 xml:space="preserve">Table 4 – </w:t>
      </w:r>
      <w:bookmarkStart w:id="3" w:name="_Hlk112602493"/>
      <w:r>
        <w:rPr>
          <w:rFonts w:eastAsia="Times New Roman" w:ascii="Times New Roman" w:hAnsi="Times New Roman"/>
          <w:lang w:val="en-US"/>
        </w:rPr>
        <w:t>Target column and Principal Components HCV sensor</w:t>
      </w:r>
      <w:bookmarkEnd w:id="3"/>
    </w:p>
    <w:p>
      <w:pPr>
        <w:pStyle w:val="Normal"/>
        <w:spacing w:lineRule="auto" w:line="240" w:before="0" w:after="0"/>
        <w:ind w:left="-567" w:right="-569" w:firstLine="283"/>
        <w:jc w:val="center"/>
        <w:rPr>
          <w:rFonts w:ascii="Times New Roman" w:hAnsi="Times New Roman" w:eastAsia="Times New Roman"/>
          <w:lang w:val="en-US"/>
        </w:rPr>
      </w:pPr>
      <w:r>
        <w:rPr/>
        <w:drawing>
          <wp:inline distT="0" distB="0" distL="0" distR="0">
            <wp:extent cx="2773680" cy="2480945"/>
            <wp:effectExtent l="0" t="0" r="0" b="0"/>
            <wp:docPr id="12" name="Imagem 1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1" descr="Tabela&#10;&#10;Descrição gerada automaticamente"/>
                    <pic:cNvPicPr>
                      <a:picLocks noChangeAspect="1" noChangeArrowheads="1"/>
                    </pic:cNvPicPr>
                  </pic:nvPicPr>
                  <pic:blipFill>
                    <a:blip r:embed="rId13"/>
                    <a:stretch>
                      <a:fillRect/>
                    </a:stretch>
                  </pic:blipFill>
                  <pic:spPr bwMode="auto">
                    <a:xfrm>
                      <a:off x="0" y="0"/>
                      <a:ext cx="2773680" cy="2480945"/>
                    </a:xfrm>
                    <a:prstGeom prst="rect">
                      <a:avLst/>
                    </a:prstGeom>
                  </pic:spPr>
                </pic:pic>
              </a:graphicData>
            </a:graphic>
          </wp:inline>
        </w:drawing>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scree plot (Figure 4) considered PC1, PC2 and P3 because PC1 and P2 added together reached a variance of only 64.1%. It is possible to observe that the accumulated variance of the three PCs is 82.8% (Table 5). Although this value is higher than the previous analysis, it is still lower than the desired one as it allows a large margin of error.</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mc:AlternateContent>
          <mc:Choice Requires="wps">
            <w:drawing>
              <wp:inline distT="0" distB="0" distL="0" distR="7620" wp14:anchorId="3DCB4D51">
                <wp:extent cx="2964815" cy="2160905"/>
                <wp:effectExtent l="0" t="0" r="7620" b="0"/>
                <wp:docPr id="13" name="Imagem 14" descr="Gráfico, Gráfico de barras, Histograma&#10;&#10;Descrição gerada automaticamente"/>
                <a:graphic xmlns:a="http://schemas.openxmlformats.org/drawingml/2006/main">
                  <a:graphicData uri="http://schemas.openxmlformats.org/drawingml/2006/picture">
                    <pic:pic xmlns:pic="http://schemas.openxmlformats.org/drawingml/2006/picture">
                      <pic:nvPicPr>
                        <pic:cNvPr id="1" name="Imagem 14" descr="Gráfico, Gráfico de barras, Histograma&#10;&#10;Descrição gerada automaticamente"/>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Lst>
                        </a:blip>
                        <a:stretch/>
                      </pic:blipFill>
                      <pic:spPr>
                        <a:xfrm>
                          <a:off x="0" y="0"/>
                          <a:ext cx="2964240" cy="2160360"/>
                        </a:xfrm>
                        <a:prstGeom prst="rect">
                          <a:avLst/>
                        </a:prstGeom>
                        <a:ln>
                          <a:noFill/>
                        </a:ln>
                      </pic:spPr>
                    </pic:pic>
                  </a:graphicData>
                </a:graphic>
              </wp:inline>
            </w:drawing>
          </mc:Choice>
          <mc:Fallback>
            <w:pict>
              <v:shape id="shape_0" ID="Imagem 14" stroked="f" style="position:absolute;margin-left:0pt;margin-top:-170.15pt;width:233.35pt;height:170.05pt;mso-position-vertical:top" wp14:anchorId="3DCB4D51" type="shapetype_75">
                <v:imagedata r:id="rId14" o:detectmouseclick="t"/>
                <w10:wrap type="none"/>
                <v:stroke color="#3465a4" joinstyle="round" endcap="flat"/>
              </v:shape>
            </w:pict>
          </mc:Fallback>
        </mc:AlternateContent>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Figure 4 – Scree plot HCV sensor</w:t>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Table 5 – Explained variance and cumulative variance HCV sensor</w:t>
      </w:r>
    </w:p>
    <w:p>
      <w:pPr>
        <w:pStyle w:val="Normal"/>
        <w:spacing w:lineRule="auto" w:line="240" w:before="0" w:after="0"/>
        <w:ind w:right="-569" w:hanging="0"/>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drawing>
          <wp:inline distT="0" distB="0" distL="0" distR="0">
            <wp:extent cx="2430780" cy="984885"/>
            <wp:effectExtent l="0" t="0" r="0" b="0"/>
            <wp:docPr id="14" name="Imagem 1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3" descr="Tabela&#10;&#10;Descrição gerada automaticamente"/>
                    <pic:cNvPicPr>
                      <a:picLocks noChangeAspect="1" noChangeArrowheads="1"/>
                    </pic:cNvPicPr>
                  </pic:nvPicPr>
                  <pic:blipFill>
                    <a:blip r:embed="rId16"/>
                    <a:stretch>
                      <a:fillRect/>
                    </a:stretch>
                  </pic:blipFill>
                  <pic:spPr bwMode="auto">
                    <a:xfrm>
                      <a:off x="0" y="0"/>
                      <a:ext cx="2430780" cy="984885"/>
                    </a:xfrm>
                    <a:prstGeom prst="rect">
                      <a:avLst/>
                    </a:prstGeom>
                  </pic:spPr>
                </pic:pic>
              </a:graphicData>
            </a:graphic>
          </wp:inline>
        </w:drawing>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In the scores plot (Figure 5), among the specific electrodes, it can be said that all had a very similar response to HCV antibody concentrations, and in this analysis, the non-specific sensor for HCV antibody detection in the presence of HIV antibody, SF_NS5A_5bicp24, had an optimal separation of the specific sensors.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drawing>
          <wp:inline distT="0" distB="0" distL="0" distR="0">
            <wp:extent cx="3537585" cy="2312035"/>
            <wp:effectExtent l="0" t="0" r="0" b="0"/>
            <wp:docPr id="15" name="Imagem 15" descr="Gráfico, Gráfico de rad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Gráfico, Gráfico de radar&#10;&#10;Descrição gerada automaticamente"/>
                    <pic:cNvPicPr>
                      <a:picLocks noChangeAspect="1" noChangeArrowheads="1"/>
                    </pic:cNvPicPr>
                  </pic:nvPicPr>
                  <pic:blipFill>
                    <a:blip r:embed="rId17"/>
                    <a:stretch>
                      <a:fillRect/>
                    </a:stretch>
                  </pic:blipFill>
                  <pic:spPr bwMode="auto">
                    <a:xfrm>
                      <a:off x="0" y="0"/>
                      <a:ext cx="3537585" cy="2312035"/>
                    </a:xfrm>
                    <a:prstGeom prst="rect">
                      <a:avLst/>
                    </a:prstGeom>
                  </pic:spPr>
                </pic:pic>
              </a:graphicData>
            </a:graphic>
          </wp:inline>
        </w:drawing>
      </w:r>
      <w:r>
        <w:rPr/>
        <w:drawing>
          <wp:inline distT="0" distB="0" distL="0" distR="0">
            <wp:extent cx="1082040" cy="495300"/>
            <wp:effectExtent l="0" t="0" r="0" b="0"/>
            <wp:docPr id="16" name="Imagem 1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Texto&#10;&#10;Descrição gerada automaticamente"/>
                    <pic:cNvPicPr>
                      <a:picLocks noChangeAspect="1" noChangeArrowheads="1"/>
                    </pic:cNvPicPr>
                  </pic:nvPicPr>
                  <pic:blipFill>
                    <a:blip r:embed="rId18"/>
                    <a:stretch>
                      <a:fillRect/>
                    </a:stretch>
                  </pic:blipFill>
                  <pic:spPr bwMode="auto">
                    <a:xfrm>
                      <a:off x="0" y="0"/>
                      <a:ext cx="1082040" cy="495300"/>
                    </a:xfrm>
                    <a:prstGeom prst="rect">
                      <a:avLst/>
                    </a:prstGeom>
                  </pic:spPr>
                </pic:pic>
              </a:graphicData>
            </a:graphic>
          </wp:inline>
        </w:drawing>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Figure 5 – Scores plot HCV sensor</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Regarding the loading plot and the magnitude and influence of each PC, we observed in Figure 6 that in PC1 the most important variables are the real impedance and imaginary impedance. In PC2, the predominance is of the HIV antibody and HCV antibody concentrations, and the PC3 is almost completely influenced by frequency (Table 6), the same observations we made in the analysis for the HIV sensor.</w:t>
      </w:r>
    </w:p>
    <w:p>
      <w:pPr>
        <w:pStyle w:val="Normal"/>
        <w:spacing w:lineRule="auto" w:line="240" w:before="0" w:after="0"/>
        <w:ind w:left="-567" w:right="-569" w:firstLine="283"/>
        <w:jc w:val="center"/>
        <w:rPr>
          <w:rFonts w:ascii="Times New Roman" w:hAnsi="Times New Roman" w:eastAsia="Times New Roman"/>
          <w:lang w:val="en-US"/>
        </w:rPr>
      </w:pPr>
      <w:r>
        <w:rPr/>
        <w:drawing>
          <wp:inline distT="0" distB="0" distL="0" distR="0">
            <wp:extent cx="3261360" cy="2712720"/>
            <wp:effectExtent l="0" t="0" r="0" b="0"/>
            <wp:docPr id="17" name="Imagem 35"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35" descr="Gráfico&#10;&#10;Descrição gerada automaticamente"/>
                    <pic:cNvPicPr>
                      <a:picLocks noChangeAspect="1" noChangeArrowheads="1"/>
                    </pic:cNvPicPr>
                  </pic:nvPicPr>
                  <pic:blipFill>
                    <a:blip r:embed="rId19"/>
                    <a:stretch>
                      <a:fillRect/>
                    </a:stretch>
                  </pic:blipFill>
                  <pic:spPr bwMode="auto">
                    <a:xfrm>
                      <a:off x="0" y="0"/>
                      <a:ext cx="3261360" cy="2712720"/>
                    </a:xfrm>
                    <a:prstGeom prst="rect">
                      <a:avLst/>
                    </a:prstGeom>
                  </pic:spPr>
                </pic:pic>
              </a:graphicData>
            </a:graphic>
          </wp:inline>
        </w:drawing>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Figure 6 – Loading plot HCV sensor</w:t>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Table 6 – Influence of variables for each PC HCV sensor</w:t>
      </w:r>
    </w:p>
    <w:p>
      <w:pPr>
        <w:pStyle w:val="Normal"/>
        <w:spacing w:lineRule="auto" w:line="240" w:before="0" w:after="0"/>
        <w:ind w:left="-567" w:right="-569" w:firstLine="283"/>
        <w:jc w:val="center"/>
        <w:rPr>
          <w:rFonts w:ascii="Times New Roman" w:hAnsi="Times New Roman" w:eastAsia="Times New Roman"/>
          <w:lang w:val="en-US"/>
        </w:rPr>
      </w:pPr>
      <w:r>
        <w:rPr/>
        <w:drawing>
          <wp:inline distT="0" distB="0" distL="0" distR="0">
            <wp:extent cx="2398395" cy="1196340"/>
            <wp:effectExtent l="0" t="0" r="0" b="0"/>
            <wp:docPr id="18"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2" descr="Tabela&#10;&#10;Descrição gerada automaticamente"/>
                    <pic:cNvPicPr>
                      <a:picLocks noChangeAspect="1" noChangeArrowheads="1"/>
                    </pic:cNvPicPr>
                  </pic:nvPicPr>
                  <pic:blipFill>
                    <a:blip r:embed="rId20"/>
                    <a:stretch>
                      <a:fillRect/>
                    </a:stretch>
                  </pic:blipFill>
                  <pic:spPr bwMode="auto">
                    <a:xfrm>
                      <a:off x="0" y="0"/>
                      <a:ext cx="2398395" cy="1196340"/>
                    </a:xfrm>
                    <a:prstGeom prst="rect">
                      <a:avLst/>
                    </a:prstGeom>
                  </pic:spPr>
                </pic:pic>
              </a:graphicData>
            </a:graphic>
          </wp:inline>
        </w:drawing>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r>
    </w:p>
    <w:p>
      <w:pPr>
        <w:pStyle w:val="ListParagraph"/>
        <w:numPr>
          <w:ilvl w:val="1"/>
          <w:numId w:val="2"/>
        </w:numPr>
        <w:spacing w:lineRule="auto" w:line="240" w:before="0" w:after="0"/>
        <w:ind w:left="792" w:right="-569" w:hanging="432"/>
        <w:contextualSpacing/>
        <w:jc w:val="both"/>
        <w:rPr>
          <w:rFonts w:ascii="Times New Roman" w:hAnsi="Times New Roman" w:eastAsia="Times New Roman"/>
          <w:i/>
          <w:i/>
          <w:iCs/>
          <w:lang w:val="en-US"/>
        </w:rPr>
      </w:pPr>
      <w:r>
        <w:rPr>
          <w:rFonts w:eastAsia="Times New Roman" w:ascii="Times New Roman" w:hAnsi="Times New Roman"/>
          <w:i/>
          <w:iCs/>
          <w:lang w:val="en-US"/>
        </w:rPr>
        <w:t>Comparison between HIV and HCV sensors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comparison between the two sensor's data set used the variables sensor type, frequency (Freq(Hz)), real impedance (Z'), imaginary impedance (Z''), anti-HIV antibody concentration (antiHIVmicrog/ml) and anti-HCV antibody concentration were considered (antiHCVmicrog/ml).</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Only specific sensors for each type of antibody were considered in this analysis. The same concentrations as in the previous analyzes were adopted. For analysis purposes, data in PBS solution, phosphate buffered saline with zero antibody concentration, were not considered. Table 7 presents the values of the main components PC1, PC2 and PC3 and the target column selected for analysis.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Table 7 – Target column and Principal Components HCV versus HIV sensors</w:t>
      </w:r>
    </w:p>
    <w:p>
      <w:pPr>
        <w:pStyle w:val="Normal"/>
        <w:spacing w:lineRule="auto" w:line="240" w:before="0" w:after="0"/>
        <w:ind w:left="-567" w:right="-569" w:firstLine="283"/>
        <w:jc w:val="center"/>
        <w:rPr>
          <w:rFonts w:ascii="Times New Roman" w:hAnsi="Times New Roman" w:eastAsia="Times New Roman"/>
          <w:lang w:val="en-US"/>
        </w:rPr>
      </w:pPr>
      <w:r>
        <w:rPr/>
        <w:drawing>
          <wp:inline distT="0" distB="0" distL="0" distR="0">
            <wp:extent cx="2286000" cy="2255520"/>
            <wp:effectExtent l="0" t="0" r="0" b="0"/>
            <wp:docPr id="19" name="Imagem 2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23" descr="Tabela&#10;&#10;Descrição gerada automaticamente"/>
                    <pic:cNvPicPr>
                      <a:picLocks noChangeAspect="1" noChangeArrowheads="1"/>
                    </pic:cNvPicPr>
                  </pic:nvPicPr>
                  <pic:blipFill>
                    <a:blip r:embed="rId21"/>
                    <a:srcRect l="0" t="3591" r="0" b="0"/>
                    <a:stretch>
                      <a:fillRect/>
                    </a:stretch>
                  </pic:blipFill>
                  <pic:spPr bwMode="auto">
                    <a:xfrm>
                      <a:off x="0" y="0"/>
                      <a:ext cx="2286000" cy="2255520"/>
                    </a:xfrm>
                    <a:prstGeom prst="rect">
                      <a:avLst/>
                    </a:prstGeom>
                  </pic:spPr>
                </pic:pic>
              </a:graphicData>
            </a:graphic>
          </wp:inline>
        </w:drawing>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scree plot described in Figure 7 considered PC1, PC2 and P3. If PC1 and P2 are added together, the reached a variance will be 52.1%, however adding PC3 to the cumulative variance, only the 68.1% mark was reached (Table 8), reaching a variance lower than that of previous analyses.</w:t>
      </w:r>
    </w:p>
    <w:p>
      <w:pPr>
        <w:pStyle w:val="Normal"/>
        <w:spacing w:lineRule="auto" w:line="240" w:before="0" w:after="0"/>
        <w:ind w:left="-567" w:right="-569" w:firstLine="283"/>
        <w:jc w:val="center"/>
        <w:rPr>
          <w:rFonts w:ascii="Times New Roman" w:hAnsi="Times New Roman" w:eastAsia="Times New Roman"/>
          <w:lang w:val="en-US"/>
        </w:rPr>
      </w:pPr>
      <w:r>
        <w:rPr/>
        <mc:AlternateContent>
          <mc:Choice Requires="wps">
            <w:drawing>
              <wp:inline distT="0" distB="9525" distL="0" distR="7620" wp14:anchorId="7702C5F8">
                <wp:extent cx="2964815" cy="2143760"/>
                <wp:effectExtent l="0" t="0" r="7620" b="9525"/>
                <wp:docPr id="20" name="Imagem 20" descr="Gráfico, Gráfico de barras, Histograma&#10;&#10;Descrição gerada automaticamente"/>
                <a:graphic xmlns:a="http://schemas.openxmlformats.org/drawingml/2006/main">
                  <a:graphicData uri="http://schemas.openxmlformats.org/drawingml/2006/picture">
                    <pic:pic xmlns:pic="http://schemas.openxmlformats.org/drawingml/2006/picture">
                      <pic:nvPicPr>
                        <pic:cNvPr id="2" name="Imagem 20" descr="Gráfico, Gráfico de barras, Histograma&#10;&#10;Descrição gerada automaticamente"/>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Lst>
                        </a:blip>
                        <a:stretch/>
                      </pic:blipFill>
                      <pic:spPr>
                        <a:xfrm>
                          <a:off x="0" y="0"/>
                          <a:ext cx="2964240" cy="2143080"/>
                        </a:xfrm>
                        <a:prstGeom prst="rect">
                          <a:avLst/>
                        </a:prstGeom>
                        <a:ln>
                          <a:noFill/>
                        </a:ln>
                      </pic:spPr>
                    </pic:pic>
                  </a:graphicData>
                </a:graphic>
              </wp:inline>
            </w:drawing>
          </mc:Choice>
          <mc:Fallback>
            <w:pict>
              <v:shape id="shape_0" ID="Imagem 20" stroked="f" style="position:absolute;margin-left:0pt;margin-top:-169.55pt;width:233.35pt;height:168.7pt;mso-position-vertical:top" wp14:anchorId="7702C5F8" type="shapetype_75">
                <v:imagedata r:id="rId22" o:detectmouseclick="t"/>
                <w10:wrap type="none"/>
                <v:stroke color="#3465a4" joinstyle="round" endcap="flat"/>
              </v:shape>
            </w:pict>
          </mc:Fallback>
        </mc:AlternateContent>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Figure 7 – Scree plot HCV versus HIV sensors</w:t>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Table 8 – Explained variance and cumulative variance HCV versus HIV sensors</w:t>
      </w:r>
    </w:p>
    <w:p>
      <w:pPr>
        <w:pStyle w:val="Normal"/>
        <w:spacing w:lineRule="auto" w:line="240" w:before="0" w:after="0"/>
        <w:ind w:left="-567" w:right="-569" w:firstLine="283"/>
        <w:jc w:val="center"/>
        <w:rPr>
          <w:rFonts w:ascii="Times New Roman" w:hAnsi="Times New Roman" w:eastAsia="Times New Roman"/>
          <w:lang w:val="en-US"/>
        </w:rPr>
      </w:pPr>
      <w:r>
        <w:rPr/>
        <w:drawing>
          <wp:inline distT="0" distB="0" distL="0" distR="0">
            <wp:extent cx="2468880" cy="1010285"/>
            <wp:effectExtent l="0" t="0" r="0" b="0"/>
            <wp:docPr id="21" name="Imagem 19"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19" descr="Tabela&#10;&#10;Descrição gerada automaticamente"/>
                    <pic:cNvPicPr>
                      <a:picLocks noChangeAspect="1" noChangeArrowheads="1"/>
                    </pic:cNvPicPr>
                  </pic:nvPicPr>
                  <pic:blipFill>
                    <a:blip r:embed="rId24"/>
                    <a:stretch>
                      <a:fillRect/>
                    </a:stretch>
                  </pic:blipFill>
                  <pic:spPr bwMode="auto">
                    <a:xfrm>
                      <a:off x="0" y="0"/>
                      <a:ext cx="2468880" cy="1010285"/>
                    </a:xfrm>
                    <a:prstGeom prst="rect">
                      <a:avLst/>
                    </a:prstGeom>
                  </pic:spPr>
                </pic:pic>
              </a:graphicData>
            </a:graphic>
          </wp:inline>
        </w:drawing>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In the scores plot (Figure 8), we can see an overlapping of data in the function of PC2, a possible cause for the overlapping would be a similar response of both sensors to low antibody concentrations.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drawing>
          <wp:inline distT="0" distB="0" distL="0" distR="0">
            <wp:extent cx="3103245" cy="2043430"/>
            <wp:effectExtent l="0" t="0" r="0" b="0"/>
            <wp:docPr id="22" name="Imagem 2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1" descr="Gráfico&#10;&#10;Descrição gerada automaticamente"/>
                    <pic:cNvPicPr>
                      <a:picLocks noChangeAspect="1" noChangeArrowheads="1"/>
                    </pic:cNvPicPr>
                  </pic:nvPicPr>
                  <pic:blipFill>
                    <a:blip r:embed="rId25"/>
                    <a:stretch>
                      <a:fillRect/>
                    </a:stretch>
                  </pic:blipFill>
                  <pic:spPr bwMode="auto">
                    <a:xfrm>
                      <a:off x="0" y="0"/>
                      <a:ext cx="3103245" cy="2043430"/>
                    </a:xfrm>
                    <a:prstGeom prst="rect">
                      <a:avLst/>
                    </a:prstGeom>
                  </pic:spPr>
                </pic:pic>
              </a:graphicData>
            </a:graphic>
          </wp:inline>
        </w:drawing>
      </w:r>
      <w:r>
        <w:rPr/>
        <w:drawing>
          <wp:inline distT="0" distB="0" distL="0" distR="0">
            <wp:extent cx="533400" cy="335280"/>
            <wp:effectExtent l="0" t="0" r="0" b="0"/>
            <wp:docPr id="23" name="Imagem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2" descr=""/>
                    <pic:cNvPicPr>
                      <a:picLocks noChangeAspect="1" noChangeArrowheads="1"/>
                    </pic:cNvPicPr>
                  </pic:nvPicPr>
                  <pic:blipFill>
                    <a:blip r:embed="rId26"/>
                    <a:stretch>
                      <a:fillRect/>
                    </a:stretch>
                  </pic:blipFill>
                  <pic:spPr bwMode="auto">
                    <a:xfrm>
                      <a:off x="0" y="0"/>
                      <a:ext cx="533400" cy="335280"/>
                    </a:xfrm>
                    <a:prstGeom prst="rect">
                      <a:avLst/>
                    </a:prstGeom>
                  </pic:spPr>
                </pic:pic>
              </a:graphicData>
            </a:graphic>
          </wp:inline>
        </w:drawing>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Figure 8 – Scores plot HCV versus HIV sensors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In the analysis of the loading plot and the magnitude and influence of each PC represented by Figure 9, some small variations were observed in relation to previous analyses. For PC1 the most important variables are the real impedance and imaginary impedance. In PC2, the predominance is of the concentrations of HIV antibody and HCV antibody. In addition to the sensor type variable (Electrode) having considerable importance, an increase in the contribution of the other variables in this Principal Component was observed. The frequency almost completely influenced the PC3 in the previous analyzes, but in the comparative analysis of the two sensors, a large contribution of the sensor type and an increase of the contribution of the antibody concentrations were observed (Table 9).</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drawing>
          <wp:inline distT="0" distB="0" distL="0" distR="0">
            <wp:extent cx="3078480" cy="2430780"/>
            <wp:effectExtent l="0" t="0" r="0" b="0"/>
            <wp:docPr id="24" name="Imagem 32" descr="Gráfico, Gráfico de dispersão, Gráfico de bol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32" descr="Gráfico, Gráfico de dispersão, Gráfico de bolhas&#10;&#10;Descrição gerada automaticamente"/>
                    <pic:cNvPicPr>
                      <a:picLocks noChangeAspect="1" noChangeArrowheads="1"/>
                    </pic:cNvPicPr>
                  </pic:nvPicPr>
                  <pic:blipFill>
                    <a:blip r:embed="rId27"/>
                    <a:stretch>
                      <a:fillRect/>
                    </a:stretch>
                  </pic:blipFill>
                  <pic:spPr bwMode="auto">
                    <a:xfrm>
                      <a:off x="0" y="0"/>
                      <a:ext cx="3078480" cy="2430780"/>
                    </a:xfrm>
                    <a:prstGeom prst="rect">
                      <a:avLst/>
                    </a:prstGeom>
                  </pic:spPr>
                </pic:pic>
              </a:graphicData>
            </a:graphic>
          </wp:inline>
        </w:drawing>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Figure 9 – Loading plot HCV versus HIV sensors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 xml:space="preserve">Table 9 – </w:t>
      </w:r>
      <w:bookmarkStart w:id="4" w:name="_Hlk112605989"/>
      <w:r>
        <w:rPr>
          <w:rFonts w:eastAsia="Times New Roman" w:ascii="Times New Roman" w:hAnsi="Times New Roman"/>
          <w:lang w:val="en-US"/>
        </w:rPr>
        <w:t>Influence of variables for each PC HCV versus HIV sensors</w:t>
      </w:r>
      <w:bookmarkEnd w:id="4"/>
    </w:p>
    <w:p>
      <w:pPr>
        <w:pStyle w:val="Normal"/>
        <w:spacing w:lineRule="auto" w:line="240" w:before="0" w:after="0"/>
        <w:ind w:left="-567" w:right="-569" w:firstLine="283"/>
        <w:jc w:val="center"/>
        <w:rPr>
          <w:rFonts w:ascii="Times New Roman" w:hAnsi="Times New Roman" w:eastAsia="Times New Roman"/>
          <w:lang w:val="en-US"/>
        </w:rPr>
      </w:pPr>
      <w:r>
        <w:rPr/>
        <w:drawing>
          <wp:inline distT="0" distB="0" distL="0" distR="0">
            <wp:extent cx="2438400" cy="1394460"/>
            <wp:effectExtent l="0" t="0" r="0" b="0"/>
            <wp:docPr id="25" name="Imagem 3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37" descr="Texto&#10;&#10;Descrição gerada automaticamente"/>
                    <pic:cNvPicPr>
                      <a:picLocks noChangeAspect="1" noChangeArrowheads="1"/>
                    </pic:cNvPicPr>
                  </pic:nvPicPr>
                  <pic:blipFill>
                    <a:blip r:embed="rId28"/>
                    <a:stretch>
                      <a:fillRect/>
                    </a:stretch>
                  </pic:blipFill>
                  <pic:spPr bwMode="auto">
                    <a:xfrm>
                      <a:off x="0" y="0"/>
                      <a:ext cx="2438400" cy="1394460"/>
                    </a:xfrm>
                    <a:prstGeom prst="rect">
                      <a:avLst/>
                    </a:prstGeom>
                  </pic:spPr>
                </pic:pic>
              </a:graphicData>
            </a:graphic>
          </wp:inline>
        </w:drawing>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With the motivation to understand the overlapping and which antibody concentrations were influencing the overlapping of the data, new models were created for analysis.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First, all concentrations of the order of 10-3 μg/mL were removed from the data set, but a small overlapping was still observed, so a new model was created, this time removing concentrations of the order of 10-2 μg/mL and this time, the separation between the sensors occurred perfectly in the function of the concentration of antibodies and their types, in PC2.</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 xml:space="preserve">Figure 10 shows the new variances of each PC after the model changes. With the model changes, it was possible to observe an increase in the cumulative variance of 8.37%, reaching the mark of 73.8% for PC1, PC2 and PC3 (Table 10). This increase is mainly due to PC2, which increased by about 21% and has a greater predominance of variables related to antibody concentration. </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mc:AlternateContent>
          <mc:Choice Requires="wps">
            <w:drawing>
              <wp:inline distT="0" distB="3810" distL="0" distR="0" wp14:anchorId="1C2A50F2">
                <wp:extent cx="2957195" cy="2606675"/>
                <wp:effectExtent l="0" t="0" r="0" b="3810"/>
                <wp:docPr id="26" name="Imagem 29" descr="Gráfico, Gráfico de barras&#10;&#10;Descrição gerada automaticamente"/>
                <a:graphic xmlns:a="http://schemas.openxmlformats.org/drawingml/2006/main">
                  <a:graphicData uri="http://schemas.openxmlformats.org/drawingml/2006/picture">
                    <pic:pic xmlns:pic="http://schemas.openxmlformats.org/drawingml/2006/picture">
                      <pic:nvPicPr>
                        <pic:cNvPr id="3" name="Imagem 29" descr="Gráfico, Gráfico de barras&#10;&#10;Descrição gerada automaticamente"/>
                        <pic:cNvPicPr/>
                      </pic:nvPicPr>
                      <pic:blipFill>
                        <a:blip r:embed="rId29">
                          <a:extLst>
                            <a:ext uri="{BEBA8EAE-BF5A-486C-A8C5-ECC9F3942E4B}">
                              <a14:imgProps xmlns:a14="http://schemas.microsoft.com/office/drawing/2010/main">
                                <a14:imgLayer r:embed="rId30">
                                  <a14:imgEffect>
                                    <a14:sharpenSoften amount="25000"/>
                                  </a14:imgEffect>
                                </a14:imgLayer>
                              </a14:imgProps>
                            </a:ext>
                          </a:extLst>
                        </a:blip>
                        <a:stretch/>
                      </pic:blipFill>
                      <pic:spPr>
                        <a:xfrm>
                          <a:off x="0" y="0"/>
                          <a:ext cx="2956680" cy="2606040"/>
                        </a:xfrm>
                        <a:prstGeom prst="rect">
                          <a:avLst/>
                        </a:prstGeom>
                        <a:ln>
                          <a:noFill/>
                        </a:ln>
                      </pic:spPr>
                    </pic:pic>
                  </a:graphicData>
                </a:graphic>
              </wp:inline>
            </w:drawing>
          </mc:Choice>
          <mc:Fallback>
            <w:pict>
              <v:shape id="shape_0" ID="Imagem 29" stroked="f" style="position:absolute;margin-left:0pt;margin-top:-205.55pt;width:232.75pt;height:205.15pt;mso-position-vertical:top" wp14:anchorId="1C2A50F2" type="shapetype_75">
                <v:imagedata r:id="rId29" o:detectmouseclick="t"/>
                <w10:wrap type="none"/>
                <v:stroke color="#3465a4" joinstyle="round" endcap="flat"/>
              </v:shape>
            </w:pict>
          </mc:Fallback>
        </mc:AlternateContent>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Figure 10 – Scree plot model changes HCV versus HIV sensors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Table 10 – Explained variance and cumulative variance model changes HCV versus HIV sensors</w:t>
      </w:r>
    </w:p>
    <w:p>
      <w:pPr>
        <w:pStyle w:val="Normal"/>
        <w:spacing w:lineRule="auto" w:line="240" w:before="0" w:after="0"/>
        <w:ind w:left="-567" w:right="-569" w:firstLine="283"/>
        <w:jc w:val="center"/>
        <w:rPr>
          <w:rFonts w:ascii="Times New Roman" w:hAnsi="Times New Roman" w:eastAsia="Times New Roman"/>
          <w:lang w:val="en-US"/>
        </w:rPr>
      </w:pPr>
      <w:r>
        <w:rPr/>
        <mc:AlternateContent>
          <mc:Choice Requires="wps">
            <w:drawing>
              <wp:anchor behindDoc="0" distT="0" distB="0" distL="0" distR="0" simplePos="0" locked="0" layoutInCell="1" allowOverlap="1" relativeHeight="42" wp14:anchorId="4A8ABC7E">
                <wp:simplePos x="0" y="0"/>
                <wp:positionH relativeFrom="column">
                  <wp:posOffset>1748790</wp:posOffset>
                </wp:positionH>
                <wp:positionV relativeFrom="paragraph">
                  <wp:posOffset>581660</wp:posOffset>
                </wp:positionV>
                <wp:extent cx="2404745" cy="198755"/>
                <wp:effectExtent l="19050" t="19050" r="34290" b="30480"/>
                <wp:wrapNone/>
                <wp:docPr id="27" name="Retângulo 25"/>
                <a:graphic xmlns:a="http://schemas.openxmlformats.org/drawingml/2006/main">
                  <a:graphicData uri="http://schemas.microsoft.com/office/word/2010/wordprocessingShape">
                    <wps:wsp>
                      <wps:cNvSpPr/>
                      <wps:spPr>
                        <a:xfrm>
                          <a:off x="0" y="0"/>
                          <a:ext cx="2404080" cy="198000"/>
                        </a:xfrm>
                        <a:custGeom>
                          <a:avLst/>
                          <a:gdLst/>
                          <a:ahLst/>
                          <a:rect l="l" t="t" r="r" b="b"/>
                          <a:pathLst>
                            <a:path w="2404110" h="198120">
                              <a:moveTo>
                                <a:pt x="0" y="0"/>
                              </a:moveTo>
                              <a:cubicBezTo>
                                <a:pt x="159663" y="23809"/>
                                <a:pt x="396240" y="10878"/>
                                <a:pt x="649110" y="0"/>
                              </a:cubicBezTo>
                              <a:cubicBezTo>
                                <a:pt x="901980" y="-10878"/>
                                <a:pt x="974078" y="7406"/>
                                <a:pt x="1274178" y="0"/>
                              </a:cubicBezTo>
                              <a:cubicBezTo>
                                <a:pt x="1574278" y="-7406"/>
                                <a:pt x="1889527" y="-3348"/>
                                <a:pt x="2404110" y="0"/>
                              </a:cubicBezTo>
                              <a:cubicBezTo>
                                <a:pt x="2412027" y="49365"/>
                                <a:pt x="2411164" y="138724"/>
                                <a:pt x="2404110" y="198120"/>
                              </a:cubicBezTo>
                              <a:cubicBezTo>
                                <a:pt x="2203730" y="200382"/>
                                <a:pt x="2036537" y="210894"/>
                                <a:pt x="1875206" y="198120"/>
                              </a:cubicBezTo>
                              <a:cubicBezTo>
                                <a:pt x="1713875" y="185346"/>
                                <a:pt x="1389399" y="194955"/>
                                <a:pt x="1226096" y="198120"/>
                              </a:cubicBezTo>
                              <a:cubicBezTo>
                                <a:pt x="1062793" y="201286"/>
                                <a:pt x="897660" y="182292"/>
                                <a:pt x="649110" y="198120"/>
                              </a:cubicBezTo>
                              <a:cubicBezTo>
                                <a:pt x="400560" y="213948"/>
                                <a:pt x="246330" y="213176"/>
                                <a:pt x="0" y="198120"/>
                              </a:cubicBezTo>
                              <a:cubicBezTo>
                                <a:pt x="-4059" y="136014"/>
                                <a:pt x="2482" y="86618"/>
                                <a:pt x="0" y="0"/>
                              </a:cubicBezTo>
                              <a:close/>
                            </a:path>
                          </a:pathLst>
                        </a:custGeom>
                        <a:noFill/>
                        <a:ln w="19080">
                          <a:solidFill>
                            <a:srgbClr val="c00000"/>
                          </a:solidFill>
                          <a:prstDash val="sysDash"/>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drawing>
          <wp:inline distT="0" distB="0" distL="0" distR="0">
            <wp:extent cx="2377440" cy="975360"/>
            <wp:effectExtent l="0" t="0" r="0" b="0"/>
            <wp:docPr id="28" name="Imagem 9"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9" descr="Tabela&#10;&#10;Descrição gerada automaticamente"/>
                    <pic:cNvPicPr>
                      <a:picLocks noChangeAspect="1" noChangeArrowheads="1"/>
                    </pic:cNvPicPr>
                  </pic:nvPicPr>
                  <pic:blipFill>
                    <a:blip r:embed="rId31"/>
                    <a:stretch>
                      <a:fillRect/>
                    </a:stretch>
                  </pic:blipFill>
                  <pic:spPr bwMode="auto">
                    <a:xfrm>
                      <a:off x="0" y="0"/>
                      <a:ext cx="2377440" cy="975360"/>
                    </a:xfrm>
                    <a:prstGeom prst="rect">
                      <a:avLst/>
                    </a:prstGeom>
                  </pic:spPr>
                </pic:pic>
              </a:graphicData>
            </a:graphic>
          </wp:inline>
        </w:drawing>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Analyzing the scores plot (Figure 11) for the new model, it is possible to verify the complete separation of the HIV and HCV sensors in the function of PC2.</w:t>
      </w:r>
    </w:p>
    <w:p>
      <w:pPr>
        <w:pStyle w:val="Normal"/>
        <w:spacing w:lineRule="auto" w:line="240" w:before="0" w:after="0"/>
        <w:ind w:left="-567" w:right="-569" w:firstLine="283"/>
        <w:jc w:val="center"/>
        <w:rPr>
          <w:rFonts w:ascii="Times New Roman" w:hAnsi="Times New Roman" w:eastAsia="Times New Roman"/>
          <w:lang w:val="en-US"/>
        </w:rPr>
      </w:pPr>
      <w:r>
        <w:rPr/>
        <w:drawing>
          <wp:inline distT="0" distB="0" distL="0" distR="0">
            <wp:extent cx="3101340" cy="1965960"/>
            <wp:effectExtent l="0" t="0" r="0" b="0"/>
            <wp:docPr id="29" name="Imagem 26"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6" descr="Gráfico&#10;&#10;Descrição gerada automaticamente"/>
                    <pic:cNvPicPr>
                      <a:picLocks noChangeAspect="1" noChangeArrowheads="1"/>
                    </pic:cNvPicPr>
                  </pic:nvPicPr>
                  <pic:blipFill>
                    <a:blip r:embed="rId32"/>
                    <a:stretch>
                      <a:fillRect/>
                    </a:stretch>
                  </pic:blipFill>
                  <pic:spPr bwMode="auto">
                    <a:xfrm>
                      <a:off x="0" y="0"/>
                      <a:ext cx="3101340" cy="1965960"/>
                    </a:xfrm>
                    <a:prstGeom prst="rect">
                      <a:avLst/>
                    </a:prstGeom>
                  </pic:spPr>
                </pic:pic>
              </a:graphicData>
            </a:graphic>
          </wp:inline>
        </w:drawing>
      </w:r>
      <w:r>
        <w:rPr/>
        <w:drawing>
          <wp:inline distT="0" distB="0" distL="0" distR="0">
            <wp:extent cx="541020" cy="312420"/>
            <wp:effectExtent l="0" t="0" r="0" b="0"/>
            <wp:docPr id="30" name="Imagem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27" descr=""/>
                    <pic:cNvPicPr>
                      <a:picLocks noChangeAspect="1" noChangeArrowheads="1"/>
                    </pic:cNvPicPr>
                  </pic:nvPicPr>
                  <pic:blipFill>
                    <a:blip r:embed="rId33"/>
                    <a:stretch>
                      <a:fillRect/>
                    </a:stretch>
                  </pic:blipFill>
                  <pic:spPr bwMode="auto">
                    <a:xfrm>
                      <a:off x="0" y="0"/>
                      <a:ext cx="541020" cy="312420"/>
                    </a:xfrm>
                    <a:prstGeom prst="rect">
                      <a:avLst/>
                    </a:prstGeom>
                  </pic:spPr>
                </pic:pic>
              </a:graphicData>
            </a:graphic>
          </wp:inline>
        </w:drawing>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Figure 11 – Scores plot model changes HCV versus HIV sensors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t>The loading plot now has several variations (Figure 12). We can observe that the predominance in PC1 continues to be in function of the impedances, real and imaginary. However, we significantly increased PC1 regarding contributions of the HIV and HCV antibody concentrations. The PC2 also presented variations in the contribution of the impedances, real and imaginary, which increased greatly, while the contribution of the other variables presented a slight increase or decrease. The variations in PC3 were slight and the most important variables remain the frequency and sensor type (Table 11).</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drawing>
          <wp:inline distT="0" distB="0" distL="0" distR="0">
            <wp:extent cx="3253740" cy="2461260"/>
            <wp:effectExtent l="0" t="0" r="0" b="0"/>
            <wp:docPr id="31" name="Imagem 33" descr="Gráfico, Gráfico de dispersão, Gráfico de bol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3" descr="Gráfico, Gráfico de dispersão, Gráfico de bolhas&#10;&#10;Descrição gerada automaticamente"/>
                    <pic:cNvPicPr>
                      <a:picLocks noChangeAspect="1" noChangeArrowheads="1"/>
                    </pic:cNvPicPr>
                  </pic:nvPicPr>
                  <pic:blipFill>
                    <a:blip r:embed="rId34"/>
                    <a:stretch>
                      <a:fillRect/>
                    </a:stretch>
                  </pic:blipFill>
                  <pic:spPr bwMode="auto">
                    <a:xfrm>
                      <a:off x="0" y="0"/>
                      <a:ext cx="3253740" cy="2461260"/>
                    </a:xfrm>
                    <a:prstGeom prst="rect">
                      <a:avLst/>
                    </a:prstGeom>
                  </pic:spPr>
                </pic:pic>
              </a:graphicData>
            </a:graphic>
          </wp:inline>
        </w:drawing>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Figure 12 – Loading plot model changes HCV versus HIV sensors</w:t>
      </w:r>
    </w:p>
    <w:p>
      <w:pPr>
        <w:pStyle w:val="Normal"/>
        <w:spacing w:lineRule="auto" w:line="240" w:before="0" w:after="0"/>
        <w:ind w:left="-567" w:right="-569" w:firstLine="283"/>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firstLine="283"/>
        <w:jc w:val="center"/>
        <w:rPr>
          <w:rFonts w:ascii="Times New Roman" w:hAnsi="Times New Roman" w:eastAsia="Times New Roman"/>
          <w:lang w:val="en-US"/>
        </w:rPr>
      </w:pPr>
      <w:r>
        <w:rPr>
          <w:rFonts w:eastAsia="Times New Roman" w:ascii="Times New Roman" w:hAnsi="Times New Roman"/>
          <w:lang w:val="en-US"/>
        </w:rPr>
        <w:t>Table 11 – Influence of variables for each PC model changes HCV versus HIV sensors</w:t>
      </w:r>
    </w:p>
    <w:p>
      <w:pPr>
        <w:pStyle w:val="Normal"/>
        <w:spacing w:lineRule="auto" w:line="240" w:before="0" w:after="0"/>
        <w:ind w:left="-567" w:right="-569" w:firstLine="283"/>
        <w:jc w:val="center"/>
        <w:rPr>
          <w:rFonts w:ascii="Times New Roman" w:hAnsi="Times New Roman" w:eastAsia="Times New Roman"/>
          <w:lang w:val="en-US"/>
        </w:rPr>
      </w:pPr>
      <w:r>
        <w:rPr/>
        <mc:AlternateContent>
          <mc:Choice Requires="wps">
            <w:drawing>
              <wp:anchor behindDoc="0" distT="0" distB="0" distL="0" distR="0" simplePos="0" locked="0" layoutInCell="1" allowOverlap="1" relativeHeight="83" wp14:anchorId="65EBBD3C">
                <wp:simplePos x="0" y="0"/>
                <wp:positionH relativeFrom="margin">
                  <wp:posOffset>1752600</wp:posOffset>
                </wp:positionH>
                <wp:positionV relativeFrom="paragraph">
                  <wp:posOffset>986155</wp:posOffset>
                </wp:positionV>
                <wp:extent cx="2404745" cy="354965"/>
                <wp:effectExtent l="19050" t="19050" r="34290" b="45720"/>
                <wp:wrapNone/>
                <wp:docPr id="32" name="Retângulo 39"/>
                <a:graphic xmlns:a="http://schemas.openxmlformats.org/drawingml/2006/main">
                  <a:graphicData uri="http://schemas.microsoft.com/office/word/2010/wordprocessingShape">
                    <wps:wsp>
                      <wps:cNvSpPr/>
                      <wps:spPr>
                        <a:xfrm>
                          <a:off x="0" y="0"/>
                          <a:ext cx="2404080" cy="354240"/>
                        </a:xfrm>
                        <a:custGeom>
                          <a:avLst/>
                          <a:gdLst/>
                          <a:ahLst/>
                          <a:rect l="l" t="t" r="r" b="b"/>
                          <a:pathLst>
                            <a:path w="2404110" h="354330">
                              <a:moveTo>
                                <a:pt x="0" y="0"/>
                              </a:moveTo>
                              <a:cubicBezTo>
                                <a:pt x="159663" y="23809"/>
                                <a:pt x="396240" y="10878"/>
                                <a:pt x="649110" y="0"/>
                              </a:cubicBezTo>
                              <a:cubicBezTo>
                                <a:pt x="901980" y="-10878"/>
                                <a:pt x="974078" y="7406"/>
                                <a:pt x="1274178" y="0"/>
                              </a:cubicBezTo>
                              <a:cubicBezTo>
                                <a:pt x="1574278" y="-7406"/>
                                <a:pt x="1889527" y="-3348"/>
                                <a:pt x="2404110" y="0"/>
                              </a:cubicBezTo>
                              <a:cubicBezTo>
                                <a:pt x="2389358" y="146413"/>
                                <a:pt x="2408307" y="234431"/>
                                <a:pt x="2404110" y="354330"/>
                              </a:cubicBezTo>
                              <a:cubicBezTo>
                                <a:pt x="2203730" y="356592"/>
                                <a:pt x="2036537" y="367104"/>
                                <a:pt x="1875206" y="354330"/>
                              </a:cubicBezTo>
                              <a:cubicBezTo>
                                <a:pt x="1713875" y="341556"/>
                                <a:pt x="1389399" y="351165"/>
                                <a:pt x="1226096" y="354330"/>
                              </a:cubicBezTo>
                              <a:cubicBezTo>
                                <a:pt x="1062793" y="357496"/>
                                <a:pt x="897660" y="338502"/>
                                <a:pt x="649110" y="354330"/>
                              </a:cubicBezTo>
                              <a:cubicBezTo>
                                <a:pt x="400560" y="370158"/>
                                <a:pt x="246330" y="369386"/>
                                <a:pt x="0" y="354330"/>
                              </a:cubicBezTo>
                              <a:cubicBezTo>
                                <a:pt x="-8441" y="230161"/>
                                <a:pt x="1911" y="78310"/>
                                <a:pt x="0" y="0"/>
                              </a:cubicBezTo>
                              <a:close/>
                            </a:path>
                          </a:pathLst>
                        </a:custGeom>
                        <a:noFill/>
                        <a:ln w="19080">
                          <a:solidFill>
                            <a:srgbClr val="c00000"/>
                          </a:solidFill>
                          <a:prstDash val="sysDash"/>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drawing>
          <wp:inline distT="0" distB="0" distL="0" distR="0">
            <wp:extent cx="2461260" cy="1363980"/>
            <wp:effectExtent l="0" t="0" r="0" b="0"/>
            <wp:docPr id="33" name="Imagem 38"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8" descr="Tabela&#10;&#10;Descrição gerada automaticamente com confiança média"/>
                    <pic:cNvPicPr>
                      <a:picLocks noChangeAspect="1" noChangeArrowheads="1"/>
                    </pic:cNvPicPr>
                  </pic:nvPicPr>
                  <pic:blipFill>
                    <a:blip r:embed="rId35">
                      <a:grayscl/>
                    </a:blip>
                    <a:stretch>
                      <a:fillRect/>
                    </a:stretch>
                  </pic:blipFill>
                  <pic:spPr bwMode="auto">
                    <a:xfrm>
                      <a:off x="0" y="0"/>
                      <a:ext cx="2461260" cy="1363980"/>
                    </a:xfrm>
                    <a:prstGeom prst="rect">
                      <a:avLst/>
                    </a:prstGeom>
                  </pic:spPr>
                </pic:pic>
              </a:graphicData>
            </a:graphic>
          </wp:inline>
        </w:drawing>
      </w:r>
    </w:p>
    <w:p>
      <w:pPr>
        <w:pStyle w:val="Normal"/>
        <w:spacing w:lineRule="auto" w:line="240" w:before="0" w:after="0"/>
        <w:ind w:left="-567" w:right="-567" w:hanging="0"/>
        <w:jc w:val="both"/>
        <w:rPr>
          <w:rFonts w:ascii="Times New Roman" w:hAnsi="Times New Roman" w:eastAsia="Times New Roman"/>
          <w:lang w:val="en-US"/>
        </w:rPr>
      </w:pPr>
      <w:r>
        <w:rPr>
          <w:rFonts w:eastAsia="Times New Roman" w:ascii="Times New Roman" w:hAnsi="Times New Roman"/>
          <w:lang w:val="en-US"/>
        </w:rPr>
      </w:r>
    </w:p>
    <w:p>
      <w:pPr>
        <w:pStyle w:val="Normal"/>
        <w:spacing w:lineRule="auto" w:line="240" w:before="0" w:after="0"/>
        <w:ind w:left="-567" w:right="-569" w:hanging="0"/>
        <w:jc w:val="both"/>
        <w:rPr>
          <w:rFonts w:ascii="Times New Roman" w:hAnsi="Times New Roman"/>
          <w:b/>
          <w:b/>
          <w:color w:val="000000"/>
          <w:sz w:val="24"/>
          <w:szCs w:val="24"/>
          <w:highlight w:val="white"/>
          <w:lang w:val="en-US"/>
        </w:rPr>
      </w:pPr>
      <w:r>
        <w:rPr>
          <w:rFonts w:ascii="Times New Roman" w:hAnsi="Times New Roman"/>
          <w:b/>
          <w:color w:val="000000"/>
          <w:sz w:val="24"/>
          <w:szCs w:val="24"/>
          <w:shd w:fill="FFFFFF" w:val="clear"/>
          <w:lang w:val="en-US"/>
        </w:rPr>
        <w:t>4. Conclusions</w:t>
      </w:r>
    </w:p>
    <w:p>
      <w:pPr>
        <w:pStyle w:val="Normal"/>
        <w:spacing w:lineRule="auto" w:line="240" w:before="0" w:after="0"/>
        <w:ind w:left="-567" w:right="-569" w:hanging="0"/>
        <w:jc w:val="both"/>
        <w:rPr>
          <w:rFonts w:ascii="Times New Roman" w:hAnsi="Times New Roman"/>
          <w:color w:val="000000"/>
          <w:lang w:val="en-US"/>
        </w:rPr>
      </w:pPr>
      <w:r>
        <w:rPr>
          <w:rFonts w:ascii="Times New Roman" w:hAnsi="Times New Roman"/>
          <w:color w:val="000000"/>
          <w:lang w:val="en-US"/>
        </w:rPr>
      </w:r>
    </w:p>
    <w:p>
      <w:pPr>
        <w:pStyle w:val="Normal"/>
        <w:spacing w:lineRule="auto" w:line="240" w:before="0" w:after="0"/>
        <w:ind w:left="-567" w:right="-567" w:firstLine="284"/>
        <w:contextualSpacing/>
        <w:jc w:val="both"/>
        <w:rPr>
          <w:rFonts w:ascii="Times New Roman" w:hAnsi="Times New Roman" w:eastAsia="Times New Roman"/>
          <w:lang w:val="en-US"/>
        </w:rPr>
      </w:pPr>
      <w:r>
        <w:rPr>
          <w:rFonts w:eastAsia="Times New Roman" w:ascii="Times New Roman" w:hAnsi="Times New Roman"/>
          <w:lang w:val="en-US"/>
        </w:rPr>
        <w:t>In the HCV sensor, there was a clear separation of the non-specific Sensor for HCV detection in the presence of anti-HIV (anti-p24) from the other sensors, it was possible to observe the classification according to PC2, which is characterized by the change in concentration.</w:t>
      </w:r>
    </w:p>
    <w:p>
      <w:pPr>
        <w:pStyle w:val="Normal"/>
        <w:spacing w:lineRule="auto" w:line="240" w:before="0" w:after="0"/>
        <w:ind w:left="-567" w:right="-567" w:firstLine="284"/>
        <w:contextualSpacing/>
        <w:jc w:val="both"/>
        <w:rPr>
          <w:rFonts w:ascii="Times New Roman" w:hAnsi="Times New Roman" w:eastAsia="Times New Roman"/>
          <w:lang w:val="en-US"/>
        </w:rPr>
      </w:pPr>
      <w:r>
        <w:rPr>
          <w:rFonts w:eastAsia="Times New Roman" w:ascii="Times New Roman" w:hAnsi="Times New Roman"/>
          <w:lang w:val="en-US"/>
        </w:rPr>
        <w:t>As for the HIV sensor, we saw that the sensors follow the response and are more dependent on Lignin, which is the immobilization matrix adopted for them. It is possible to notice that at the lowest antibody concentrations, the specific sensor for detecting HIV in the presence of anti-HCV also followed the other responses, but it was identified and classified at higher concentrations as a function of PC2, separating it from the other samples.</w:t>
      </w:r>
    </w:p>
    <w:p>
      <w:pPr>
        <w:pStyle w:val="Normal"/>
        <w:spacing w:lineRule="auto" w:line="240" w:before="0" w:after="0"/>
        <w:ind w:left="-567" w:right="-567" w:firstLine="284"/>
        <w:contextualSpacing/>
        <w:jc w:val="both"/>
        <w:rPr>
          <w:rFonts w:ascii="Times New Roman" w:hAnsi="Times New Roman" w:eastAsia="Times New Roman"/>
          <w:lang w:val="en-US"/>
        </w:rPr>
      </w:pPr>
      <w:r>
        <w:rPr>
          <w:rFonts w:eastAsia="Times New Roman" w:ascii="Times New Roman" w:hAnsi="Times New Roman"/>
          <w:lang w:val="en-US"/>
        </w:rPr>
        <w:t>When the responses of both sensors are compared, we can notice a variation and classification mostly due to PC1 and PC2 variations. Again, it is possible to note that we have overlapping data from both sensors at lower concentrations, and classification is only possible at higher concentrations.</w:t>
      </w:r>
    </w:p>
    <w:p>
      <w:pPr>
        <w:pStyle w:val="Normal"/>
        <w:spacing w:lineRule="auto" w:line="240" w:before="0" w:after="0"/>
        <w:ind w:left="-567" w:right="-567" w:firstLine="284"/>
        <w:contextualSpacing/>
        <w:jc w:val="both"/>
        <w:rPr>
          <w:rFonts w:ascii="Times New Roman" w:hAnsi="Times New Roman" w:eastAsia="Times New Roman"/>
          <w:lang w:val="en-US"/>
        </w:rPr>
      </w:pPr>
      <w:r>
        <w:rPr>
          <w:rFonts w:eastAsia="Times New Roman" w:ascii="Times New Roman" w:hAnsi="Times New Roman"/>
          <w:lang w:val="en-US"/>
        </w:rPr>
        <w:t>It was possible to process and classify the data using the PCA statistical meth-od, but the results of the summed variance in PC3 did not exceed 90% in any scenario, indicating a considerable range of errors. Other statistical methods can be used in sets to improve the results' accuracy and the samples' representativeness. Other measurements can be made by adding new variables that can be treated by the PCA statistical method, enriching this study.</w:t>
      </w:r>
    </w:p>
    <w:p>
      <w:pPr>
        <w:pStyle w:val="Normal"/>
        <w:spacing w:lineRule="auto" w:line="240" w:before="0" w:after="0"/>
        <w:ind w:left="-567" w:right="-569" w:hanging="0"/>
        <w:jc w:val="both"/>
        <w:rPr>
          <w:rFonts w:ascii="Times New Roman" w:hAnsi="Times New Roman"/>
          <w:bCs/>
          <w:color w:val="000000"/>
          <w:sz w:val="24"/>
          <w:szCs w:val="24"/>
          <w:lang w:val="en-US"/>
        </w:rPr>
      </w:pPr>
      <w:r>
        <w:rPr>
          <w:rFonts w:ascii="Times New Roman" w:hAnsi="Times New Roman"/>
          <w:bCs/>
          <w:color w:val="000000"/>
          <w:sz w:val="24"/>
          <w:szCs w:val="24"/>
          <w:lang w:val="en-US"/>
        </w:rPr>
      </w:r>
    </w:p>
    <w:p>
      <w:pPr>
        <w:pStyle w:val="Normal"/>
        <w:spacing w:lineRule="auto" w:line="240" w:before="0" w:after="0"/>
        <w:ind w:left="-567" w:right="-569" w:hanging="0"/>
        <w:jc w:val="both"/>
        <w:rPr>
          <w:rFonts w:ascii="Times New Roman" w:hAnsi="Times New Roman"/>
          <w:b/>
          <w:b/>
          <w:color w:val="000000"/>
          <w:sz w:val="24"/>
          <w:szCs w:val="24"/>
          <w:lang w:val="en-US"/>
        </w:rPr>
      </w:pPr>
      <w:r>
        <w:rPr>
          <w:rFonts w:ascii="Times New Roman" w:hAnsi="Times New Roman"/>
          <w:b/>
          <w:color w:val="000000"/>
          <w:sz w:val="24"/>
          <w:szCs w:val="24"/>
          <w:lang w:val="en-US"/>
        </w:rPr>
        <w:t>References</w:t>
      </w:r>
    </w:p>
    <w:p>
      <w:pPr>
        <w:pStyle w:val="Normal"/>
        <w:spacing w:lineRule="auto" w:line="240" w:before="0" w:after="0"/>
        <w:ind w:left="-567" w:right="-569" w:hanging="0"/>
        <w:jc w:val="both"/>
        <w:rPr>
          <w:rFonts w:ascii="Times New Roman" w:hAnsi="Times New Roman"/>
          <w:sz w:val="20"/>
          <w:szCs w:val="20"/>
          <w:lang w:val="en-US"/>
        </w:rPr>
      </w:pPr>
      <w:r>
        <w:rPr>
          <w:rFonts w:ascii="Times New Roman" w:hAnsi="Times New Roman"/>
          <w:sz w:val="20"/>
          <w:szCs w:val="20"/>
          <w:lang w:val="en-US"/>
        </w:rPr>
      </w:r>
    </w:p>
    <w:p>
      <w:pPr>
        <w:pStyle w:val="Normal"/>
        <w:widowControl w:val="false"/>
        <w:spacing w:lineRule="auto" w:line="240"/>
        <w:ind w:left="640" w:hanging="640"/>
        <w:rPr>
          <w:rFonts w:cs="Calibri"/>
          <w:szCs w:val="24"/>
        </w:rPr>
      </w:pPr>
      <w:r>
        <w:fldChar w:fldCharType="begin"/>
      </w:r>
      <w:r>
        <w:rPr/>
        <w:instrText>ADDIN Mendeley Bibliography CSL_BIBLIOGRAPHY</w:instrText>
      </w:r>
      <w:r>
        <w:rPr/>
      </w:r>
      <w:r>
        <w:rPr/>
        <w:fldChar w:fldCharType="separate"/>
      </w:r>
      <w:r>
        <w:rPr/>
      </w:r>
      <w:r>
        <w:rPr>
          <w:rFonts w:cs="Calibri"/>
          <w:szCs w:val="24"/>
        </w:rPr>
        <w:t>[1]</w:t>
        <w:tab/>
        <w:t xml:space="preserve">K. I. Ozoemena and S. Carrara, “Biomedical electrochemical sensors for resource-limited countries,” </w:t>
      </w:r>
      <w:r>
        <w:rPr>
          <w:rFonts w:cs="Calibri"/>
          <w:i/>
          <w:iCs/>
          <w:szCs w:val="24"/>
        </w:rPr>
        <w:t>Curr. Opin. Electrochem.</w:t>
      </w:r>
      <w:r>
        <w:rPr>
          <w:rFonts w:cs="Calibri"/>
          <w:szCs w:val="24"/>
        </w:rPr>
        <w:t>, vol. 3, no. 1, pp. 51–56, 2017, doi: 10.1016/j.coelec.2017.06.002.</w:t>
      </w:r>
    </w:p>
    <w:p>
      <w:pPr>
        <w:pStyle w:val="Normal"/>
        <w:widowControl w:val="false"/>
        <w:spacing w:lineRule="auto" w:line="240"/>
        <w:ind w:left="640" w:hanging="640"/>
        <w:rPr>
          <w:rFonts w:cs="Calibri"/>
          <w:szCs w:val="24"/>
        </w:rPr>
      </w:pPr>
      <w:r>
        <w:rPr>
          <w:rFonts w:cs="Calibri"/>
          <w:szCs w:val="24"/>
        </w:rPr>
        <w:t>[2]</w:t>
        <w:tab/>
        <w:t xml:space="preserve">B. M. Cerrutti, M. L. Moraes, S. H. Pulcinelli, and C. V. Santilli, “Lignin as immobilization matrix for HIV p17 peptide used in immunosensing,” </w:t>
      </w:r>
      <w:r>
        <w:rPr>
          <w:rFonts w:cs="Calibri"/>
          <w:i/>
          <w:iCs/>
          <w:szCs w:val="24"/>
        </w:rPr>
        <w:t>Biosens. Bioelectron.</w:t>
      </w:r>
      <w:r>
        <w:rPr>
          <w:rFonts w:cs="Calibri"/>
          <w:szCs w:val="24"/>
        </w:rPr>
        <w:t>, vol. 71, pp. 420–426, 2015, doi: 10.1016/j.bios.2015.04.054.</w:t>
      </w:r>
    </w:p>
    <w:p>
      <w:pPr>
        <w:pStyle w:val="Normal"/>
        <w:widowControl w:val="false"/>
        <w:spacing w:lineRule="auto" w:line="240"/>
        <w:ind w:left="640" w:hanging="640"/>
        <w:rPr>
          <w:rFonts w:cs="Calibri"/>
          <w:szCs w:val="24"/>
        </w:rPr>
      </w:pPr>
      <w:r>
        <w:rPr>
          <w:rFonts w:cs="Calibri"/>
          <w:szCs w:val="24"/>
        </w:rPr>
        <w:t>[3]</w:t>
        <w:tab/>
        <w:t xml:space="preserve">L. R. Lima, A. M. B. Gonçalves, F. V. Paulovich, O. N. Oliveira, S. J. L. Ribeiro, and M. L. Moraes, “Electrical immunosensor made with antigenic peptide NS5A- 1 immobilized onto silk fibroin for diagnosing hepatitis C,” </w:t>
      </w:r>
      <w:r>
        <w:rPr>
          <w:rFonts w:cs="Calibri"/>
          <w:i/>
          <w:iCs/>
          <w:szCs w:val="24"/>
        </w:rPr>
        <w:t>J. Braz. Chem. Soc.</w:t>
      </w:r>
      <w:r>
        <w:rPr>
          <w:rFonts w:cs="Calibri"/>
          <w:szCs w:val="24"/>
        </w:rPr>
        <w:t>, vol. 29, no. 10, pp. 2054–2059, 2018, doi: 10.21577/0103-5053.20180080.</w:t>
      </w:r>
    </w:p>
    <w:p>
      <w:pPr>
        <w:pStyle w:val="Normal"/>
        <w:widowControl w:val="false"/>
        <w:spacing w:lineRule="auto" w:line="240"/>
        <w:ind w:left="640" w:hanging="640"/>
        <w:rPr>
          <w:rFonts w:cs="Calibri"/>
          <w:szCs w:val="24"/>
        </w:rPr>
      </w:pPr>
      <w:r>
        <w:rPr>
          <w:rFonts w:cs="Calibri"/>
          <w:szCs w:val="24"/>
        </w:rPr>
        <w:t>[4]</w:t>
        <w:tab/>
        <w:t xml:space="preserve">C. Zhao and X. Liu, “A portable, paper-based multiplexing immunosensor for detection of HIV and HCV markers in serum,” </w:t>
      </w:r>
      <w:r>
        <w:rPr>
          <w:rFonts w:cs="Calibri"/>
          <w:i/>
          <w:iCs/>
          <w:szCs w:val="24"/>
        </w:rPr>
        <w:t>2015 Transducers - 2015 18th Int. Conf. Solid-State Sensors, Actuators Microsystems, TRANSDUCERS 2015</w:t>
      </w:r>
      <w:r>
        <w:rPr>
          <w:rFonts w:cs="Calibri"/>
          <w:szCs w:val="24"/>
        </w:rPr>
        <w:t>, pp. 1025–1028, 2015, doi: 10.1109/TRANSDUCERS.2015.7181100.</w:t>
      </w:r>
    </w:p>
    <w:p>
      <w:pPr>
        <w:pStyle w:val="Normal"/>
        <w:widowControl w:val="false"/>
        <w:spacing w:lineRule="auto" w:line="240"/>
        <w:ind w:left="640" w:hanging="640"/>
        <w:rPr>
          <w:rFonts w:cs="Calibri"/>
          <w:szCs w:val="24"/>
        </w:rPr>
      </w:pPr>
      <w:r>
        <w:rPr>
          <w:rFonts w:cs="Calibri"/>
          <w:szCs w:val="24"/>
        </w:rPr>
        <w:t>[5]</w:t>
        <w:tab/>
        <w:t xml:space="preserve">A. K. Gárate-Escamila, A. Hajjam El Hassani, and E. Andrès, “Classification models for heart disease prediction using feature selection and PCA,” </w:t>
      </w:r>
      <w:r>
        <w:rPr>
          <w:rFonts w:cs="Calibri"/>
          <w:i/>
          <w:iCs/>
          <w:szCs w:val="24"/>
        </w:rPr>
        <w:t>Informatics Med. Unlocked</w:t>
      </w:r>
      <w:r>
        <w:rPr>
          <w:rFonts w:cs="Calibri"/>
          <w:szCs w:val="24"/>
        </w:rPr>
        <w:t>, vol. 19, 2020, doi: 10.1016/j.imu.2020.100330.</w:t>
      </w:r>
    </w:p>
    <w:p>
      <w:pPr>
        <w:pStyle w:val="Normal"/>
        <w:widowControl w:val="false"/>
        <w:spacing w:lineRule="auto" w:line="240"/>
        <w:ind w:left="640" w:hanging="640"/>
        <w:rPr>
          <w:rFonts w:cs="Calibri"/>
          <w:szCs w:val="24"/>
        </w:rPr>
      </w:pPr>
      <w:r>
        <w:rPr>
          <w:rFonts w:cs="Calibri"/>
          <w:szCs w:val="24"/>
        </w:rPr>
        <w:t>[6]</w:t>
        <w:tab/>
        <w:t xml:space="preserve">L. M. M. Ferro, S. G. Lemos, M. Ferreira, and F. Trivinho-Strixino, “Use of multivariate analysis on Fabry-Pérot interference spectra of nanoporous anodic alumina (NAA) for optical sensors purposes,” </w:t>
      </w:r>
      <w:r>
        <w:rPr>
          <w:rFonts w:cs="Calibri"/>
          <w:i/>
          <w:iCs/>
          <w:szCs w:val="24"/>
        </w:rPr>
        <w:t>Sensors Actuators, B Chem.</w:t>
      </w:r>
      <w:r>
        <w:rPr>
          <w:rFonts w:cs="Calibri"/>
          <w:szCs w:val="24"/>
        </w:rPr>
        <w:t>, vol. 248, pp. 718–723, 2017, doi: 10.1016/j.snb.2017.04.051.</w:t>
      </w:r>
    </w:p>
    <w:p>
      <w:pPr>
        <w:pStyle w:val="Normal"/>
        <w:widowControl w:val="false"/>
        <w:spacing w:lineRule="auto" w:line="240"/>
        <w:ind w:left="640" w:hanging="640"/>
        <w:rPr>
          <w:rFonts w:cs="Calibri"/>
          <w:szCs w:val="24"/>
        </w:rPr>
      </w:pPr>
      <w:r>
        <w:rPr>
          <w:rFonts w:cs="Calibri"/>
          <w:szCs w:val="24"/>
        </w:rPr>
        <w:t>[7]</w:t>
        <w:tab/>
        <w:t xml:space="preserve">N. Vaswani and P. Narayanamurthy, “Static and Dynamic Robust PCA and Matrix Completion: A Review,” </w:t>
      </w:r>
      <w:r>
        <w:rPr>
          <w:rFonts w:cs="Calibri"/>
          <w:i/>
          <w:iCs/>
          <w:szCs w:val="24"/>
        </w:rPr>
        <w:t>Proc. IEEE</w:t>
      </w:r>
      <w:r>
        <w:rPr>
          <w:rFonts w:cs="Calibri"/>
          <w:szCs w:val="24"/>
        </w:rPr>
        <w:t>, vol. 106, no. 8, pp. 1359–1379, 2018, doi: 10.1109/JPROC.2018.2844126.</w:t>
      </w:r>
    </w:p>
    <w:p>
      <w:pPr>
        <w:pStyle w:val="Normal"/>
        <w:widowControl w:val="false"/>
        <w:spacing w:lineRule="auto" w:line="240"/>
        <w:ind w:left="640" w:hanging="640"/>
        <w:rPr>
          <w:rFonts w:cs="Calibri"/>
          <w:szCs w:val="24"/>
        </w:rPr>
      </w:pPr>
      <w:r>
        <w:rPr>
          <w:rFonts w:cs="Calibri"/>
          <w:szCs w:val="24"/>
        </w:rPr>
        <w:t>[8]</w:t>
        <w:tab/>
        <w:t xml:space="preserve">M. A. H. Khan, B. Thomson, R. Debnath, A. Motayed, and M. V. Rao, “Nanowire-Based Sensor Array for Detection of Cross-Sensitive Gases Using PCA and Machine Learning Algorithms,” </w:t>
      </w:r>
      <w:r>
        <w:rPr>
          <w:rFonts w:cs="Calibri"/>
          <w:i/>
          <w:iCs/>
          <w:szCs w:val="24"/>
        </w:rPr>
        <w:t>IEEE Sens. J.</w:t>
      </w:r>
      <w:r>
        <w:rPr>
          <w:rFonts w:cs="Calibri"/>
          <w:szCs w:val="24"/>
        </w:rPr>
        <w:t>, vol. 20, no. 11, pp. 6020–6028, 2020, doi: 10.1109/JSEN.2020.2972542.</w:t>
      </w:r>
    </w:p>
    <w:p>
      <w:pPr>
        <w:pStyle w:val="Normal"/>
        <w:widowControl w:val="false"/>
        <w:spacing w:lineRule="auto" w:line="240"/>
        <w:ind w:left="640" w:hanging="640"/>
        <w:rPr>
          <w:rFonts w:cs="Calibri"/>
          <w:szCs w:val="24"/>
        </w:rPr>
      </w:pPr>
      <w:r>
        <w:rPr>
          <w:rFonts w:cs="Calibri"/>
          <w:szCs w:val="24"/>
        </w:rPr>
        <w:t>[9]</w:t>
        <w:tab/>
        <w:t xml:space="preserve">K. Ahuja and A. K. Pani, “Software sensor development for product concentration monitoring in fed-batch fermentation process using dynamic principal component regression,” </w:t>
      </w:r>
      <w:r>
        <w:rPr>
          <w:rFonts w:cs="Calibri"/>
          <w:i/>
          <w:iCs/>
          <w:szCs w:val="24"/>
        </w:rPr>
        <w:t>ICSNS 2018 - Proc. IEEE Int. Conf. Soft-Computing Netw. Secur.</w:t>
      </w:r>
      <w:r>
        <w:rPr>
          <w:rFonts w:cs="Calibri"/>
          <w:szCs w:val="24"/>
        </w:rPr>
        <w:t>, no. 1, pp. 1–6, 2018, doi: 10.1109/ICSNS.2018.8573661.</w:t>
      </w:r>
    </w:p>
    <w:p>
      <w:pPr>
        <w:pStyle w:val="Normal"/>
        <w:widowControl w:val="false"/>
        <w:spacing w:lineRule="auto" w:line="240"/>
        <w:ind w:left="640" w:hanging="640"/>
        <w:rPr>
          <w:rFonts w:cs="Calibri"/>
          <w:szCs w:val="24"/>
        </w:rPr>
      </w:pPr>
      <w:r>
        <w:rPr>
          <w:rFonts w:cs="Calibri"/>
          <w:szCs w:val="24"/>
        </w:rPr>
        <w:t>[10]</w:t>
        <w:tab/>
        <w:t xml:space="preserve">S. M. Ho, “Principal Components Analysis (Pca),” </w:t>
      </w:r>
      <w:r>
        <w:rPr>
          <w:rFonts w:cs="Calibri"/>
          <w:i/>
          <w:iCs/>
          <w:szCs w:val="24"/>
        </w:rPr>
        <w:t>Princ. Components Anal.</w:t>
      </w:r>
      <w:r>
        <w:rPr>
          <w:rFonts w:cs="Calibri"/>
          <w:szCs w:val="24"/>
        </w:rPr>
        <w:t>, no. December, p. 12, 2019.</w:t>
      </w:r>
    </w:p>
    <w:p>
      <w:pPr>
        <w:pStyle w:val="Normal"/>
        <w:widowControl w:val="false"/>
        <w:spacing w:lineRule="auto" w:line="240"/>
        <w:ind w:left="640" w:hanging="640"/>
        <w:rPr>
          <w:rFonts w:cs="Calibri"/>
          <w:szCs w:val="24"/>
        </w:rPr>
      </w:pPr>
      <w:r>
        <w:rPr>
          <w:rFonts w:cs="Calibri"/>
          <w:szCs w:val="24"/>
        </w:rPr>
        <w:t>[11]</w:t>
        <w:tab/>
        <w:t xml:space="preserve">M. M. C. Ferreira, </w:t>
      </w:r>
      <w:r>
        <w:rPr>
          <w:rFonts w:cs="Calibri"/>
          <w:i/>
          <w:iCs/>
          <w:szCs w:val="24"/>
        </w:rPr>
        <w:t>Quimiometria: Conceitos, Métodos e Aplicações</w:t>
      </w:r>
      <w:r>
        <w:rPr>
          <w:rFonts w:cs="Calibri"/>
          <w:szCs w:val="24"/>
        </w:rPr>
        <w:t>. 2015.</w:t>
      </w:r>
    </w:p>
    <w:p>
      <w:pPr>
        <w:pStyle w:val="Normal"/>
        <w:widowControl w:val="false"/>
        <w:spacing w:lineRule="auto" w:line="240"/>
        <w:ind w:left="640" w:hanging="640"/>
        <w:rPr>
          <w:rFonts w:cs="Calibri"/>
          <w:szCs w:val="24"/>
        </w:rPr>
      </w:pPr>
      <w:r>
        <w:rPr>
          <w:rFonts w:cs="Calibri"/>
          <w:szCs w:val="24"/>
        </w:rPr>
        <w:t>[12]</w:t>
        <w:tab/>
        <w:t xml:space="preserve">L. Smith, “A tutorial on PCSA,” </w:t>
      </w:r>
      <w:r>
        <w:rPr>
          <w:rFonts w:cs="Calibri"/>
          <w:i/>
          <w:iCs/>
          <w:szCs w:val="24"/>
        </w:rPr>
        <w:t>Dep. Comput. Sci. Univ. Otago.</w:t>
      </w:r>
      <w:r>
        <w:rPr>
          <w:rFonts w:cs="Calibri"/>
          <w:szCs w:val="24"/>
        </w:rPr>
        <w:t>, pp. 12–28, 2006.</w:t>
      </w:r>
    </w:p>
    <w:p>
      <w:pPr>
        <w:pStyle w:val="Normal"/>
        <w:widowControl w:val="false"/>
        <w:spacing w:lineRule="auto" w:line="240"/>
        <w:ind w:left="640" w:hanging="640"/>
        <w:rPr>
          <w:rFonts w:cs="Calibri"/>
          <w:szCs w:val="24"/>
        </w:rPr>
      </w:pPr>
      <w:r>
        <w:rPr>
          <w:rFonts w:cs="Calibri"/>
          <w:szCs w:val="24"/>
        </w:rPr>
        <w:t>[13]</w:t>
        <w:tab/>
        <w:t xml:space="preserve">H. Shinzawa, K. Awa, W. Kanematsu, and Y. Ozaki, “Multivariate data analysis for Raman spectroscopic imaging,” </w:t>
      </w:r>
      <w:r>
        <w:rPr>
          <w:rFonts w:cs="Calibri"/>
          <w:i/>
          <w:iCs/>
          <w:szCs w:val="24"/>
        </w:rPr>
        <w:t>J. Raman Spectrosc.</w:t>
      </w:r>
      <w:r>
        <w:rPr>
          <w:rFonts w:cs="Calibri"/>
          <w:szCs w:val="24"/>
        </w:rPr>
        <w:t>, vol. 40, no. 12, pp. 1720–1725, 2009, doi: 10.1002/jrs.2525.</w:t>
      </w:r>
    </w:p>
    <w:p>
      <w:pPr>
        <w:pStyle w:val="Normal"/>
        <w:widowControl w:val="false"/>
        <w:spacing w:lineRule="auto" w:line="240"/>
        <w:ind w:left="640" w:hanging="640"/>
        <w:rPr>
          <w:rFonts w:cs="Calibri"/>
          <w:szCs w:val="24"/>
        </w:rPr>
      </w:pPr>
      <w:r>
        <w:rPr>
          <w:rFonts w:cs="Calibri"/>
          <w:szCs w:val="24"/>
        </w:rPr>
        <w:t>[14]</w:t>
        <w:tab/>
        <w:t xml:space="preserve">C. R. Wall, J. V.; Jenkins, </w:t>
      </w:r>
      <w:r>
        <w:rPr>
          <w:rFonts w:cs="Calibri"/>
          <w:i/>
          <w:iCs/>
          <w:szCs w:val="24"/>
        </w:rPr>
        <w:t>Practical Statistics for Astronomers</w:t>
      </w:r>
      <w:r>
        <w:rPr>
          <w:rFonts w:cs="Calibri"/>
          <w:szCs w:val="24"/>
        </w:rPr>
        <w:t>, vol. 1999, no. December. 2006.</w:t>
      </w:r>
    </w:p>
    <w:p>
      <w:pPr>
        <w:pStyle w:val="Normal"/>
        <w:widowControl w:val="false"/>
        <w:spacing w:lineRule="auto" w:line="240"/>
        <w:ind w:left="640" w:hanging="640"/>
        <w:rPr>
          <w:rFonts w:cs="Calibri"/>
          <w:szCs w:val="24"/>
        </w:rPr>
      </w:pPr>
      <w:r>
        <w:rPr>
          <w:rFonts w:cs="Calibri"/>
          <w:szCs w:val="24"/>
        </w:rPr>
        <w:t>[15]</w:t>
        <w:tab/>
        <w:t xml:space="preserve">N. Salkind, “Eigen decomposition,” </w:t>
      </w:r>
      <w:r>
        <w:rPr>
          <w:rFonts w:cs="Calibri"/>
          <w:i/>
          <w:iCs/>
          <w:szCs w:val="24"/>
        </w:rPr>
        <w:t>Encycl. Meas. Stat.</w:t>
      </w:r>
      <w:r>
        <w:rPr>
          <w:rFonts w:cs="Calibri"/>
          <w:szCs w:val="24"/>
        </w:rPr>
        <w:t>, pp. 1–10, 2013, doi: 10.4135/9781412952644.n150.</w:t>
      </w:r>
    </w:p>
    <w:p>
      <w:pPr>
        <w:pStyle w:val="Normal"/>
        <w:widowControl w:val="false"/>
        <w:spacing w:lineRule="auto" w:line="240"/>
        <w:ind w:left="640" w:hanging="640"/>
        <w:rPr>
          <w:rFonts w:cs="Calibri"/>
          <w:szCs w:val="24"/>
        </w:rPr>
      </w:pPr>
      <w:r>
        <w:rPr>
          <w:rFonts w:cs="Calibri"/>
          <w:szCs w:val="24"/>
        </w:rPr>
        <w:t>[16]</w:t>
        <w:tab/>
        <w:t xml:space="preserve">N. S. Tomar, Geetam Singh; Barbosa, Jorge Luis V.; Aghwariya, Mahesh Kumar; Chaudhari, “International Conference on Intelligent Computing and Smart Communication 2019: Proceedings of ICSC 2019,” </w:t>
      </w:r>
      <w:r>
        <w:rPr>
          <w:rFonts w:cs="Calibri"/>
          <w:i/>
          <w:iCs/>
          <w:szCs w:val="24"/>
        </w:rPr>
        <w:t>Springer Nat. Singapore</w:t>
      </w:r>
      <w:r>
        <w:rPr>
          <w:rFonts w:cs="Calibri"/>
          <w:szCs w:val="24"/>
        </w:rPr>
        <w:t>, p. 1689, 2020.</w:t>
      </w:r>
    </w:p>
    <w:p>
      <w:pPr>
        <w:pStyle w:val="Normal"/>
        <w:widowControl w:val="false"/>
        <w:spacing w:lineRule="auto" w:line="240"/>
        <w:ind w:left="640" w:hanging="640"/>
        <w:rPr>
          <w:rFonts w:cs="Calibri"/>
          <w:szCs w:val="24"/>
        </w:rPr>
      </w:pPr>
      <w:r>
        <w:rPr>
          <w:rFonts w:cs="Calibri"/>
          <w:szCs w:val="24"/>
        </w:rPr>
        <w:t>[17]</w:t>
        <w:tab/>
        <w:t>J. Brownlee, “Machine Learning Mastery With Python: Data Cleaning, Feature Selection, and Data Transforms in Python,” 2020.</w:t>
      </w:r>
    </w:p>
    <w:p>
      <w:pPr>
        <w:pStyle w:val="Normal"/>
        <w:widowControl w:val="false"/>
        <w:spacing w:lineRule="auto" w:line="240"/>
        <w:ind w:left="640" w:hanging="640"/>
        <w:rPr>
          <w:rFonts w:cs="Calibri"/>
          <w:szCs w:val="24"/>
        </w:rPr>
      </w:pPr>
      <w:r>
        <w:rPr>
          <w:rFonts w:cs="Calibri"/>
          <w:szCs w:val="24"/>
        </w:rPr>
        <w:t>[18]</w:t>
        <w:tab/>
        <w:t xml:space="preserve">L. Gour, S. B. Maurya, G. K. Koutu, S. K. Singh, S. S. Shukla, and D. K. Mishra, “Characterization of rice (Orzya sativa L.) genotypes using principal component analysis including scree plot and rotated component matrix,” </w:t>
      </w:r>
      <w:r>
        <w:rPr>
          <w:rFonts w:cs="Calibri"/>
          <w:i/>
          <w:iCs/>
          <w:szCs w:val="24"/>
        </w:rPr>
        <w:t>Int. J. Chem. Stud.</w:t>
      </w:r>
      <w:r>
        <w:rPr>
          <w:rFonts w:cs="Calibri"/>
          <w:szCs w:val="24"/>
        </w:rPr>
        <w:t>, vol. 5, no. 4, pp. 975–983, 2017.</w:t>
      </w:r>
    </w:p>
    <w:p>
      <w:pPr>
        <w:pStyle w:val="Normal"/>
        <w:widowControl w:val="false"/>
        <w:spacing w:lineRule="auto" w:line="240"/>
        <w:ind w:left="640" w:hanging="640"/>
        <w:rPr>
          <w:rFonts w:cs="Calibri"/>
          <w:szCs w:val="24"/>
        </w:rPr>
      </w:pPr>
      <w:r>
        <w:rPr>
          <w:rFonts w:cs="Calibri"/>
          <w:szCs w:val="24"/>
        </w:rPr>
        <w:t>[19]</w:t>
        <w:tab/>
        <w:t xml:space="preserve">J. D. Brown, “Questions and answers about language testing statistics : Choosing the Right Number of Components or Factors in PCA and EFA Choosing the Number of Components or Factors to Include in a PCA or EFA Examples Illustrating the Five Stopping Rules,” </w:t>
      </w:r>
      <w:r>
        <w:rPr>
          <w:rFonts w:cs="Calibri"/>
          <w:i/>
          <w:iCs/>
          <w:szCs w:val="24"/>
        </w:rPr>
        <w:t>JALT Test. Eval. SIG</w:t>
      </w:r>
      <w:r>
        <w:rPr>
          <w:rFonts w:cs="Calibri"/>
          <w:szCs w:val="24"/>
        </w:rPr>
        <w:t>, vol. 13, no. May, pp. 19–23, 2009.</w:t>
      </w:r>
    </w:p>
    <w:p>
      <w:pPr>
        <w:pStyle w:val="Normal"/>
        <w:widowControl w:val="false"/>
        <w:spacing w:lineRule="auto" w:line="240"/>
        <w:ind w:left="640" w:hanging="640"/>
        <w:rPr>
          <w:rFonts w:cs="Calibri"/>
          <w:szCs w:val="24"/>
        </w:rPr>
      </w:pPr>
      <w:r>
        <w:rPr>
          <w:rFonts w:cs="Calibri"/>
          <w:szCs w:val="24"/>
        </w:rPr>
        <w:t>[20]</w:t>
        <w:tab/>
        <w:t xml:space="preserve">F. P. G. Márquez, </w:t>
      </w:r>
      <w:r>
        <w:rPr>
          <w:rFonts w:cs="Calibri"/>
          <w:i/>
          <w:iCs/>
          <w:szCs w:val="24"/>
        </w:rPr>
        <w:t>Handbook of Research on Big Data Clustering and Machine Learning</w:t>
      </w:r>
      <w:r>
        <w:rPr>
          <w:rFonts w:cs="Calibri"/>
          <w:szCs w:val="24"/>
        </w:rPr>
        <w:t>. 2019.</w:t>
      </w:r>
    </w:p>
    <w:p>
      <w:pPr>
        <w:pStyle w:val="Normal"/>
        <w:widowControl w:val="false"/>
        <w:spacing w:lineRule="auto" w:line="240"/>
        <w:ind w:left="640" w:hanging="640"/>
        <w:rPr>
          <w:rFonts w:cs="Calibri"/>
          <w:szCs w:val="24"/>
        </w:rPr>
      </w:pPr>
      <w:r>
        <w:rPr>
          <w:rFonts w:cs="Calibri"/>
          <w:szCs w:val="24"/>
        </w:rPr>
        <w:t>[21]</w:t>
        <w:tab/>
        <w:t xml:space="preserve">J. A. Williams, J. R. Koup, R. Lalonde, and D. D. Christ, </w:t>
      </w:r>
      <w:r>
        <w:rPr>
          <w:rFonts w:cs="Calibri"/>
          <w:i/>
          <w:iCs/>
          <w:szCs w:val="24"/>
        </w:rPr>
        <w:t>Predictive Approaches in Drug Discovery and Development: Biomarkers and In Vitro/In Vivo Correlations</w:t>
      </w:r>
      <w:r>
        <w:rPr>
          <w:rFonts w:cs="Calibri"/>
          <w:szCs w:val="24"/>
        </w:rPr>
        <w:t>. 2012.</w:t>
      </w:r>
    </w:p>
    <w:p>
      <w:pPr>
        <w:pStyle w:val="Normal"/>
        <w:widowControl w:val="false"/>
        <w:spacing w:lineRule="auto" w:line="240"/>
        <w:ind w:left="640" w:hanging="640"/>
        <w:rPr>
          <w:rFonts w:cs="Calibri"/>
          <w:szCs w:val="24"/>
        </w:rPr>
      </w:pPr>
      <w:r>
        <w:rPr>
          <w:rFonts w:cs="Calibri"/>
          <w:szCs w:val="24"/>
        </w:rPr>
        <w:t>[22]</w:t>
        <w:tab/>
        <w:t>L. P. Esbensen, Kim H.; Guyot, Dominique; Westad, Frank; Houmoller, “Multivariate Data Analysis In Practice : an Introduction to Multivariate Data Analysis and Experimental Design,” p. 598, 2002.</w:t>
      </w:r>
    </w:p>
    <w:p>
      <w:pPr>
        <w:pStyle w:val="Normal"/>
        <w:widowControl w:val="false"/>
        <w:spacing w:lineRule="auto" w:line="240"/>
        <w:ind w:left="640" w:hanging="640"/>
        <w:rPr>
          <w:rFonts w:cs="Calibri"/>
        </w:rPr>
      </w:pPr>
      <w:r>
        <w:rPr>
          <w:rFonts w:cs="Calibri"/>
          <w:szCs w:val="24"/>
        </w:rPr>
        <w:t>[23]</w:t>
        <w:tab/>
        <w:t xml:space="preserve">S. Imran, S. Ahmadi, and K. Kerman, “Electrochemical biosensors for the detection of sars-cov-2 and other viruses,” </w:t>
      </w:r>
      <w:r>
        <w:rPr>
          <w:rFonts w:cs="Calibri"/>
          <w:i/>
          <w:iCs/>
          <w:szCs w:val="24"/>
        </w:rPr>
        <w:t>Micromachines</w:t>
      </w:r>
      <w:r>
        <w:rPr>
          <w:rFonts w:cs="Calibri"/>
          <w:szCs w:val="24"/>
        </w:rPr>
        <w:t>, vol. 12, no. 2, pp. 1–23, 2021, doi: 10.3390/mi12020174.</w:t>
      </w:r>
    </w:p>
    <w:p>
      <w:pPr>
        <w:pStyle w:val="Normal"/>
        <w:spacing w:lineRule="auto" w:line="240" w:before="0" w:after="200"/>
        <w:rPr>
          <w:lang w:val="en-US"/>
        </w:rPr>
      </w:pPr>
      <w:r>
        <w:rPr/>
      </w:r>
      <w:r>
        <w:rPr/>
        <w:fldChar w:fldCharType="end"/>
      </w:r>
    </w:p>
    <w:sectPr>
      <w:type w:val="continuous"/>
      <w:pgSz w:w="11906" w:h="16838"/>
      <w:pgMar w:left="1418" w:right="1418" w:header="709" w:top="1701" w:footer="340" w:bottom="1701"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Palatino">
    <w:charset w:val="01"/>
    <w:family w:val="roman"/>
    <w:pitch w:val="variable"/>
  </w:font>
  <w:font w:name="Franklin Gothic Demi">
    <w:charset w:val="01"/>
    <w:family w:val="roman"/>
    <w:pitch w:val="variable"/>
  </w:font>
  <w:font w:name="Franklin Gothic Demi Cond">
    <w:charset w:val="01"/>
    <w:family w:val="roman"/>
    <w:pitch w:val="variable"/>
  </w:font>
  <w:font w:name="Charter B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252"/>
        <w:tab w:val="clear" w:pos="8504"/>
        <w:tab w:val="center" w:pos="4536" w:leader="none"/>
      </w:tabs>
      <w:spacing w:lineRule="auto" w:line="240" w:before="0" w:after="0"/>
      <w:ind w:left="-567" w:right="-569" w:hanging="0"/>
      <w:jc w:val="right"/>
      <w:rPr>
        <w:rFonts w:ascii="Franklin Gothic Demi" w:hAnsi="Franklin Gothic Demi"/>
        <w:sz w:val="18"/>
        <w:szCs w:val="18"/>
      </w:rPr>
    </w:pPr>
    <w:r>
      <w:rPr>
        <w:rFonts w:ascii="Franklin Gothic Demi" w:hAnsi="Franklin Gothic Demi"/>
      </w:rPr>
      <w:drawing>
        <wp:anchor behindDoc="1" distT="0" distB="0" distL="0" distR="0" simplePos="0" locked="0" layoutInCell="1" allowOverlap="1" relativeHeight="81">
          <wp:simplePos x="0" y="0"/>
          <wp:positionH relativeFrom="margin">
            <wp:posOffset>-332105</wp:posOffset>
          </wp:positionH>
          <wp:positionV relativeFrom="paragraph">
            <wp:posOffset>36830</wp:posOffset>
          </wp:positionV>
          <wp:extent cx="838200" cy="295275"/>
          <wp:effectExtent l="0" t="0" r="0" b="0"/>
          <wp:wrapNone/>
          <wp:docPr id="3"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5" descr=""/>
                  <pic:cNvPicPr>
                    <a:picLocks noChangeAspect="1" noChangeArrowheads="1"/>
                  </pic:cNvPicPr>
                </pic:nvPicPr>
                <pic:blipFill>
                  <a:blip r:embed="rId1"/>
                  <a:stretch>
                    <a:fillRect/>
                  </a:stretch>
                </pic:blipFill>
                <pic:spPr bwMode="auto">
                  <a:xfrm>
                    <a:off x="0" y="0"/>
                    <a:ext cx="838200" cy="295275"/>
                  </a:xfrm>
                  <a:prstGeom prst="rect">
                    <a:avLst/>
                  </a:prstGeom>
                </pic:spPr>
              </pic:pic>
            </a:graphicData>
          </a:graphic>
        </wp:anchor>
      </w:drawing>
      <w:fldChar w:fldCharType="begin"/>
    </w:r>
    <w:r>
      <w:rPr>
        <w:rFonts w:ascii="Franklin Gothic Demi" w:hAnsi="Franklin Gothic Demi"/>
      </w:rPr>
      <w:instrText> PAGE </w:instrText>
    </w:r>
    <w:r>
      <w:rPr>
        <w:rFonts w:ascii="Franklin Gothic Demi" w:hAnsi="Franklin Gothic Demi"/>
      </w:rPr>
      <w:fldChar w:fldCharType="separate"/>
    </w:r>
    <w:r>
      <w:rPr>
        <w:rFonts w:ascii="Franklin Gothic Demi" w:hAnsi="Franklin Gothic Demi"/>
      </w:rPr>
      <w:t>21</w:t>
    </w:r>
    <w:r>
      <w:rPr>
        <w:rFonts w:ascii="Franklin Gothic Demi" w:hAnsi="Franklin Gothic Demi"/>
      </w:rPr>
      <w:fldChar w:fldCharType="end"/>
    </w:r>
  </w:p>
  <w:p>
    <w:pPr>
      <w:pStyle w:val="Footer"/>
      <w:tabs>
        <w:tab w:val="clear" w:pos="4252"/>
        <w:tab w:val="clear" w:pos="8504"/>
        <w:tab w:val="center" w:pos="4536" w:leader="none"/>
      </w:tabs>
      <w:spacing w:lineRule="auto" w:line="240" w:before="0" w:after="0"/>
      <w:ind w:left="-567" w:right="-569" w:hanging="0"/>
      <w:jc w:val="right"/>
      <w:rPr/>
    </w:pPr>
    <w:r>
      <w:rPr/>
    </w:r>
  </w:p>
  <w:p>
    <w:pPr>
      <w:pStyle w:val="Footer"/>
      <w:tabs>
        <w:tab w:val="clear" w:pos="4252"/>
        <w:tab w:val="clear" w:pos="8504"/>
        <w:tab w:val="center" w:pos="4419" w:leader="none"/>
        <w:tab w:val="right" w:pos="8838" w:leader="none"/>
      </w:tabs>
      <w:spacing w:lineRule="auto" w:line="240" w:before="0" w:after="0"/>
      <w:ind w:left="-567" w:right="-569" w:hanging="0"/>
      <w:jc w:val="right"/>
      <w:rPr>
        <w:rFonts w:ascii="Franklin Gothic Demi Cond" w:hAnsi="Franklin Gothic Demi Cond" w:eastAsia="Times New Roman"/>
        <w:sz w:val="18"/>
        <w:szCs w:val="18"/>
        <w:highlight w:val="yellow"/>
        <w:lang w:eastAsia="pt-BR"/>
      </w:rPr>
    </w:pPr>
    <w:r>
      <w:rPr/>
    </w:r>
  </w:p>
  <w:p>
    <w:pPr>
      <w:pStyle w:val="Footer"/>
      <w:tabs>
        <w:tab w:val="clear" w:pos="4252"/>
        <w:tab w:val="clear" w:pos="8504"/>
        <w:tab w:val="center" w:pos="4419" w:leader="none"/>
        <w:tab w:val="right" w:pos="8838" w:leader="none"/>
      </w:tabs>
      <w:spacing w:lineRule="auto" w:line="240" w:before="0" w:after="0"/>
      <w:ind w:left="-567" w:right="-569" w:hanging="0"/>
      <w:jc w:val="right"/>
      <w:rPr>
        <w:rFonts w:ascii="Franklin Gothic Demi Cond" w:hAnsi="Franklin Gothic Demi Cond" w:eastAsia="Times New Roman"/>
        <w:sz w:val="16"/>
        <w:szCs w:val="16"/>
        <w:highlight w:val="yellow"/>
        <w:lang w:eastAsia="pt-BR"/>
      </w:rPr>
    </w:pPr>
    <w:r>
      <w:rPr>
        <w:rFonts w:eastAsia="Times New Roman" w:ascii="Franklin Gothic Demi Cond" w:hAnsi="Franklin Gothic Demi Cond"/>
        <w:sz w:val="16"/>
        <w:szCs w:val="16"/>
        <w:highlight w:val="yellow"/>
        <w:lang w:eastAsia="pt-B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360" w:before="0" w:after="0"/>
      <w:ind w:right="-569" w:hanging="0"/>
      <w:jc w:val="right"/>
      <w:rPr>
        <w:rFonts w:ascii="Franklin Gothic Demi" w:hAnsi="Franklin Gothic Demi"/>
        <w:color w:val="4D4D4D"/>
        <w:sz w:val="16"/>
        <w:szCs w:val="16"/>
        <w:lang w:val="en-US"/>
      </w:rPr>
    </w:pPr>
    <w:r>
      <mc:AlternateContent>
        <mc:Choice Requires="wps">
          <w:drawing>
            <wp:anchor behindDoc="1" distT="0" distB="0" distL="0" distR="0" simplePos="0" locked="0" layoutInCell="1" allowOverlap="1" relativeHeight="40" wp14:anchorId="50C85F5D">
              <wp:simplePos x="0" y="0"/>
              <wp:positionH relativeFrom="column">
                <wp:posOffset>1170305</wp:posOffset>
              </wp:positionH>
              <wp:positionV relativeFrom="paragraph">
                <wp:posOffset>153035</wp:posOffset>
              </wp:positionV>
              <wp:extent cx="5040630" cy="635"/>
              <wp:effectExtent l="17780" t="10160" r="9525" b="18415"/>
              <wp:wrapNone/>
              <wp:docPr id="1" name="Conector reto 3"/>
              <a:graphic xmlns:a="http://schemas.openxmlformats.org/drawingml/2006/main">
                <a:graphicData uri="http://schemas.microsoft.com/office/word/2010/wordprocessingShape">
                  <wps:wsp>
                    <wps:cNvSpPr/>
                    <wps:spPr>
                      <a:xfrm>
                        <a:off x="0" y="0"/>
                        <a:ext cx="5040000" cy="0"/>
                      </a:xfrm>
                      <a:prstGeom prst="line">
                        <a:avLst/>
                      </a:prstGeom>
                      <a:ln w="19080">
                        <a:solidFill>
                          <a:srgbClr val="00aad4"/>
                        </a:solidFill>
                        <a:round/>
                      </a:ln>
                    </wps:spPr>
                    <wps:style>
                      <a:lnRef idx="0"/>
                      <a:fillRef idx="0"/>
                      <a:effectRef idx="0"/>
                      <a:fontRef idx="minor"/>
                    </wps:style>
                    <wps:bodyPr/>
                  </wps:wsp>
                </a:graphicData>
              </a:graphic>
            </wp:anchor>
          </w:drawing>
        </mc:Choice>
        <mc:Fallback>
          <w:pict>
            <v:line id="shape_0" from="92.15pt,12.05pt" to="488.95pt,12.05pt" ID="Conector reto 3" stroked="t" style="position:absolute" wp14:anchorId="50C85F5D">
              <v:stroke color="#00aad4" weight="19080" joinstyle="round" endcap="flat"/>
              <v:fill o:detectmouseclick="t" on="false"/>
            </v:line>
          </w:pict>
        </mc:Fallback>
      </mc:AlternateContent>
      <w:drawing>
        <wp:anchor behindDoc="1" distT="0" distB="0" distL="114300" distR="114300" simplePos="0" locked="0" layoutInCell="1" allowOverlap="1" relativeHeight="20">
          <wp:simplePos x="0" y="0"/>
          <wp:positionH relativeFrom="column">
            <wp:posOffset>-533400</wp:posOffset>
          </wp:positionH>
          <wp:positionV relativeFrom="paragraph">
            <wp:posOffset>-289560</wp:posOffset>
          </wp:positionV>
          <wp:extent cx="1732280" cy="1177290"/>
          <wp:effectExtent l="0" t="0" r="0" b="0"/>
          <wp:wrapSquare wrapText="bothSides"/>
          <wp:docPr id="2"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4" descr=""/>
                  <pic:cNvPicPr>
                    <a:picLocks noChangeAspect="1" noChangeArrowheads="1"/>
                  </pic:cNvPicPr>
                </pic:nvPicPr>
                <pic:blipFill>
                  <a:blip r:embed="rId1"/>
                  <a:stretch>
                    <a:fillRect/>
                  </a:stretch>
                </pic:blipFill>
                <pic:spPr bwMode="auto">
                  <a:xfrm>
                    <a:off x="0" y="0"/>
                    <a:ext cx="1732280" cy="1177290"/>
                  </a:xfrm>
                  <a:prstGeom prst="rect">
                    <a:avLst/>
                  </a:prstGeom>
                </pic:spPr>
              </pic:pic>
            </a:graphicData>
          </a:graphic>
        </wp:anchor>
      </w:drawing>
    </w:r>
    <w:r>
      <w:rPr>
        <w:rFonts w:ascii="Franklin Gothic Demi" w:hAnsi="Franklin Gothic Demi"/>
        <w:color w:val="4D4D4D"/>
        <w:sz w:val="16"/>
        <w:szCs w:val="16"/>
        <w:lang w:val="en-US"/>
      </w:rPr>
      <w:t>Section</w:t>
    </w:r>
  </w:p>
  <w:p>
    <w:pPr>
      <w:pStyle w:val="Header"/>
      <w:spacing w:before="0" w:after="0"/>
      <w:ind w:right="-569" w:firstLine="142"/>
      <w:jc w:val="right"/>
      <w:rPr>
        <w:rFonts w:ascii="Franklin Gothic Demi" w:hAnsi="Franklin Gothic Demi"/>
        <w:color w:val="4D4D4D"/>
        <w:sz w:val="16"/>
        <w:szCs w:val="16"/>
        <w:lang w:val="en-US"/>
      </w:rPr>
    </w:pPr>
    <w:hyperlink r:id="rId2">
      <w:r>
        <w:rPr>
          <w:rStyle w:val="InternetLink"/>
          <w:rFonts w:ascii="Franklin Gothic Demi" w:hAnsi="Franklin Gothic Demi"/>
          <w:color w:val="4D4D4D"/>
          <w:sz w:val="16"/>
          <w:szCs w:val="16"/>
          <w:lang w:val="en-US"/>
        </w:rPr>
        <w:t>iq.unesp.br/ecletica</w:t>
      </w:r>
    </w:hyperlink>
  </w:p>
  <w:p>
    <w:pPr>
      <w:pStyle w:val="Header"/>
      <w:tabs>
        <w:tab w:val="clear" w:pos="4252"/>
        <w:tab w:val="clear" w:pos="8504"/>
      </w:tabs>
      <w:spacing w:before="0" w:after="0"/>
      <w:ind w:right="-569" w:hanging="0"/>
      <w:jc w:val="center"/>
      <w:rPr>
        <w:rFonts w:ascii="Franklin Gothic Demi" w:hAnsi="Franklin Gothic Demi"/>
        <w:color w:val="4D4D4D"/>
        <w:lang w:val="en-US"/>
      </w:rPr>
    </w:pPr>
    <w:r>
      <w:rPr>
        <w:rFonts w:ascii="Franklin Gothic Demi" w:hAnsi="Franklin Gothic Demi"/>
        <w:color w:val="4D4D4D"/>
        <w:lang w:val="en-US"/>
      </w:rPr>
      <w:t>| Manuscript |</w:t>
    </w:r>
  </w:p>
  <w:p>
    <w:pPr>
      <w:pStyle w:val="Header"/>
      <w:spacing w:before="0" w:after="200"/>
      <w:rPr>
        <w:rFonts w:ascii="Franklin Gothic Demi" w:hAnsi="Franklin Gothic Demi"/>
        <w:color w:val="4D4D4D"/>
        <w:lang w:val="en-US"/>
      </w:rPr>
    </w:pPr>
    <w:r>
      <w:rPr>
        <w:rFonts w:ascii="Franklin Gothic Demi" w:hAnsi="Franklin Gothic Demi"/>
        <w:color w:val="4D4D4D"/>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207" w:hanging="360"/>
      </w:pPr>
    </w:lvl>
    <w:lvl w:ilvl="1">
      <w:start w:val="1"/>
      <w:numFmt w:val="lowerLetter"/>
      <w:lvlText w:val="%2."/>
      <w:lvlJc w:val="left"/>
      <w:pPr>
        <w:tabs>
          <w:tab w:val="num" w:pos="0"/>
        </w:tabs>
        <w:ind w:left="513" w:hanging="360"/>
      </w:pPr>
    </w:lvl>
    <w:lvl w:ilvl="2">
      <w:start w:val="1"/>
      <w:numFmt w:val="lowerRoman"/>
      <w:lvlText w:val="%3."/>
      <w:lvlJc w:val="right"/>
      <w:pPr>
        <w:tabs>
          <w:tab w:val="num" w:pos="0"/>
        </w:tabs>
        <w:ind w:left="1233" w:hanging="180"/>
      </w:pPr>
    </w:lvl>
    <w:lvl w:ilvl="3">
      <w:start w:val="1"/>
      <w:numFmt w:val="decimal"/>
      <w:lvlText w:val="%4."/>
      <w:lvlJc w:val="left"/>
      <w:pPr>
        <w:tabs>
          <w:tab w:val="num" w:pos="0"/>
        </w:tabs>
        <w:ind w:left="1953" w:hanging="360"/>
      </w:pPr>
    </w:lvl>
    <w:lvl w:ilvl="4">
      <w:start w:val="1"/>
      <w:numFmt w:val="lowerLetter"/>
      <w:lvlText w:val="%5."/>
      <w:lvlJc w:val="left"/>
      <w:pPr>
        <w:tabs>
          <w:tab w:val="num" w:pos="0"/>
        </w:tabs>
        <w:ind w:left="2673" w:hanging="360"/>
      </w:pPr>
    </w:lvl>
    <w:lvl w:ilvl="5">
      <w:start w:val="1"/>
      <w:numFmt w:val="lowerRoman"/>
      <w:lvlText w:val="%6."/>
      <w:lvlJc w:val="right"/>
      <w:pPr>
        <w:tabs>
          <w:tab w:val="num" w:pos="0"/>
        </w:tabs>
        <w:ind w:left="3393" w:hanging="180"/>
      </w:pPr>
    </w:lvl>
    <w:lvl w:ilvl="6">
      <w:start w:val="1"/>
      <w:numFmt w:val="decimal"/>
      <w:lvlText w:val="%7."/>
      <w:lvlJc w:val="left"/>
      <w:pPr>
        <w:tabs>
          <w:tab w:val="num" w:pos="0"/>
        </w:tabs>
        <w:ind w:left="4113" w:hanging="360"/>
      </w:pPr>
    </w:lvl>
    <w:lvl w:ilvl="7">
      <w:start w:val="1"/>
      <w:numFmt w:val="lowerLetter"/>
      <w:lvlText w:val="%8."/>
      <w:lvlJc w:val="left"/>
      <w:pPr>
        <w:tabs>
          <w:tab w:val="num" w:pos="0"/>
        </w:tabs>
        <w:ind w:left="4833" w:hanging="360"/>
      </w:pPr>
    </w:lvl>
    <w:lvl w:ilvl="8">
      <w:start w:val="1"/>
      <w:numFmt w:val="lowerRoman"/>
      <w:lvlText w:val="%9."/>
      <w:lvlJc w:val="right"/>
      <w:pPr>
        <w:tabs>
          <w:tab w:val="num" w:pos="0"/>
        </w:tabs>
        <w:ind w:left="5553"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77df"/>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pt-BR" w:eastAsia="en-US" w:bidi="ar-SA"/>
    </w:rPr>
  </w:style>
  <w:style w:type="paragraph" w:styleId="Heading1">
    <w:name w:val="Heading 1"/>
    <w:basedOn w:val="Normal"/>
    <w:next w:val="Normal"/>
    <w:link w:val="Ttulo1Char"/>
    <w:autoRedefine/>
    <w:uiPriority w:val="99"/>
    <w:qFormat/>
    <w:rsid w:val="007e46a9"/>
    <w:pPr>
      <w:keepNext w:val="true"/>
      <w:widowControl w:val="false"/>
      <w:numPr>
        <w:ilvl w:val="0"/>
        <w:numId w:val="1"/>
      </w:numPr>
      <w:suppressAutoHyphens w:val="true"/>
      <w:spacing w:lineRule="auto" w:line="360" w:before="0" w:after="0"/>
      <w:jc w:val="both"/>
      <w:outlineLvl w:val="0"/>
    </w:pPr>
    <w:rPr>
      <w:rFonts w:ascii="Times New Roman" w:hAnsi="Times New Roman" w:eastAsia="Arial Unicode MS" w:cs="Arial"/>
      <w:b/>
      <w:bCs/>
      <w:sz w:val="24"/>
      <w:szCs w:val="24"/>
      <w:lang w:eastAsia="ar-SA"/>
    </w:rPr>
  </w:style>
  <w:style w:type="paragraph" w:styleId="Heading2">
    <w:name w:val="Heading 2"/>
    <w:basedOn w:val="Normal"/>
    <w:next w:val="Normal"/>
    <w:link w:val="Ttulo2Char"/>
    <w:autoRedefine/>
    <w:uiPriority w:val="99"/>
    <w:qFormat/>
    <w:rsid w:val="007e46a9"/>
    <w:pPr>
      <w:keepNext w:val="true"/>
      <w:numPr>
        <w:ilvl w:val="1"/>
        <w:numId w:val="1"/>
      </w:numPr>
      <w:suppressAutoHyphens w:val="true"/>
      <w:spacing w:lineRule="auto" w:line="360" w:before="0" w:after="0"/>
      <w:jc w:val="both"/>
      <w:outlineLvl w:val="1"/>
    </w:pPr>
    <w:rPr>
      <w:rFonts w:ascii="Times New Roman" w:hAnsi="Times New Roman" w:eastAsia="Times New Roman"/>
      <w:b/>
      <w:sz w:val="24"/>
      <w:szCs w:val="24"/>
      <w:lang w:eastAsia="ar-SA"/>
    </w:rPr>
  </w:style>
  <w:style w:type="paragraph" w:styleId="Heading3">
    <w:name w:val="Heading 3"/>
    <w:basedOn w:val="Normal"/>
    <w:next w:val="Normal"/>
    <w:link w:val="Ttulo3Char"/>
    <w:autoRedefine/>
    <w:uiPriority w:val="99"/>
    <w:qFormat/>
    <w:rsid w:val="007e46a9"/>
    <w:pPr>
      <w:keepNext w:val="true"/>
      <w:tabs>
        <w:tab w:val="clear" w:pos="708"/>
        <w:tab w:val="left" w:pos="0" w:leader="none"/>
      </w:tabs>
      <w:suppressAutoHyphens w:val="true"/>
      <w:spacing w:lineRule="auto" w:line="360" w:before="0" w:after="0"/>
      <w:jc w:val="both"/>
      <w:outlineLvl w:val="2"/>
    </w:pPr>
    <w:rPr>
      <w:rFonts w:ascii="Times New Roman" w:hAnsi="Times New Roman" w:eastAsia="Times New Roman"/>
      <w:b/>
      <w:bCs/>
      <w:sz w:val="24"/>
      <w:szCs w:val="24"/>
      <w:lang w:eastAsia="ar-SA"/>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4d3b45"/>
    <w:rPr>
      <w:rFonts w:ascii="Times New Roman" w:hAnsi="Times New Roman"/>
      <w:color w:val="0070C0"/>
      <w:sz w:val="22"/>
      <w:u w:val="none"/>
    </w:rPr>
  </w:style>
  <w:style w:type="character" w:styleId="Ttulo1Char" w:customStyle="1">
    <w:name w:val="Título 1 Char"/>
    <w:basedOn w:val="DefaultParagraphFont"/>
    <w:link w:val="Ttulo1"/>
    <w:uiPriority w:val="99"/>
    <w:qFormat/>
    <w:rsid w:val="007e46a9"/>
    <w:rPr>
      <w:rFonts w:ascii="Times New Roman" w:hAnsi="Times New Roman" w:eastAsia="Arial Unicode MS" w:cs="Arial"/>
      <w:b/>
      <w:bCs/>
      <w:sz w:val="24"/>
      <w:szCs w:val="24"/>
      <w:lang w:eastAsia="ar-SA"/>
    </w:rPr>
  </w:style>
  <w:style w:type="character" w:styleId="Ttulo2Char" w:customStyle="1">
    <w:name w:val="Título 2 Char"/>
    <w:basedOn w:val="DefaultParagraphFont"/>
    <w:link w:val="Ttulo2"/>
    <w:uiPriority w:val="99"/>
    <w:qFormat/>
    <w:rsid w:val="007e46a9"/>
    <w:rPr>
      <w:rFonts w:ascii="Times New Roman" w:hAnsi="Times New Roman" w:eastAsia="Times New Roman" w:cs="Times New Roman"/>
      <w:b/>
      <w:sz w:val="24"/>
      <w:szCs w:val="24"/>
      <w:lang w:eastAsia="ar-SA"/>
    </w:rPr>
  </w:style>
  <w:style w:type="character" w:styleId="Ttulo3Char" w:customStyle="1">
    <w:name w:val="Título 3 Char"/>
    <w:basedOn w:val="DefaultParagraphFont"/>
    <w:link w:val="Ttulo3"/>
    <w:uiPriority w:val="99"/>
    <w:qFormat/>
    <w:rsid w:val="007e46a9"/>
    <w:rPr>
      <w:rFonts w:ascii="Times New Roman" w:hAnsi="Times New Roman" w:eastAsia="Times New Roman" w:cs="Times New Roman"/>
      <w:b/>
      <w:bCs/>
      <w:sz w:val="24"/>
      <w:szCs w:val="24"/>
      <w:lang w:eastAsia="ar-SA"/>
    </w:rPr>
  </w:style>
  <w:style w:type="character" w:styleId="TextodecomentrioChar" w:customStyle="1">
    <w:name w:val="Texto de comentário Char"/>
    <w:link w:val="Textodecomentrio"/>
    <w:uiPriority w:val="99"/>
    <w:qFormat/>
    <w:rsid w:val="001d0d37"/>
    <w:rPr/>
  </w:style>
  <w:style w:type="character" w:styleId="Hps" w:customStyle="1">
    <w:name w:val="hps"/>
    <w:basedOn w:val="DefaultParagraphFont"/>
    <w:qFormat/>
    <w:rsid w:val="00a277df"/>
    <w:rPr/>
  </w:style>
  <w:style w:type="character" w:styleId="CabealhoChar" w:customStyle="1">
    <w:name w:val="Cabeçalho Char"/>
    <w:basedOn w:val="DefaultParagraphFont"/>
    <w:link w:val="Cabealho"/>
    <w:uiPriority w:val="99"/>
    <w:qFormat/>
    <w:rsid w:val="00a277df"/>
    <w:rPr>
      <w:rFonts w:ascii="Calibri" w:hAnsi="Calibri" w:eastAsia="Calibri" w:cs="Times New Roman"/>
    </w:rPr>
  </w:style>
  <w:style w:type="character" w:styleId="RodapChar" w:customStyle="1">
    <w:name w:val="Rodapé Char"/>
    <w:basedOn w:val="DefaultParagraphFont"/>
    <w:link w:val="Rodap"/>
    <w:uiPriority w:val="99"/>
    <w:qFormat/>
    <w:rsid w:val="00a277df"/>
    <w:rPr>
      <w:rFonts w:ascii="Calibri" w:hAnsi="Calibri" w:eastAsia="Calibri" w:cs="Times New Roman"/>
    </w:rPr>
  </w:style>
  <w:style w:type="character" w:styleId="Annotationreference">
    <w:name w:val="annotation reference"/>
    <w:uiPriority w:val="99"/>
    <w:unhideWhenUsed/>
    <w:qFormat/>
    <w:rsid w:val="007f3358"/>
    <w:rPr>
      <w:sz w:val="16"/>
      <w:szCs w:val="16"/>
    </w:rPr>
  </w:style>
  <w:style w:type="character" w:styleId="SubttuloChar" w:customStyle="1">
    <w:name w:val="Subtítulo Char"/>
    <w:basedOn w:val="DefaultParagraphFont"/>
    <w:link w:val="Subttulo"/>
    <w:uiPriority w:val="11"/>
    <w:qFormat/>
    <w:rsid w:val="004d3b45"/>
    <w:rPr>
      <w:rFonts w:eastAsia="" w:eastAsiaTheme="minorEastAsia"/>
      <w:color w:val="5A5A5A" w:themeColor="text1" w:themeTint="a5"/>
      <w:spacing w:val="15"/>
    </w:rPr>
  </w:style>
  <w:style w:type="character" w:styleId="AssuntodocomentrioChar" w:customStyle="1">
    <w:name w:val="Assunto do comentário Char"/>
    <w:basedOn w:val="TextodecomentrioChar"/>
    <w:link w:val="Assuntodocomentrio"/>
    <w:uiPriority w:val="99"/>
    <w:semiHidden/>
    <w:qFormat/>
    <w:rsid w:val="00dd053d"/>
    <w:rPr>
      <w:rFonts w:ascii="Calibri" w:hAnsi="Calibri" w:eastAsia="Calibri" w:cs="Times New Roman"/>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decomentrioChar"/>
    <w:autoRedefine/>
    <w:uiPriority w:val="99"/>
    <w:unhideWhenUsed/>
    <w:qFormat/>
    <w:rsid w:val="001d0d37"/>
    <w:pPr>
      <w:jc w:val="both"/>
    </w:pPr>
    <w:rPr>
      <w:rFonts w:ascii="Calibri" w:hAnsi="Calibri" w:eastAsia="Calibri" w:cs="" w:asciiTheme="minorHAnsi" w:cstheme="minorBidi" w:eastAsiaTheme="minorHAnsi" w:hAnsiTheme="minorHAnsi"/>
    </w:rPr>
  </w:style>
  <w:style w:type="paragraph" w:styleId="HeaderandFooter">
    <w:name w:val="Header and Footer"/>
    <w:basedOn w:val="Normal"/>
    <w:qFormat/>
    <w:pPr/>
    <w:rPr/>
  </w:style>
  <w:style w:type="paragraph" w:styleId="Header">
    <w:name w:val="Header"/>
    <w:basedOn w:val="Normal"/>
    <w:link w:val="CabealhoChar"/>
    <w:uiPriority w:val="99"/>
    <w:unhideWhenUsed/>
    <w:rsid w:val="00a277df"/>
    <w:pPr>
      <w:tabs>
        <w:tab w:val="clear" w:pos="708"/>
        <w:tab w:val="center" w:pos="4252" w:leader="none"/>
        <w:tab w:val="right" w:pos="8504" w:leader="none"/>
      </w:tabs>
    </w:pPr>
    <w:rPr/>
  </w:style>
  <w:style w:type="paragraph" w:styleId="Footer">
    <w:name w:val="Footer"/>
    <w:basedOn w:val="Normal"/>
    <w:link w:val="RodapChar"/>
    <w:uiPriority w:val="99"/>
    <w:unhideWhenUsed/>
    <w:rsid w:val="00a277df"/>
    <w:pPr>
      <w:tabs>
        <w:tab w:val="clear" w:pos="708"/>
        <w:tab w:val="center" w:pos="4252" w:leader="none"/>
        <w:tab w:val="right" w:pos="8504" w:leader="none"/>
      </w:tabs>
    </w:pPr>
    <w:rPr/>
  </w:style>
  <w:style w:type="paragraph" w:styleId="Subtitle">
    <w:name w:val="Subtitle"/>
    <w:basedOn w:val="Normal"/>
    <w:next w:val="Normal"/>
    <w:link w:val="SubttuloChar"/>
    <w:uiPriority w:val="11"/>
    <w:qFormat/>
    <w:rsid w:val="004d3b45"/>
    <w:pPr>
      <w:spacing w:before="0" w:after="160"/>
    </w:pPr>
    <w:rPr>
      <w:rFonts w:ascii="Calibri" w:hAnsi="Calibri" w:eastAsia="" w:cs="" w:asciiTheme="minorHAnsi" w:cstheme="minorBidi" w:eastAsiaTheme="minorEastAsia" w:hAnsiTheme="minorHAnsi"/>
      <w:color w:val="5A5A5A" w:themeColor="text1" w:themeTint="a5"/>
      <w:spacing w:val="15"/>
    </w:rPr>
  </w:style>
  <w:style w:type="paragraph" w:styleId="Annotationsubject">
    <w:name w:val="annotation subject"/>
    <w:basedOn w:val="Annotationtext"/>
    <w:next w:val="Annotationtext"/>
    <w:link w:val="AssuntodocomentrioChar"/>
    <w:uiPriority w:val="99"/>
    <w:semiHidden/>
    <w:unhideWhenUsed/>
    <w:qFormat/>
    <w:rsid w:val="00dd053d"/>
    <w:pPr>
      <w:spacing w:lineRule="auto" w:line="240"/>
      <w:jc w:val="left"/>
    </w:pPr>
    <w:rPr>
      <w:rFonts w:ascii="Calibri" w:hAnsi="Calibri" w:eastAsia="Calibri" w:cs="Times New Roman"/>
      <w:b/>
      <w:bCs/>
      <w:sz w:val="20"/>
      <w:szCs w:val="20"/>
    </w:rPr>
  </w:style>
  <w:style w:type="paragraph" w:styleId="PARAGRAPH" w:customStyle="1">
    <w:name w:val="PARAGRAPH"/>
    <w:basedOn w:val="Normal"/>
    <w:qFormat/>
    <w:rsid w:val="003877d1"/>
    <w:pPr>
      <w:widowControl w:val="false"/>
      <w:spacing w:lineRule="exact" w:line="230" w:before="0" w:after="0"/>
      <w:ind w:firstLine="240"/>
      <w:jc w:val="both"/>
    </w:pPr>
    <w:rPr>
      <w:rFonts w:ascii="Palatino" w:hAnsi="Palatino" w:eastAsia="Times New Roman"/>
      <w:kern w:val="2"/>
      <w:sz w:val="19"/>
      <w:szCs w:val="20"/>
      <w:lang w:val="en-US"/>
    </w:rPr>
  </w:style>
  <w:style w:type="paragraph" w:styleId="ListParagraph">
    <w:name w:val="List Paragraph"/>
    <w:basedOn w:val="Normal"/>
    <w:uiPriority w:val="34"/>
    <w:qFormat/>
    <w:rsid w:val="003877d1"/>
    <w:pPr>
      <w:spacing w:before="0" w:after="200"/>
      <w:ind w:left="720" w:hanging="0"/>
      <w:contextualSpacing/>
    </w:pPr>
    <w:rPr/>
  </w:style>
  <w:style w:type="paragraph" w:styleId="PARAGRAPHnoindent" w:customStyle="1">
    <w:name w:val="PARAGRAPH (no indent)"/>
    <w:basedOn w:val="PARAGRAPH"/>
    <w:next w:val="PARAGRAPH"/>
    <w:qFormat/>
    <w:rsid w:val="00eb6d12"/>
    <w:pPr>
      <w:ind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eladeGrade4-nfase51">
    <w:name w:val="Tabela de Grade 4 - Ênfase 51"/>
    <w:basedOn w:val="Tabelanormal"/>
    <w:uiPriority w:val="49"/>
    <w:rsid w:val="006c6d87"/>
    <w:pPr>
      <w:spacing w:after="0" w:line="240" w:lineRule="auto"/>
    </w:pPr>
    <w:rPr>
      <w:lang w:eastAsia="pt-BR"/>
      <w:szCs w:val="20"/>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auto"/>
        <w:sz w:val="22"/>
      </w:rPr>
      <w:tblPr/>
      <w:tcPr>
        <w:shd w:val="clear" w:color="auto" w:fill="00AAD4"/>
      </w:tcPr>
    </w:tblStylePr>
    <w:tblStylePr w:type="lastRow">
      <w:rPr>
        <w:b w:val="0"/>
        <w:bCs/>
        <w:sz w:val="22"/>
      </w:rPr>
      <w:tblPr/>
      <w:tcPr>
        <w:shd w:val="clear" w:color="auto" w:fill="FFFFFF" w:themeFill="background1"/>
      </w:tcPr>
    </w:tblStylePr>
    <w:tblStylePr w:type="firstCol">
      <w:rPr>
        <w:b w:val="0"/>
        <w:bCs/>
        <w:sz w:val="22"/>
      </w:rPr>
      <w:tblPr/>
      <w:tcPr>
        <w:shd w:val="clear" w:color="auto" w:fill="FFFFFF" w:themeFill="background1"/>
      </w:tcPr>
    </w:tblStylePr>
    <w:tblStylePr w:type="lastCol">
      <w:rPr>
        <w:b w:val="0"/>
        <w:bCs/>
        <w:sz w:val="22"/>
      </w:rPr>
      <w:tblPr/>
      <w:tcPr>
        <w:shd w:val="clear" w:color="auto" w:fill="FFFFFF" w:themeFill="background1"/>
      </w:tcPr>
    </w:tblStylePr>
    <w:tblStylePr w:type="band1Vert">
      <w:rPr>
        <w:color w:val="auto"/>
        <w:sz w:val="22"/>
      </w:rPr>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microsoft.com/office/2007/relationships/hdphoto" Target="media/hdphoto1.wdp"/><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microsoft.com/office/2007/relationships/hdphoto" Target="media/hdphoto2.wdp"/><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microsoft.com/office/2007/relationships/hdphoto" Target="media/hdphoto3.wdp"/><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microsoft.com/office/2007/relationships/hdphoto" Target="media/hdphoto4.wdp"/><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revista.iq.unesp.br/ojs/index.php/ecletica/index" TargetMode="Externa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102BC-0A5E-4467-9308-5AD90B3F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5695</TotalTime>
  <Application>LibreOffice/6.4.7.2$Linux_X86_64 LibreOffice_project/40$Build-2</Application>
  <Pages>19</Pages>
  <Words>5555</Words>
  <Characters>28994</Characters>
  <CharactersWithSpaces>34234</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2022-10-08T18:54:00Z</dcterms:created>
  <dc:creator>Microsoft Word</dc:creator>
  <dc:description/>
  <dc:language>en-US</dc:language>
  <cp:lastModifiedBy/>
  <dcterms:modified xsi:type="dcterms:W3CDTF">2023-01-25T21:01:47Z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Unique User Id_1">
    <vt:lpwstr>1fe4eaa2-2fa5-34e4-877a-47e2fed2c8d6</vt:lpwstr>
  </property>
  <property fmtid="{D5CDD505-2E9C-101B-9397-08002B2CF9AE}" pid="9" name="ScaleCrop">
    <vt:bool>0</vt:bool>
  </property>
  <property fmtid="{D5CDD505-2E9C-101B-9397-08002B2CF9AE}" pid="10" name="ShareDoc">
    <vt:bool>0</vt:bool>
  </property>
</Properties>
</file>