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992"/>
        <w:gridCol w:w="851"/>
        <w:gridCol w:w="850"/>
        <w:gridCol w:w="1134"/>
        <w:gridCol w:w="993"/>
        <w:gridCol w:w="1847"/>
      </w:tblGrid>
      <w:tr w:rsidR="00092A47" w:rsidRPr="005B0A19" w14:paraId="1F5F042A" w14:textId="77777777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14:paraId="7AAECF98" w14:textId="77777777"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  <w:r w:rsidR="00F6686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1</w:t>
            </w:r>
          </w:p>
        </w:tc>
      </w:tr>
      <w:tr w:rsidR="00DC33CA" w:rsidRPr="005B0A19" w14:paraId="38B7A3F6" w14:textId="77777777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14:paraId="1B2F822C" w14:textId="77777777"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F6686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F6686E"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8:30 a.m</w:t>
            </w:r>
            <w:r w:rsid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4824" w:type="dxa"/>
            <w:gridSpan w:val="4"/>
            <w:vAlign w:val="center"/>
          </w:tcPr>
          <w:p w14:paraId="08A18D55" w14:textId="77777777"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F6686E"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enero de 2019</w:t>
            </w:r>
          </w:p>
        </w:tc>
      </w:tr>
      <w:tr w:rsidR="000D12B2" w:rsidRPr="005B0A19" w14:paraId="5A9D13DA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819E30A" w14:textId="77777777"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14:paraId="1427EC33" w14:textId="77777777" w:rsidR="000D12B2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Subdirección de Operación de la Atención a la Primera Infancia</w:t>
            </w:r>
          </w:p>
        </w:tc>
      </w:tr>
      <w:tr w:rsidR="000D12B2" w:rsidRPr="005B0A19" w14:paraId="5519C737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70F7C4B" w14:textId="77777777"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14:paraId="08202AE2" w14:textId="77777777" w:rsidR="000D12B2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Grupo Financiero de la Dirección de Primera Infancia- DPI</w:t>
            </w:r>
          </w:p>
        </w:tc>
      </w:tr>
      <w:tr w:rsidR="000D12B2" w:rsidRPr="005B0A19" w14:paraId="5FC64C08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8FC5BC6" w14:textId="77777777"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14:paraId="6459B01E" w14:textId="77777777" w:rsidR="000D12B2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</w:t>
            </w:r>
          </w:p>
        </w:tc>
      </w:tr>
      <w:tr w:rsidR="0040411F" w:rsidRPr="005B0A19" w14:paraId="7EC51836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55FC6A4" w14:textId="77777777"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14:paraId="56546575" w14:textId="77777777" w:rsidR="0040411F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Definir 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rutas y soportes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necesarios para solicitar a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probaciones y traslados presupuestales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2019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los temas de i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nfraestructura y dotaciones</w:t>
            </w:r>
          </w:p>
        </w:tc>
      </w:tr>
      <w:tr w:rsidR="00672D98" w:rsidRPr="005B0A19" w14:paraId="1F4C66CB" w14:textId="77777777" w:rsidTr="001F36C2">
        <w:trPr>
          <w:trHeight w:val="363"/>
        </w:trPr>
        <w:tc>
          <w:tcPr>
            <w:tcW w:w="9752" w:type="dxa"/>
            <w:gridSpan w:val="8"/>
          </w:tcPr>
          <w:p w14:paraId="6A3EC03B" w14:textId="77777777"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14:paraId="046197F1" w14:textId="77777777" w:rsidR="002D758B" w:rsidRDefault="00024BFE" w:rsidP="00024BF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Presentación de la temática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2F0E995F" w14:textId="77777777" w:rsidR="00975D09" w:rsidRDefault="00024BFE" w:rsidP="00975D0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Establecimiento de ruta de Infraestructura y soportes.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  <w:p w14:paraId="5E1E9A6A" w14:textId="77777777" w:rsidR="00975D09" w:rsidRDefault="00975D09" w:rsidP="00975D0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Revisión de </w:t>
            </w:r>
            <w:r w:rsidR="0098256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uta y soportes del tema de dotaciones.</w:t>
            </w:r>
          </w:p>
          <w:p w14:paraId="5716CA98" w14:textId="77777777" w:rsidR="00024BFE" w:rsidRPr="00024BFE" w:rsidRDefault="00F6686E" w:rsidP="00F6686E">
            <w:pPr>
              <w:pStyle w:val="Prrafodelista"/>
              <w:ind w:left="72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Decisiones y Compromisos</w:t>
            </w:r>
          </w:p>
          <w:p w14:paraId="20670D40" w14:textId="77777777"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2C741689" w14:textId="77777777" w:rsidR="00C5508F" w:rsidRPr="00C5508F" w:rsidRDefault="00DC33CA" w:rsidP="00C5508F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Desarrollo</w:t>
            </w:r>
            <w:r w:rsidR="00C5508F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y Decisiones: </w:t>
            </w:r>
          </w:p>
          <w:p w14:paraId="7C9147C7" w14:textId="77777777" w:rsidR="00024BFE" w:rsidRDefault="00024BFE" w:rsidP="00024BF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Presentación de la temática.</w:t>
            </w:r>
          </w:p>
          <w:p w14:paraId="6C7B9E78" w14:textId="77777777" w:rsidR="00F6686E" w:rsidRDefault="00F6686E" w:rsidP="00F6686E">
            <w:pPr>
              <w:pStyle w:val="Prrafodelista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hace presentación del contexto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y objetivo de la mesa de trabajo respecto a las rutas y soportes necesarios para tramitar las a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probaciones y traslados presupuestales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en 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2019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los temas de i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nfraestructura y dotaciones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5D7B4120" w14:textId="77777777" w:rsidR="00F6686E" w:rsidRPr="00F6686E" w:rsidRDefault="00F6686E" w:rsidP="00F6686E">
            <w:pPr>
              <w:pStyle w:val="Prrafodelista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5C7E593E" w14:textId="77777777" w:rsidR="00024BFE" w:rsidRDefault="00024BFE" w:rsidP="00024BF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Establecimiento de ruta de Infraestructura y soportes</w:t>
            </w:r>
          </w:p>
          <w:p w14:paraId="76327996" w14:textId="77777777" w:rsidR="002D758B" w:rsidRDefault="00C5508F" w:rsidP="00024BFE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establece que la</w:t>
            </w:r>
            <w:r w:rsidR="00024BFE" w:rsidRP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 solicitudes se centrali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ce</w:t>
            </w:r>
            <w:r w:rsidR="00024BFE" w:rsidRP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n recibidas en el </w:t>
            </w:r>
            <w:r w:rsidRPr="00B556F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</w:t>
            </w:r>
            <w:r w:rsidR="00024BFE" w:rsidRPr="00B556F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quipo de Infraestructura y </w:t>
            </w:r>
            <w:r w:rsidRPr="00B556F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</w:t>
            </w:r>
            <w:r w:rsidR="00024BFE" w:rsidRPr="00B556F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otaci</w:t>
            </w:r>
            <w:r w:rsidR="00954661" w:rsidRPr="00B556F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</w:t>
            </w:r>
            <w:r w:rsidR="00024BFE" w:rsidRPr="00B556F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</w:t>
            </w:r>
            <w:r w:rsidR="00954661" w:rsidRPr="00B556F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que 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revisará con el Grupo de Infraestructura Inmobiliaria de la Dirección Administrativa, el cumplimiento de los requisitos de la infraestructura y remit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irá la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aprobación 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 Dirección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Administrativa y al Grupo Financiero (María Carolina </w:t>
            </w:r>
            <w:proofErr w:type="spellStart"/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Uscátegui</w:t>
            </w:r>
            <w:proofErr w:type="spellEnd"/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), con copia al asesor territorial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que corresponda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0F45BDA5" w14:textId="5C0E0D6F" w:rsidR="00024BFE" w:rsidRDefault="00C5508F" w:rsidP="00024BFE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el caso de s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olicitudes de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recursos para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adecuaciones,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también serán recibidas en el </w:t>
            </w:r>
            <w:r w:rsidRPr="00B556F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Equipo de Infraestructura y Dotaci</w:t>
            </w:r>
            <w:r w:rsidR="00954661" w:rsidRPr="00B556F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</w:t>
            </w:r>
            <w:r w:rsidRPr="00B556F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</w:t>
            </w:r>
            <w:r w:rsidR="00954661" w:rsidRPr="00B556F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que solicitará los soportes a la Regional y los datos de presupuestos para determinar la consecución de recursos con otros </w:t>
            </w:r>
            <w:proofErr w:type="spellStart"/>
            <w:proofErr w:type="gram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aportantes.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Estas</w:t>
            </w:r>
            <w:proofErr w:type="spellEnd"/>
            <w:proofErr w:type="gramEnd"/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solicitudes se irán consolidando para tramitarl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durante l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vigencia 20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20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018912E6" w14:textId="77777777" w:rsidR="00024BFE" w:rsidRPr="00975D09" w:rsidRDefault="00024BFE" w:rsidP="00975D0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Revisión de </w:t>
            </w:r>
            <w:r w:rsidR="00982566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</w:t>
            </w: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uta y soportes del tema de dotaciones.</w:t>
            </w:r>
          </w:p>
          <w:p w14:paraId="02A6BEA0" w14:textId="77777777" w:rsidR="002D758B" w:rsidRDefault="00832D06" w:rsidP="00975D09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las necesidades de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reposición de</w:t>
            </w: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dotación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que tengan las regionales, dada la disponibilidad del recurso, se tramitará de acuerdo con las orientaciones ya establecidas para contratos de aporte en la Guía Orientadora de compra de Dotaciones.</w:t>
            </w:r>
          </w:p>
          <w:p w14:paraId="51EBB506" w14:textId="77777777" w:rsidR="00975D09" w:rsidRDefault="00975D09" w:rsidP="00975D09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la solicitud de recursos de dotaciones de n</w:t>
            </w:r>
            <w:r w:rsidR="00832D06"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uevas Infraestructuras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solicitará a cada Regional los siguientes soportes:</w:t>
            </w:r>
          </w:p>
          <w:p w14:paraId="5A8C95A8" w14:textId="77777777" w:rsidR="00975D09" w:rsidRDefault="00832D06" w:rsidP="00975D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Acta de verificación del referente de infraestructura de la regional y certificado de focalización</w:t>
            </w:r>
          </w:p>
          <w:p w14:paraId="5E5643E4" w14:textId="77777777" w:rsidR="00975D09" w:rsidRDefault="00832D06" w:rsidP="00975D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Acta de comité estratégico y cargue en SIM para los recursos de operación.</w:t>
            </w:r>
          </w:p>
          <w:p w14:paraId="1FCE8461" w14:textId="77777777" w:rsidR="00B556F3" w:rsidRDefault="00832D06" w:rsidP="00B556F3">
            <w:pPr>
              <w:pStyle w:val="Prrafodelista"/>
              <w:numPr>
                <w:ilvl w:val="0"/>
                <w:numId w:val="17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lastRenderedPageBreak/>
              <w:t>Justificación escrita del Centro zonal en el que se verifique el estado de la adquisición de la dotación y el inventario de los elementos que se hayan adquirido y descripción de las gestiones fallidas con otros aportantes para gestionar los recursos desde la DPI.</w:t>
            </w:r>
          </w:p>
          <w:p w14:paraId="325055B6" w14:textId="640B96C5" w:rsidR="00B556F3" w:rsidRPr="00B556F3" w:rsidRDefault="00B556F3" w:rsidP="00B556F3">
            <w:pPr>
              <w:pStyle w:val="Prrafodelista"/>
              <w:numPr>
                <w:ilvl w:val="0"/>
                <w:numId w:val="17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B556F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Los demás soportes definidos en las orientaciones operativas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Pr="00B556F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incluidas en la </w:t>
            </w:r>
            <w:r w:rsidRPr="00B556F3">
              <w:rPr>
                <w:rFonts w:ascii="Arial Narrow" w:hAnsi="Arial Narrow" w:cs="Calibri"/>
                <w:i/>
                <w:iCs/>
                <w:color w:val="006FC9"/>
                <w:sz w:val="22"/>
                <w:szCs w:val="22"/>
                <w:lang w:eastAsia="es-CO"/>
              </w:rPr>
              <w:t>g10.pp_guia_orientadora_para_la_compra_de_la_dotacion_para_las_modalidades_de_educacion_inicial_en_el_marco_de_una_atencion_integral_v</w:t>
            </w:r>
            <w:proofErr w:type="gramStart"/>
            <w:r w:rsidRPr="00B556F3">
              <w:rPr>
                <w:rFonts w:ascii="Arial Narrow" w:hAnsi="Arial Narrow" w:cs="Calibri"/>
                <w:i/>
                <w:iCs/>
                <w:color w:val="006FC9"/>
                <w:sz w:val="22"/>
                <w:szCs w:val="22"/>
                <w:lang w:eastAsia="es-CO"/>
              </w:rPr>
              <w:t>4, </w:t>
            </w:r>
            <w:r w:rsidRPr="00B556F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 página</w:t>
            </w:r>
            <w:proofErr w:type="gramEnd"/>
            <w:r w:rsidRPr="00B556F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15 a 20,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correspondientes con</w:t>
            </w:r>
            <w:r w:rsidRPr="00B556F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  <w:r w:rsidRPr="00B556F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la </w:t>
            </w:r>
            <w:r w:rsidRPr="00B556F3">
              <w:rPr>
                <w:rFonts w:ascii="Arial Narrow" w:hAnsi="Arial Narrow" w:cs="Calibri"/>
                <w:i/>
                <w:color w:val="000000"/>
                <w:sz w:val="22"/>
                <w:szCs w:val="22"/>
                <w:lang w:eastAsia="es-CO"/>
              </w:rPr>
              <w:t>Adquisición de dotaciones con recursos ICBF, en el marco de contratos de aporte</w:t>
            </w:r>
            <w:r w:rsidRPr="00B556F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.</w:t>
            </w:r>
          </w:p>
          <w:p w14:paraId="38293113" w14:textId="77777777" w:rsidR="00C5508F" w:rsidRPr="00A8245A" w:rsidRDefault="00C5508F" w:rsidP="00C5508F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  <w:r w:rsidRP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Finalizada la reunión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</w:t>
            </w:r>
            <w:r w:rsidRP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establecen los siguientes compromisos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</w:t>
            </w:r>
          </w:p>
        </w:tc>
      </w:tr>
      <w:tr w:rsidR="00672D98" w:rsidRPr="005B0A19" w14:paraId="7CB5E503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511038C3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14:paraId="765E6176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840" w:type="dxa"/>
            <w:gridSpan w:val="2"/>
            <w:vAlign w:val="center"/>
          </w:tcPr>
          <w:p w14:paraId="1DCDD6CB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14:paraId="46542B8A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691F97ED" w14:textId="77777777" w:rsidR="00672D98" w:rsidRPr="005B0A19" w:rsidRDefault="003170D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Compartir con Dotaciones y financiera los</w:t>
            </w:r>
            <w:r w:rsidR="00832D0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soportes del CDI Apartadó</w:t>
            </w:r>
          </w:p>
        </w:tc>
        <w:tc>
          <w:tcPr>
            <w:tcW w:w="2835" w:type="dxa"/>
            <w:gridSpan w:val="3"/>
            <w:vAlign w:val="center"/>
          </w:tcPr>
          <w:p w14:paraId="7C145867" w14:textId="77777777" w:rsidR="00797CB7" w:rsidRPr="005B0A19" w:rsidRDefault="00832D06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840" w:type="dxa"/>
            <w:gridSpan w:val="2"/>
            <w:vAlign w:val="center"/>
          </w:tcPr>
          <w:p w14:paraId="33906A8B" w14:textId="40D925E6" w:rsidR="00672D98" w:rsidRPr="005B0A19" w:rsidRDefault="00832D06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de enero de 2019</w:t>
            </w:r>
            <w:r w:rsidR="00B556F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 Cumplido</w:t>
            </w:r>
          </w:p>
        </w:tc>
      </w:tr>
      <w:tr w:rsidR="00CD442E" w:rsidRPr="005B0A19" w14:paraId="080C874C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26172D31" w14:textId="77777777" w:rsidR="00CD442E" w:rsidRPr="005B0A19" w:rsidRDefault="00832D06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Consolidado de infraestructuras identificadas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para gestionar dotación con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el Fondo Abu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Dabhi</w:t>
            </w:r>
            <w:proofErr w:type="spellEnd"/>
          </w:p>
        </w:tc>
        <w:tc>
          <w:tcPr>
            <w:tcW w:w="2835" w:type="dxa"/>
            <w:gridSpan w:val="3"/>
            <w:vAlign w:val="center"/>
          </w:tcPr>
          <w:p w14:paraId="622D8565" w14:textId="77777777"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840" w:type="dxa"/>
            <w:gridSpan w:val="2"/>
            <w:vAlign w:val="center"/>
          </w:tcPr>
          <w:p w14:paraId="0763504E" w14:textId="348044B5"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de enero de 2019</w:t>
            </w:r>
            <w:r w:rsidR="00B556F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 Pendiente</w:t>
            </w:r>
          </w:p>
        </w:tc>
      </w:tr>
      <w:tr w:rsidR="00B556F3" w:rsidRPr="005B0A19" w14:paraId="46E3E097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3C5D69AA" w14:textId="7B5EB49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Revisión del caso CDI Apartadó recursos de dotación con base en soportes de infraestructura.</w:t>
            </w:r>
          </w:p>
        </w:tc>
        <w:tc>
          <w:tcPr>
            <w:tcW w:w="2835" w:type="dxa"/>
            <w:gridSpan w:val="3"/>
            <w:vAlign w:val="center"/>
          </w:tcPr>
          <w:p w14:paraId="66AB6BDB" w14:textId="7B43055B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María Carolina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Uscátegui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Derly Fajardo y Paula Ospina.</w:t>
            </w:r>
          </w:p>
        </w:tc>
        <w:tc>
          <w:tcPr>
            <w:tcW w:w="2840" w:type="dxa"/>
            <w:gridSpan w:val="2"/>
            <w:vAlign w:val="center"/>
          </w:tcPr>
          <w:p w14:paraId="5955AD3D" w14:textId="553161AD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Reunión martes 8 de enero de 2019- Cumplido</w:t>
            </w:r>
          </w:p>
        </w:tc>
      </w:tr>
      <w:tr w:rsidR="00B556F3" w:rsidRPr="005B0A19" w14:paraId="0C841456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21B95C13" w14:textId="6AFCAEA3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Revisión de orientaciones para solicitud de recursos de dotaciones y dotación inicial con el fin de dirigirlos a los asesores regionales para que sea transmitido a las Regionales</w:t>
            </w:r>
          </w:p>
        </w:tc>
        <w:tc>
          <w:tcPr>
            <w:tcW w:w="2835" w:type="dxa"/>
            <w:gridSpan w:val="3"/>
            <w:vAlign w:val="center"/>
          </w:tcPr>
          <w:p w14:paraId="5F0E17B2" w14:textId="7AC495C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Andrea Ospina</w:t>
            </w:r>
          </w:p>
        </w:tc>
        <w:tc>
          <w:tcPr>
            <w:tcW w:w="2840" w:type="dxa"/>
            <w:gridSpan w:val="2"/>
            <w:vAlign w:val="center"/>
          </w:tcPr>
          <w:p w14:paraId="3AAFFCDA" w14:textId="62B2E92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Miércoles 9 de enero de 2019- Cumplido</w:t>
            </w:r>
          </w:p>
        </w:tc>
      </w:tr>
      <w:tr w:rsidR="00B556F3" w:rsidRPr="005B0A19" w14:paraId="52724773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63AF229C" w14:textId="1E220868" w:rsidR="00B556F3" w:rsidRPr="005B0A19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Elaboración comunicación con orientaciones para solicitud de recursos para infraestructura y dotaciones con el fin de dirigirlos a las Direcciones Regionales y asesores territoriales de la SOAPI.</w:t>
            </w:r>
          </w:p>
        </w:tc>
        <w:tc>
          <w:tcPr>
            <w:tcW w:w="2835" w:type="dxa"/>
            <w:gridSpan w:val="3"/>
            <w:vAlign w:val="center"/>
          </w:tcPr>
          <w:p w14:paraId="50CF96C2" w14:textId="24B78188" w:rsidR="00B556F3" w:rsidRPr="005B0A19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de infraestructura y Dotaciones</w:t>
            </w:r>
          </w:p>
        </w:tc>
        <w:tc>
          <w:tcPr>
            <w:tcW w:w="2840" w:type="dxa"/>
            <w:gridSpan w:val="2"/>
            <w:vAlign w:val="center"/>
          </w:tcPr>
          <w:p w14:paraId="46D77362" w14:textId="5761064E" w:rsidR="00B556F3" w:rsidRPr="005B0A19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29 de enero de 2019- Cumplido</w:t>
            </w:r>
          </w:p>
        </w:tc>
      </w:tr>
      <w:tr w:rsidR="00B556F3" w:rsidRPr="005B0A19" w14:paraId="59E7D399" w14:textId="77777777" w:rsidTr="00BC24F9">
        <w:trPr>
          <w:trHeight w:val="340"/>
        </w:trPr>
        <w:tc>
          <w:tcPr>
            <w:tcW w:w="9752" w:type="dxa"/>
            <w:gridSpan w:val="8"/>
            <w:vAlign w:val="center"/>
          </w:tcPr>
          <w:p w14:paraId="7345DACD" w14:textId="77777777" w:rsidR="00B556F3" w:rsidRPr="005B0A19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B556F3" w:rsidRPr="005B0A19" w14:paraId="43FFB390" w14:textId="77777777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14:paraId="2DAD686E" w14:textId="77777777" w:rsidR="00B556F3" w:rsidRDefault="00B556F3" w:rsidP="00B556F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  <w:p w14:paraId="708C0140" w14:textId="77777777" w:rsidR="00B556F3" w:rsidRDefault="00B556F3" w:rsidP="00B556F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Se adjunta listado de asistentes</w:t>
            </w:r>
          </w:p>
          <w:p w14:paraId="4618E46B" w14:textId="77777777" w:rsidR="00B556F3" w:rsidRPr="00975F35" w:rsidRDefault="00B556F3" w:rsidP="00B556F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B556F3" w:rsidRPr="005B0A19" w14:paraId="2032C96E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43987B39" w14:textId="77777777" w:rsidR="00B556F3" w:rsidRPr="001F36C2" w:rsidRDefault="00B556F3" w:rsidP="00B556F3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14:paraId="4BBC005D" w14:textId="77777777" w:rsidR="00B556F3" w:rsidRPr="001F36C2" w:rsidRDefault="00B556F3" w:rsidP="00B556F3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14:paraId="0666D4A4" w14:textId="77777777" w:rsidR="00B556F3" w:rsidRPr="001F36C2" w:rsidRDefault="00B556F3" w:rsidP="00B556F3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14:paraId="31F85DCA" w14:textId="77777777" w:rsidR="00B556F3" w:rsidRPr="001F36C2" w:rsidRDefault="00B556F3" w:rsidP="00B556F3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B556F3" w:rsidRPr="005B0A19" w14:paraId="2297633B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57663988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07B9F592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040E8961" w14:textId="77777777" w:rsidR="00B556F3" w:rsidRPr="005B0A19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3CB90F94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B556F3" w:rsidRPr="005B0A19" w14:paraId="68A92A3C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2A8F7672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5CBFB14E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4101D886" w14:textId="77777777" w:rsidR="00B556F3" w:rsidRPr="005B0A19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7EDC68B0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B556F3" w:rsidRPr="005B0A19" w14:paraId="59B8B715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3CC63B34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1BDA19F4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192253E0" w14:textId="77777777" w:rsidR="00B556F3" w:rsidRPr="005B0A19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54F86E9F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B556F3" w:rsidRPr="005B0A19" w14:paraId="59F87640" w14:textId="77777777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14:paraId="1E547AFF" w14:textId="77777777" w:rsidR="00B556F3" w:rsidRPr="001F36C2" w:rsidRDefault="00B556F3" w:rsidP="00B556F3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:</w:t>
            </w:r>
          </w:p>
        </w:tc>
        <w:tc>
          <w:tcPr>
            <w:tcW w:w="2693" w:type="dxa"/>
            <w:gridSpan w:val="3"/>
            <w:vAlign w:val="center"/>
          </w:tcPr>
          <w:p w14:paraId="29FF3E5D" w14:textId="77777777" w:rsidR="00B556F3" w:rsidRPr="001F36C2" w:rsidRDefault="00B556F3" w:rsidP="00B556F3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14:paraId="40083254" w14:textId="77777777" w:rsidR="00B556F3" w:rsidRPr="001F36C2" w:rsidRDefault="00B556F3" w:rsidP="00B556F3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14:paraId="157F915E" w14:textId="77777777" w:rsidR="00B556F3" w:rsidRPr="001F36C2" w:rsidRDefault="00B556F3" w:rsidP="00B556F3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B556F3" w:rsidRPr="005B0A19" w14:paraId="763FF898" w14:textId="77777777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14:paraId="2BDD4A72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37DBF0B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enero de 2018</w:t>
            </w:r>
          </w:p>
        </w:tc>
        <w:tc>
          <w:tcPr>
            <w:tcW w:w="2127" w:type="dxa"/>
            <w:gridSpan w:val="2"/>
            <w:vAlign w:val="center"/>
          </w:tcPr>
          <w:p w14:paraId="6A16FBB6" w14:textId="62EE32FA" w:rsidR="00B556F3" w:rsidRPr="005B0A19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3:00 p.m.</w:t>
            </w:r>
          </w:p>
        </w:tc>
        <w:tc>
          <w:tcPr>
            <w:tcW w:w="1847" w:type="dxa"/>
            <w:vAlign w:val="center"/>
          </w:tcPr>
          <w:p w14:paraId="0EC3527B" w14:textId="77777777" w:rsidR="00B556F3" w:rsidRDefault="00B556F3" w:rsidP="00B556F3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Ofc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 Grupo Financiero</w:t>
            </w:r>
          </w:p>
        </w:tc>
      </w:tr>
    </w:tbl>
    <w:p w14:paraId="0F30DD1A" w14:textId="77777777"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bookmarkStart w:id="0" w:name="_GoBack"/>
      <w:bookmarkEnd w:id="0"/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609EE7EA" wp14:editId="4B33E20F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8297A" w14:textId="77777777" w:rsidR="003637D0" w:rsidRDefault="003637D0">
      <w:r>
        <w:separator/>
      </w:r>
    </w:p>
  </w:endnote>
  <w:endnote w:type="continuationSeparator" w:id="0">
    <w:p w14:paraId="314D7F63" w14:textId="77777777" w:rsidR="003637D0" w:rsidRDefault="0036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553D0" w14:textId="77777777" w:rsidR="00FC2E9B" w:rsidRDefault="00FC2E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E403F" w14:textId="77777777"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12E79" wp14:editId="7880B012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B33B25C" w14:textId="77777777"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14:paraId="094E6ED5" w14:textId="77777777"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14:paraId="20FE9B27" w14:textId="77777777"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14:paraId="6292DC5E" w14:textId="77777777"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14:paraId="371CDAA4" w14:textId="77777777"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BEFAAC1" wp14:editId="3476B702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49579C2C" wp14:editId="410F12A9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="00050B8E" w:rsidRPr="00050B8E">
      <w:rPr>
        <w:rFonts w:ascii="Arial" w:hAnsi="Arial" w:cs="Arial"/>
        <w:sz w:val="12"/>
        <w:szCs w:val="12"/>
      </w:rPr>
      <w:t>DE ACUERDO A</w:t>
    </w:r>
    <w:proofErr w:type="gramEnd"/>
    <w:r w:rsidR="00050B8E"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78E9A" w14:textId="77777777" w:rsidR="00FC2E9B" w:rsidRDefault="00FC2E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67120" w14:textId="77777777" w:rsidR="003637D0" w:rsidRDefault="003637D0">
      <w:r>
        <w:separator/>
      </w:r>
    </w:p>
  </w:footnote>
  <w:footnote w:type="continuationSeparator" w:id="0">
    <w:p w14:paraId="285B809C" w14:textId="77777777" w:rsidR="003637D0" w:rsidRDefault="00363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C2F48" w14:textId="77777777" w:rsidR="006412F8" w:rsidRDefault="003637D0">
    <w:pPr>
      <w:pStyle w:val="Encabezado"/>
    </w:pPr>
    <w:r>
      <w:rPr>
        <w:noProof/>
      </w:rPr>
      <w:pict w14:anchorId="039723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479"/>
      <w:gridCol w:w="3469"/>
      <w:gridCol w:w="1271"/>
      <w:gridCol w:w="1695"/>
      <w:gridCol w:w="1772"/>
    </w:tblGrid>
    <w:tr w:rsidR="00C23AC0" w:rsidRPr="00624C3C" w14:paraId="73D009D4" w14:textId="77777777" w:rsidTr="00C23AC0">
      <w:trPr>
        <w:cantSplit/>
        <w:trHeight w:val="928"/>
      </w:trPr>
      <w:tc>
        <w:tcPr>
          <w:tcW w:w="766" w:type="pct"/>
          <w:vMerge w:val="restart"/>
        </w:tcPr>
        <w:p w14:paraId="7C700602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75648" behindDoc="0" locked="0" layoutInCell="1" allowOverlap="1" wp14:anchorId="583B6E2D" wp14:editId="7AFE96A6">
                <wp:simplePos x="0" y="0"/>
                <wp:positionH relativeFrom="column">
                  <wp:posOffset>-19685</wp:posOffset>
                </wp:positionH>
                <wp:positionV relativeFrom="paragraph">
                  <wp:posOffset>50800</wp:posOffset>
                </wp:positionV>
                <wp:extent cx="885825" cy="1062745"/>
                <wp:effectExtent l="0" t="0" r="0" b="4445"/>
                <wp:wrapNone/>
                <wp:docPr id="26" name="Imagen 26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93" w:type="pct"/>
          <w:vMerge w:val="restart"/>
          <w:vAlign w:val="center"/>
        </w:tcPr>
        <w:p w14:paraId="70A37E00" w14:textId="77777777"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14:paraId="4B25A8D4" w14:textId="77777777"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14:paraId="7ECABD54" w14:textId="77777777"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42CE4A6F" w14:textId="77777777"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</w:tc>
      <w:tc>
        <w:tcPr>
          <w:tcW w:w="658" w:type="pct"/>
          <w:vAlign w:val="center"/>
        </w:tcPr>
        <w:p w14:paraId="7F0A552B" w14:textId="77777777" w:rsidR="00B225ED" w:rsidRPr="00624C3C" w:rsidRDefault="00D208C3" w:rsidP="00D208C3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="00FC2E9B"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77" w:type="pct"/>
          <w:vAlign w:val="center"/>
        </w:tcPr>
        <w:p w14:paraId="4A725273" w14:textId="77777777" w:rsidR="00B225ED" w:rsidRPr="00624C3C" w:rsidRDefault="00FC2E9B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FA388B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FA388B">
            <w:rPr>
              <w:rFonts w:ascii="Arial" w:hAnsi="Arial" w:cs="Arial"/>
            </w:rPr>
            <w:t>/201</w:t>
          </w:r>
          <w:r>
            <w:rPr>
              <w:rFonts w:ascii="Arial" w:hAnsi="Arial" w:cs="Arial"/>
            </w:rPr>
            <w:t>8</w:t>
          </w:r>
        </w:p>
      </w:tc>
      <w:tc>
        <w:tcPr>
          <w:tcW w:w="906" w:type="pct"/>
          <w:vMerge w:val="restart"/>
          <w:vAlign w:val="center"/>
        </w:tcPr>
        <w:p w14:paraId="1ED1DB1F" w14:textId="77777777" w:rsidR="00B225ED" w:rsidRPr="00624C3C" w:rsidRDefault="00D75253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3E66A80" wp14:editId="09905E49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23AC0" w:rsidRPr="00624C3C" w14:paraId="6B3C0853" w14:textId="77777777" w:rsidTr="00C23AC0">
      <w:tblPrEx>
        <w:tblCellMar>
          <w:left w:w="108" w:type="dxa"/>
          <w:right w:w="108" w:type="dxa"/>
        </w:tblCellMar>
      </w:tblPrEx>
      <w:trPr>
        <w:cantSplit/>
        <w:trHeight w:val="890"/>
      </w:trPr>
      <w:tc>
        <w:tcPr>
          <w:tcW w:w="766" w:type="pct"/>
          <w:vMerge/>
        </w:tcPr>
        <w:p w14:paraId="0F15F47E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793" w:type="pct"/>
          <w:vMerge/>
        </w:tcPr>
        <w:p w14:paraId="58513D98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</w:tcPr>
        <w:p w14:paraId="3FB4D66C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  <w:p w14:paraId="1792BDC9" w14:textId="77777777" w:rsidR="00B225ED" w:rsidRPr="00624C3C" w:rsidRDefault="00E7284D" w:rsidP="00C23AC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 </w:t>
          </w:r>
          <w:r w:rsidR="00FC2E9B">
            <w:rPr>
              <w:rFonts w:ascii="Arial" w:hAnsi="Arial" w:cs="Arial"/>
            </w:rPr>
            <w:t>5</w:t>
          </w:r>
        </w:p>
      </w:tc>
      <w:tc>
        <w:tcPr>
          <w:tcW w:w="877" w:type="pct"/>
          <w:tcMar>
            <w:left w:w="57" w:type="dxa"/>
            <w:right w:w="57" w:type="dxa"/>
          </w:tcMar>
        </w:tcPr>
        <w:p w14:paraId="7387859C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  <w:p w14:paraId="311D975A" w14:textId="77777777" w:rsidR="00B225ED" w:rsidRPr="00624C3C" w:rsidRDefault="00D208C3" w:rsidP="00D208C3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6" w:type="pct"/>
          <w:vMerge/>
        </w:tcPr>
        <w:p w14:paraId="57441DE7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14:paraId="79183715" w14:textId="77777777" w:rsidR="00BA1C03" w:rsidRDefault="003637D0">
    <w:pPr>
      <w:pStyle w:val="Encabezado"/>
    </w:pPr>
    <w:r>
      <w:rPr>
        <w:noProof/>
      </w:rPr>
      <w:pict w14:anchorId="027DC9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9D7D" w14:textId="77777777" w:rsidR="006412F8" w:rsidRDefault="003637D0">
    <w:pPr>
      <w:pStyle w:val="Encabezado"/>
    </w:pPr>
    <w:r>
      <w:rPr>
        <w:noProof/>
      </w:rPr>
      <w:pict w14:anchorId="7A4BAC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4729"/>
    <w:multiLevelType w:val="hybridMultilevel"/>
    <w:tmpl w:val="431AA6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815"/>
    <w:multiLevelType w:val="hybridMultilevel"/>
    <w:tmpl w:val="431AA6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E3233"/>
    <w:multiLevelType w:val="hybridMultilevel"/>
    <w:tmpl w:val="2C10D0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35B01"/>
    <w:multiLevelType w:val="hybridMultilevel"/>
    <w:tmpl w:val="431AA6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1"/>
  </w:num>
  <w:num w:numId="5">
    <w:abstractNumId w:val="10"/>
  </w:num>
  <w:num w:numId="6">
    <w:abstractNumId w:val="3"/>
  </w:num>
  <w:num w:numId="7">
    <w:abstractNumId w:val="6"/>
  </w:num>
  <w:num w:numId="8">
    <w:abstractNumId w:val="16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9"/>
  </w:num>
  <w:num w:numId="14">
    <w:abstractNumId w:val="1"/>
  </w:num>
  <w:num w:numId="15">
    <w:abstractNumId w:val="13"/>
  </w:num>
  <w:num w:numId="16">
    <w:abstractNumId w:val="4"/>
  </w:num>
  <w:num w:numId="1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24BFE"/>
    <w:rsid w:val="000338BA"/>
    <w:rsid w:val="000372C1"/>
    <w:rsid w:val="000430F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2A47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32B0D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2C8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170D0"/>
    <w:rsid w:val="00322890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37D0"/>
    <w:rsid w:val="003663C1"/>
    <w:rsid w:val="003674A4"/>
    <w:rsid w:val="00371921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0FD1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41A"/>
    <w:rsid w:val="00733512"/>
    <w:rsid w:val="00742927"/>
    <w:rsid w:val="00743580"/>
    <w:rsid w:val="007441B9"/>
    <w:rsid w:val="007461ED"/>
    <w:rsid w:val="007501B5"/>
    <w:rsid w:val="007538F5"/>
    <w:rsid w:val="00753E04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E0336"/>
    <w:rsid w:val="007E167A"/>
    <w:rsid w:val="007E241D"/>
    <w:rsid w:val="007E7CA9"/>
    <w:rsid w:val="007F0CE2"/>
    <w:rsid w:val="00804AC7"/>
    <w:rsid w:val="0081184B"/>
    <w:rsid w:val="00814986"/>
    <w:rsid w:val="00821DB1"/>
    <w:rsid w:val="00831F1E"/>
    <w:rsid w:val="00831FFA"/>
    <w:rsid w:val="00832D06"/>
    <w:rsid w:val="008441C8"/>
    <w:rsid w:val="00853A59"/>
    <w:rsid w:val="0085507D"/>
    <w:rsid w:val="00860DF8"/>
    <w:rsid w:val="008673A2"/>
    <w:rsid w:val="00867DAC"/>
    <w:rsid w:val="008713E6"/>
    <w:rsid w:val="00872341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D4627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4661"/>
    <w:rsid w:val="00955CE3"/>
    <w:rsid w:val="00961C23"/>
    <w:rsid w:val="009644F6"/>
    <w:rsid w:val="00971595"/>
    <w:rsid w:val="00972694"/>
    <w:rsid w:val="00975D09"/>
    <w:rsid w:val="00975F35"/>
    <w:rsid w:val="00982566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56F3"/>
    <w:rsid w:val="00B56949"/>
    <w:rsid w:val="00B816CD"/>
    <w:rsid w:val="00B92CBE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E776F"/>
    <w:rsid w:val="00BF2536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5508F"/>
    <w:rsid w:val="00C63CBF"/>
    <w:rsid w:val="00C67187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24915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2F57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3E6A"/>
    <w:rsid w:val="00F657E1"/>
    <w:rsid w:val="00F6686E"/>
    <w:rsid w:val="00F7011B"/>
    <w:rsid w:val="00F745C2"/>
    <w:rsid w:val="00F772CB"/>
    <w:rsid w:val="00F834AD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843FA82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EBEC7-C87F-4847-AE66-1DA698C58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214</TotalTime>
  <Pages>2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14</cp:revision>
  <cp:lastPrinted>2019-01-29T21:17:00Z</cp:lastPrinted>
  <dcterms:created xsi:type="dcterms:W3CDTF">2017-11-16T15:17:00Z</dcterms:created>
  <dcterms:modified xsi:type="dcterms:W3CDTF">2019-01-29T21:17:00Z</dcterms:modified>
</cp:coreProperties>
</file>