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B8F" w:rsidRPr="00467B8F" w:rsidRDefault="00467B8F" w:rsidP="00467B8F">
      <w:pPr>
        <w:shd w:val="clear" w:color="auto" w:fill="FFFFFF"/>
        <w:spacing w:after="0" w:line="240" w:lineRule="auto"/>
        <w:jc w:val="center"/>
        <w:rPr>
          <w:rFonts w:ascii="Times New Roman" w:eastAsia="Times New Roman" w:hAnsi="Times New Roman" w:cs="Times New Roman"/>
          <w:b/>
          <w:color w:val="333333"/>
          <w:sz w:val="23"/>
          <w:szCs w:val="23"/>
          <w:lang w:eastAsia="es-CO"/>
        </w:rPr>
      </w:pPr>
      <w:bookmarkStart w:id="0" w:name="_GoBack"/>
      <w:bookmarkEnd w:id="0"/>
      <w:r w:rsidRPr="00467B8F">
        <w:rPr>
          <w:rFonts w:ascii="Times New Roman" w:eastAsia="Times New Roman" w:hAnsi="Times New Roman" w:cs="Times New Roman"/>
          <w:b/>
          <w:color w:val="333333"/>
          <w:sz w:val="23"/>
          <w:szCs w:val="23"/>
          <w:lang w:eastAsia="es-CO"/>
        </w:rPr>
        <w:t>PROYECTO KUSANONE</w:t>
      </w:r>
    </w:p>
    <w:p w:rsidR="00467B8F" w:rsidRPr="00467B8F" w:rsidRDefault="00467B8F" w:rsidP="00467B8F">
      <w:pPr>
        <w:shd w:val="clear" w:color="auto" w:fill="FFFFFF"/>
        <w:spacing w:after="0" w:line="240" w:lineRule="auto"/>
        <w:jc w:val="both"/>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t>A través del esquema de</w:t>
      </w:r>
      <w:r w:rsidRPr="00467B8F">
        <w:rPr>
          <w:rFonts w:ascii="Times New Roman" w:eastAsia="Times New Roman" w:hAnsi="Times New Roman" w:cs="Times New Roman"/>
          <w:b/>
          <w:bCs/>
          <w:color w:val="333333"/>
          <w:sz w:val="23"/>
          <w:szCs w:val="23"/>
          <w:lang w:eastAsia="es-CO"/>
        </w:rPr>
        <w:t> Asistencia Financiera No Reembolsable para Proyectos Comunitarios de Seguridad Humana</w:t>
      </w:r>
      <w:r w:rsidRPr="00467B8F">
        <w:rPr>
          <w:rFonts w:ascii="Times New Roman" w:eastAsia="Times New Roman" w:hAnsi="Times New Roman" w:cs="Times New Roman"/>
          <w:color w:val="333333"/>
          <w:sz w:val="23"/>
          <w:szCs w:val="23"/>
          <w:lang w:eastAsia="es-CO"/>
        </w:rPr>
        <w:t>, Japón ofrece ayuda a organizaciones no gubernamentales o autoridades locales (alcaldías) para solucionar problemas relacionados con la satisfacción de las necesidades humanas básicas fundamentales, en población vulnerable por factores socio-económicos determinables y víctimas del conflicto (desplazados, reinsertados y víctimas de minas antipersonal, entre otros).</w:t>
      </w:r>
    </w:p>
    <w:p w:rsidR="00467B8F" w:rsidRPr="00467B8F" w:rsidRDefault="00467B8F" w:rsidP="00467B8F">
      <w:pPr>
        <w:shd w:val="clear" w:color="auto" w:fill="FFFFFF"/>
        <w:spacing w:after="0" w:line="240" w:lineRule="auto"/>
        <w:jc w:val="both"/>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t>Para el caso colombiano, desde 1989 se han realizado a través de este esquema </w:t>
      </w:r>
      <w:r w:rsidRPr="00467B8F">
        <w:rPr>
          <w:rFonts w:ascii="Times New Roman" w:eastAsia="Times New Roman" w:hAnsi="Times New Roman" w:cs="Times New Roman"/>
          <w:b/>
          <w:bCs/>
          <w:color w:val="333333"/>
          <w:sz w:val="23"/>
          <w:szCs w:val="23"/>
          <w:lang w:eastAsia="es-CO"/>
        </w:rPr>
        <w:t>más de 630 proyectos</w:t>
      </w:r>
      <w:r w:rsidRPr="00467B8F">
        <w:rPr>
          <w:rFonts w:ascii="Times New Roman" w:eastAsia="Times New Roman" w:hAnsi="Times New Roman" w:cs="Times New Roman"/>
          <w:color w:val="333333"/>
          <w:sz w:val="23"/>
          <w:szCs w:val="23"/>
          <w:lang w:eastAsia="es-CO"/>
        </w:rPr>
        <w:t> por un monto superior a los 56 millones de dólares americanos.</w:t>
      </w:r>
      <w:r w:rsidRPr="00467B8F">
        <w:rPr>
          <w:rFonts w:ascii="Times New Roman" w:eastAsia="Times New Roman" w:hAnsi="Times New Roman" w:cs="Times New Roman"/>
          <w:color w:val="333333"/>
          <w:sz w:val="23"/>
          <w:szCs w:val="23"/>
          <w:lang w:eastAsia="es-CO"/>
        </w:rPr>
        <w:br/>
      </w:r>
      <w:r w:rsidRPr="00467B8F">
        <w:rPr>
          <w:rFonts w:ascii="Times New Roman" w:eastAsia="Times New Roman" w:hAnsi="Times New Roman" w:cs="Times New Roman"/>
          <w:color w:val="333333"/>
          <w:sz w:val="23"/>
          <w:szCs w:val="23"/>
          <w:lang w:eastAsia="es-CO"/>
        </w:rPr>
        <w:br/>
        <w:t>En los últimos años la cooperación japonesa otorgada, a través de este esquema, se ha mantenido para apoyar los esfuerzos del Gobierno Colombiano, y de esta forma lograr mayores niveles de bienestar social, confianza, desarrollo económico y equidad social.</w:t>
      </w:r>
      <w:r w:rsidRPr="00467B8F">
        <w:rPr>
          <w:rFonts w:ascii="Times New Roman" w:eastAsia="Times New Roman" w:hAnsi="Times New Roman" w:cs="Times New Roman"/>
          <w:color w:val="333333"/>
          <w:sz w:val="23"/>
          <w:szCs w:val="23"/>
          <w:lang w:eastAsia="es-CO"/>
        </w:rPr>
        <w:br/>
      </w:r>
      <w:r w:rsidRPr="00467B8F">
        <w:rPr>
          <w:rFonts w:ascii="Times New Roman" w:eastAsia="Times New Roman" w:hAnsi="Times New Roman" w:cs="Times New Roman"/>
          <w:color w:val="333333"/>
          <w:sz w:val="23"/>
          <w:szCs w:val="23"/>
          <w:lang w:eastAsia="es-CO"/>
        </w:rPr>
        <w:br/>
      </w:r>
      <w:r w:rsidRPr="00467B8F">
        <w:rPr>
          <w:rFonts w:ascii="Times New Roman" w:eastAsia="Times New Roman" w:hAnsi="Times New Roman" w:cs="Times New Roman"/>
          <w:b/>
          <w:bCs/>
          <w:color w:val="000080"/>
          <w:sz w:val="23"/>
          <w:szCs w:val="23"/>
          <w:lang w:eastAsia="es-CO"/>
        </w:rPr>
        <w:t>1. ÁREAS DE PROYECTOS</w:t>
      </w:r>
      <w:r w:rsidRPr="00467B8F">
        <w:rPr>
          <w:rFonts w:ascii="Times New Roman" w:eastAsia="Times New Roman" w:hAnsi="Times New Roman" w:cs="Times New Roman"/>
          <w:color w:val="333333"/>
          <w:sz w:val="23"/>
          <w:szCs w:val="23"/>
          <w:lang w:eastAsia="es-CO"/>
        </w:rPr>
        <w:br/>
        <w:t>Los proyectos de desarrollo que se encuentren vinculados a la asistencia comunitaria, serán elegibles para la financiación mediante la Asistencia Financiera No Reembolsable para Proyectos Comunitarios de Seguridad Humana.  Sin embargo, cabe aclarar que las siguientes áreas representan la mayor parte de los proyectos aprobados:</w:t>
      </w:r>
    </w:p>
    <w:p w:rsidR="00467B8F" w:rsidRPr="00467B8F" w:rsidRDefault="00467B8F" w:rsidP="00467B8F">
      <w:pPr>
        <w:numPr>
          <w:ilvl w:val="0"/>
          <w:numId w:val="1"/>
        </w:numPr>
        <w:shd w:val="clear" w:color="auto" w:fill="FFFFFF"/>
        <w:spacing w:after="0" w:line="240" w:lineRule="auto"/>
        <w:ind w:left="300"/>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t>Educación básica.</w:t>
      </w:r>
    </w:p>
    <w:p w:rsidR="00467B8F" w:rsidRPr="00467B8F" w:rsidRDefault="00467B8F" w:rsidP="00467B8F">
      <w:pPr>
        <w:numPr>
          <w:ilvl w:val="0"/>
          <w:numId w:val="1"/>
        </w:numPr>
        <w:shd w:val="clear" w:color="auto" w:fill="FFFFFF"/>
        <w:spacing w:after="0" w:line="240" w:lineRule="auto"/>
        <w:ind w:left="300"/>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t>Primera infancia.</w:t>
      </w:r>
    </w:p>
    <w:p w:rsidR="00467B8F" w:rsidRPr="00467B8F" w:rsidRDefault="00467B8F" w:rsidP="00467B8F">
      <w:pPr>
        <w:numPr>
          <w:ilvl w:val="0"/>
          <w:numId w:val="1"/>
        </w:numPr>
        <w:shd w:val="clear" w:color="auto" w:fill="FFFFFF"/>
        <w:spacing w:after="0" w:line="240" w:lineRule="auto"/>
        <w:ind w:left="300"/>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t>Infraestructura social.</w:t>
      </w:r>
    </w:p>
    <w:p w:rsidR="00467B8F" w:rsidRPr="00467B8F" w:rsidRDefault="00467B8F" w:rsidP="00467B8F">
      <w:pPr>
        <w:numPr>
          <w:ilvl w:val="0"/>
          <w:numId w:val="1"/>
        </w:numPr>
        <w:shd w:val="clear" w:color="auto" w:fill="FFFFFF"/>
        <w:spacing w:after="0" w:line="240" w:lineRule="auto"/>
        <w:ind w:left="300"/>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t>Formación para el trabajo.</w:t>
      </w:r>
    </w:p>
    <w:p w:rsidR="00467B8F" w:rsidRPr="00467B8F" w:rsidRDefault="00467B8F" w:rsidP="00467B8F">
      <w:pPr>
        <w:numPr>
          <w:ilvl w:val="0"/>
          <w:numId w:val="1"/>
        </w:numPr>
        <w:shd w:val="clear" w:color="auto" w:fill="FFFFFF"/>
        <w:spacing w:after="0" w:line="240" w:lineRule="auto"/>
        <w:ind w:left="300"/>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t>Servicios básicos de salud.</w:t>
      </w:r>
    </w:p>
    <w:p w:rsidR="00467B8F" w:rsidRPr="00467B8F" w:rsidRDefault="00467B8F" w:rsidP="00467B8F">
      <w:pPr>
        <w:shd w:val="clear" w:color="auto" w:fill="FFFFFF"/>
        <w:spacing w:after="0" w:line="240" w:lineRule="auto"/>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br/>
      </w:r>
      <w:r w:rsidRPr="00467B8F">
        <w:rPr>
          <w:rFonts w:ascii="Times New Roman" w:eastAsia="Times New Roman" w:hAnsi="Times New Roman" w:cs="Times New Roman"/>
          <w:b/>
          <w:bCs/>
          <w:color w:val="000080"/>
          <w:sz w:val="23"/>
          <w:szCs w:val="23"/>
          <w:lang w:eastAsia="es-CO"/>
        </w:rPr>
        <w:t>2. LÍNEAS PRINCIPALES DE APOYO</w:t>
      </w:r>
    </w:p>
    <w:p w:rsidR="00467B8F" w:rsidRPr="00467B8F" w:rsidRDefault="00467B8F" w:rsidP="00467B8F">
      <w:pPr>
        <w:numPr>
          <w:ilvl w:val="0"/>
          <w:numId w:val="2"/>
        </w:numPr>
        <w:shd w:val="clear" w:color="auto" w:fill="FFFFFF"/>
        <w:spacing w:after="0" w:line="240" w:lineRule="auto"/>
        <w:ind w:left="300"/>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t>Construcción de infraestructura (centros de desarrollo infantil, escuelas primarias, etc.).</w:t>
      </w:r>
      <w:r w:rsidRPr="00467B8F">
        <w:rPr>
          <w:rFonts w:ascii="Times New Roman" w:eastAsia="Times New Roman" w:hAnsi="Times New Roman" w:cs="Times New Roman"/>
          <w:color w:val="333333"/>
          <w:sz w:val="23"/>
          <w:szCs w:val="23"/>
          <w:lang w:eastAsia="es-CO"/>
        </w:rPr>
        <w:br/>
        <w:t>※ Para el caso de instituciones educativas municipales y departamentales, la entidad solicitante </w:t>
      </w:r>
      <w:r w:rsidRPr="00467B8F">
        <w:rPr>
          <w:rFonts w:ascii="Times New Roman" w:eastAsia="Times New Roman" w:hAnsi="Times New Roman" w:cs="Times New Roman"/>
          <w:b/>
          <w:bCs/>
          <w:color w:val="333333"/>
          <w:sz w:val="23"/>
          <w:szCs w:val="23"/>
          <w:lang w:eastAsia="es-CO"/>
        </w:rPr>
        <w:t>DEBE</w:t>
      </w:r>
      <w:r w:rsidRPr="00467B8F">
        <w:rPr>
          <w:rFonts w:ascii="Times New Roman" w:eastAsia="Times New Roman" w:hAnsi="Times New Roman" w:cs="Times New Roman"/>
          <w:color w:val="333333"/>
          <w:sz w:val="23"/>
          <w:szCs w:val="23"/>
          <w:lang w:eastAsia="es-CO"/>
        </w:rPr>
        <w:t> ser la alcaldía o la gobernación.</w:t>
      </w:r>
    </w:p>
    <w:p w:rsidR="00467B8F" w:rsidRPr="00467B8F" w:rsidRDefault="00467B8F" w:rsidP="00467B8F">
      <w:pPr>
        <w:numPr>
          <w:ilvl w:val="0"/>
          <w:numId w:val="2"/>
        </w:numPr>
        <w:shd w:val="clear" w:color="auto" w:fill="FFFFFF"/>
        <w:spacing w:after="0" w:line="240" w:lineRule="auto"/>
        <w:ind w:left="300"/>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t>Bibliotecas municipales (proceso de preselección por parte del grupo de infraestructura del Ministerio de Cultura).</w:t>
      </w:r>
    </w:p>
    <w:p w:rsidR="00467B8F" w:rsidRPr="00467B8F" w:rsidRDefault="00467B8F" w:rsidP="00467B8F">
      <w:pPr>
        <w:numPr>
          <w:ilvl w:val="0"/>
          <w:numId w:val="2"/>
        </w:numPr>
        <w:shd w:val="clear" w:color="auto" w:fill="FFFFFF"/>
        <w:spacing w:after="0" w:line="240" w:lineRule="auto"/>
        <w:ind w:left="300"/>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t>Adquisición de equipos (capacitación laboral y médicos entre otros).</w:t>
      </w:r>
    </w:p>
    <w:p w:rsidR="00467B8F" w:rsidRPr="00467B8F" w:rsidRDefault="00467B8F" w:rsidP="00467B8F">
      <w:pPr>
        <w:shd w:val="clear" w:color="auto" w:fill="FFFFFF"/>
        <w:spacing w:after="0" w:line="240" w:lineRule="auto"/>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br/>
      </w:r>
      <w:r w:rsidRPr="00467B8F">
        <w:rPr>
          <w:rFonts w:ascii="Times New Roman" w:eastAsia="Times New Roman" w:hAnsi="Times New Roman" w:cs="Times New Roman"/>
          <w:b/>
          <w:bCs/>
          <w:color w:val="000080"/>
          <w:sz w:val="23"/>
          <w:szCs w:val="23"/>
          <w:lang w:eastAsia="es-CO"/>
        </w:rPr>
        <w:t>3. LOS SIGUIENTES RUBROS NO SON SUSCEPTIBLES DE APOYO</w:t>
      </w:r>
    </w:p>
    <w:p w:rsidR="00467B8F" w:rsidRPr="00467B8F" w:rsidRDefault="00467B8F" w:rsidP="00467B8F">
      <w:pPr>
        <w:numPr>
          <w:ilvl w:val="0"/>
          <w:numId w:val="3"/>
        </w:numPr>
        <w:shd w:val="clear" w:color="auto" w:fill="FFFFFF"/>
        <w:spacing w:after="0" w:line="240" w:lineRule="auto"/>
        <w:ind w:left="300"/>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t>Artículos de consumo. </w:t>
      </w:r>
    </w:p>
    <w:p w:rsidR="00467B8F" w:rsidRPr="00467B8F" w:rsidRDefault="00467B8F" w:rsidP="00467B8F">
      <w:pPr>
        <w:numPr>
          <w:ilvl w:val="0"/>
          <w:numId w:val="3"/>
        </w:numPr>
        <w:shd w:val="clear" w:color="auto" w:fill="FFFFFF"/>
        <w:spacing w:after="0" w:line="240" w:lineRule="auto"/>
        <w:ind w:left="300"/>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t>Costos de gestión y mantenimiento de instalaciones y equipos.</w:t>
      </w:r>
    </w:p>
    <w:p w:rsidR="00467B8F" w:rsidRPr="00467B8F" w:rsidRDefault="00467B8F" w:rsidP="00467B8F">
      <w:pPr>
        <w:numPr>
          <w:ilvl w:val="0"/>
          <w:numId w:val="3"/>
        </w:numPr>
        <w:shd w:val="clear" w:color="auto" w:fill="FFFFFF"/>
        <w:spacing w:after="0" w:line="240" w:lineRule="auto"/>
        <w:ind w:left="300"/>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t>Costos administrativos de la organización beneficiaria.</w:t>
      </w:r>
    </w:p>
    <w:p w:rsidR="00467B8F" w:rsidRPr="00467B8F" w:rsidRDefault="00467B8F" w:rsidP="00467B8F">
      <w:pPr>
        <w:numPr>
          <w:ilvl w:val="0"/>
          <w:numId w:val="3"/>
        </w:numPr>
        <w:shd w:val="clear" w:color="auto" w:fill="FFFFFF"/>
        <w:spacing w:after="0" w:line="240" w:lineRule="auto"/>
        <w:ind w:left="300"/>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t>Gastos logísticos y honorarios.</w:t>
      </w:r>
    </w:p>
    <w:p w:rsidR="00467B8F" w:rsidRPr="00467B8F" w:rsidRDefault="00467B8F" w:rsidP="00467B8F">
      <w:pPr>
        <w:numPr>
          <w:ilvl w:val="0"/>
          <w:numId w:val="3"/>
        </w:numPr>
        <w:shd w:val="clear" w:color="auto" w:fill="FFFFFF"/>
        <w:spacing w:after="0" w:line="240" w:lineRule="auto"/>
        <w:ind w:left="300"/>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t>Interventoría, IVA, gravámenes a los movimientos financieros (GMF), estampillas municipales, etc.</w:t>
      </w:r>
    </w:p>
    <w:p w:rsidR="00467B8F" w:rsidRPr="00467B8F" w:rsidRDefault="00467B8F" w:rsidP="00467B8F">
      <w:pPr>
        <w:shd w:val="clear" w:color="auto" w:fill="FFFFFF"/>
        <w:spacing w:after="0" w:line="240" w:lineRule="auto"/>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br/>
      </w:r>
      <w:r w:rsidRPr="00467B8F">
        <w:rPr>
          <w:rFonts w:ascii="Times New Roman" w:eastAsia="Times New Roman" w:hAnsi="Times New Roman" w:cs="Times New Roman"/>
          <w:b/>
          <w:bCs/>
          <w:color w:val="000080"/>
          <w:sz w:val="23"/>
          <w:szCs w:val="23"/>
          <w:lang w:eastAsia="es-CO"/>
        </w:rPr>
        <w:t>4. ORGANIZACIONES ELEGIBLES</w:t>
      </w:r>
    </w:p>
    <w:p w:rsidR="00467B8F" w:rsidRPr="00467B8F" w:rsidRDefault="00467B8F" w:rsidP="00467B8F">
      <w:pPr>
        <w:numPr>
          <w:ilvl w:val="0"/>
          <w:numId w:val="4"/>
        </w:numPr>
        <w:shd w:val="clear" w:color="auto" w:fill="FFFFFF"/>
        <w:spacing w:after="0" w:line="240" w:lineRule="auto"/>
        <w:ind w:left="300"/>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t>Organizaciones sin ánimo de lucro que implementen proyectos de desarrollo en el campo comunitario en Colombia, pueden beneficiarse de este esquema de cooperación, con mínimo dos años de experiencia y constitución legal demostrables.</w:t>
      </w:r>
    </w:p>
    <w:p w:rsidR="00467B8F" w:rsidRPr="00467B8F" w:rsidRDefault="00467B8F" w:rsidP="00467B8F">
      <w:pPr>
        <w:numPr>
          <w:ilvl w:val="0"/>
          <w:numId w:val="4"/>
        </w:numPr>
        <w:shd w:val="clear" w:color="auto" w:fill="FFFFFF"/>
        <w:spacing w:after="0" w:line="240" w:lineRule="auto"/>
        <w:ind w:left="300"/>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t>Entidades territoriales (alcaldías y gobernaciones).</w:t>
      </w:r>
    </w:p>
    <w:p w:rsidR="00467B8F" w:rsidRPr="00467B8F" w:rsidRDefault="00467B8F" w:rsidP="00467B8F">
      <w:pPr>
        <w:shd w:val="clear" w:color="auto" w:fill="FFFFFF"/>
        <w:spacing w:after="0" w:line="240" w:lineRule="auto"/>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b/>
          <w:bCs/>
          <w:color w:val="333333"/>
          <w:sz w:val="23"/>
          <w:szCs w:val="23"/>
          <w:lang w:eastAsia="es-CO"/>
        </w:rPr>
        <w:t>**Nota</w:t>
      </w:r>
      <w:r w:rsidRPr="00467B8F">
        <w:rPr>
          <w:rFonts w:ascii="Times New Roman" w:eastAsia="Times New Roman" w:hAnsi="Times New Roman" w:cs="Times New Roman"/>
          <w:color w:val="333333"/>
          <w:sz w:val="23"/>
          <w:szCs w:val="23"/>
          <w:lang w:eastAsia="es-CO"/>
        </w:rPr>
        <w:t>: Personas naturales y entidades con ánimo de lucro, </w:t>
      </w:r>
      <w:r w:rsidRPr="00467B8F">
        <w:rPr>
          <w:rFonts w:ascii="Times New Roman" w:eastAsia="Times New Roman" w:hAnsi="Times New Roman" w:cs="Times New Roman"/>
          <w:b/>
          <w:bCs/>
          <w:color w:val="333333"/>
          <w:sz w:val="23"/>
          <w:szCs w:val="23"/>
          <w:lang w:eastAsia="es-CO"/>
        </w:rPr>
        <w:t>no pueden ser receptores</w:t>
      </w:r>
      <w:r w:rsidRPr="00467B8F">
        <w:rPr>
          <w:rFonts w:ascii="Times New Roman" w:eastAsia="Times New Roman" w:hAnsi="Times New Roman" w:cs="Times New Roman"/>
          <w:color w:val="333333"/>
          <w:sz w:val="23"/>
          <w:szCs w:val="23"/>
          <w:lang w:eastAsia="es-CO"/>
        </w:rPr>
        <w:t>.</w:t>
      </w:r>
      <w:r w:rsidRPr="00467B8F">
        <w:rPr>
          <w:rFonts w:ascii="Times New Roman" w:eastAsia="Times New Roman" w:hAnsi="Times New Roman" w:cs="Times New Roman"/>
          <w:color w:val="333333"/>
          <w:sz w:val="23"/>
          <w:szCs w:val="23"/>
          <w:lang w:eastAsia="es-CO"/>
        </w:rPr>
        <w:br/>
      </w:r>
      <w:r w:rsidRPr="00467B8F">
        <w:rPr>
          <w:rFonts w:ascii="Times New Roman" w:eastAsia="Times New Roman" w:hAnsi="Times New Roman" w:cs="Times New Roman"/>
          <w:color w:val="333333"/>
          <w:sz w:val="23"/>
          <w:szCs w:val="23"/>
          <w:lang w:eastAsia="es-CO"/>
        </w:rPr>
        <w:br/>
      </w:r>
      <w:r w:rsidRPr="00467B8F">
        <w:rPr>
          <w:rFonts w:ascii="Times New Roman" w:eastAsia="Times New Roman" w:hAnsi="Times New Roman" w:cs="Times New Roman"/>
          <w:b/>
          <w:bCs/>
          <w:color w:val="000080"/>
          <w:sz w:val="23"/>
          <w:szCs w:val="23"/>
          <w:lang w:eastAsia="es-CO"/>
        </w:rPr>
        <w:t>5. FONDOS DISPONIBLES</w:t>
      </w:r>
      <w:r w:rsidRPr="00467B8F">
        <w:rPr>
          <w:rFonts w:ascii="Times New Roman" w:eastAsia="Times New Roman" w:hAnsi="Times New Roman" w:cs="Times New Roman"/>
          <w:color w:val="333333"/>
          <w:sz w:val="23"/>
          <w:szCs w:val="23"/>
          <w:lang w:eastAsia="es-CO"/>
        </w:rPr>
        <w:br/>
      </w:r>
      <w:r w:rsidRPr="00467B8F">
        <w:rPr>
          <w:rFonts w:ascii="Times New Roman" w:eastAsia="Times New Roman" w:hAnsi="Times New Roman" w:cs="Times New Roman"/>
          <w:color w:val="333333"/>
          <w:sz w:val="23"/>
          <w:szCs w:val="23"/>
          <w:lang w:eastAsia="es-CO"/>
        </w:rPr>
        <w:lastRenderedPageBreak/>
        <w:t>El monto máximo para cada proyecto es de 10 millones de yenes (200 millones de pesos aproximadamente).</w:t>
      </w:r>
      <w:r w:rsidRPr="00467B8F">
        <w:rPr>
          <w:rFonts w:ascii="Times New Roman" w:eastAsia="Times New Roman" w:hAnsi="Times New Roman" w:cs="Times New Roman"/>
          <w:color w:val="333333"/>
          <w:sz w:val="23"/>
          <w:szCs w:val="23"/>
          <w:lang w:eastAsia="es-CO"/>
        </w:rPr>
        <w:br/>
      </w:r>
      <w:r w:rsidRPr="00467B8F">
        <w:rPr>
          <w:rFonts w:ascii="Times New Roman" w:eastAsia="Times New Roman" w:hAnsi="Times New Roman" w:cs="Times New Roman"/>
          <w:color w:val="333333"/>
          <w:sz w:val="23"/>
          <w:szCs w:val="23"/>
          <w:lang w:eastAsia="es-CO"/>
        </w:rPr>
        <w:br/>
      </w:r>
      <w:r w:rsidRPr="00467B8F">
        <w:rPr>
          <w:rFonts w:ascii="Times New Roman" w:eastAsia="Times New Roman" w:hAnsi="Times New Roman" w:cs="Times New Roman"/>
          <w:b/>
          <w:bCs/>
          <w:color w:val="000080"/>
          <w:sz w:val="23"/>
          <w:szCs w:val="23"/>
          <w:lang w:eastAsia="es-CO"/>
        </w:rPr>
        <w:t>6. PROCESO DE LOS PROYECTOS</w:t>
      </w:r>
    </w:p>
    <w:p w:rsidR="00467B8F" w:rsidRPr="00467B8F" w:rsidRDefault="00467B8F" w:rsidP="00467B8F">
      <w:pPr>
        <w:numPr>
          <w:ilvl w:val="0"/>
          <w:numId w:val="5"/>
        </w:numPr>
        <w:shd w:val="clear" w:color="auto" w:fill="FFFFFF"/>
        <w:spacing w:after="0" w:line="240" w:lineRule="auto"/>
        <w:ind w:left="300"/>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b/>
          <w:bCs/>
          <w:color w:val="333333"/>
          <w:sz w:val="23"/>
          <w:szCs w:val="23"/>
          <w:lang w:eastAsia="es-CO"/>
        </w:rPr>
        <w:t>Presentación del proyecto a la Embajada. </w:t>
      </w:r>
      <w:r w:rsidRPr="00467B8F">
        <w:rPr>
          <w:rFonts w:ascii="Times New Roman" w:eastAsia="Times New Roman" w:hAnsi="Times New Roman" w:cs="Times New Roman"/>
          <w:color w:val="333333"/>
          <w:sz w:val="23"/>
          <w:szCs w:val="23"/>
          <w:lang w:eastAsia="es-CO"/>
        </w:rPr>
        <w:br/>
      </w:r>
      <w:r w:rsidRPr="00467B8F">
        <w:rPr>
          <w:rFonts w:ascii="Times New Roman" w:eastAsia="Times New Roman" w:hAnsi="Times New Roman" w:cs="Times New Roman"/>
          <w:b/>
          <w:bCs/>
          <w:color w:val="333333"/>
          <w:sz w:val="23"/>
          <w:szCs w:val="23"/>
          <w:lang w:eastAsia="es-CO"/>
        </w:rPr>
        <w:t>    - De enero a mayo o hasta recibir 250 solicitudes.</w:t>
      </w:r>
      <w:r w:rsidRPr="00467B8F">
        <w:rPr>
          <w:rFonts w:ascii="Times New Roman" w:eastAsia="Times New Roman" w:hAnsi="Times New Roman" w:cs="Times New Roman"/>
          <w:color w:val="333333"/>
          <w:sz w:val="23"/>
          <w:szCs w:val="23"/>
          <w:lang w:eastAsia="es-CO"/>
        </w:rPr>
        <w:br/>
        <w:t>    - No se preseleccionará más de un proyecto entre las propuestas presentadas por una misma entidad. En caso de que una entidad presente varias</w:t>
      </w:r>
      <w:r w:rsidRPr="00467B8F">
        <w:rPr>
          <w:rFonts w:ascii="Times New Roman" w:eastAsia="Times New Roman" w:hAnsi="Times New Roman" w:cs="Times New Roman"/>
          <w:color w:val="333333"/>
          <w:sz w:val="23"/>
          <w:szCs w:val="23"/>
          <w:lang w:eastAsia="es-CO"/>
        </w:rPr>
        <w:br/>
        <w:t>     propuestas, la Embajada preguntará a la entidad solicitante sobre la prioridad de las mismas.</w:t>
      </w:r>
    </w:p>
    <w:p w:rsidR="00467B8F" w:rsidRPr="00467B8F" w:rsidRDefault="00467B8F" w:rsidP="00467B8F">
      <w:pPr>
        <w:numPr>
          <w:ilvl w:val="0"/>
          <w:numId w:val="5"/>
        </w:numPr>
        <w:shd w:val="clear" w:color="auto" w:fill="FFFFFF"/>
        <w:spacing w:after="0" w:line="240" w:lineRule="auto"/>
        <w:ind w:left="300"/>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t>Primera evaluación del proyecto y entrega de documentación complementaria del proyecto.</w:t>
      </w:r>
    </w:p>
    <w:p w:rsidR="00467B8F" w:rsidRPr="00467B8F" w:rsidRDefault="00467B8F" w:rsidP="00467B8F">
      <w:pPr>
        <w:numPr>
          <w:ilvl w:val="0"/>
          <w:numId w:val="5"/>
        </w:numPr>
        <w:shd w:val="clear" w:color="auto" w:fill="FFFFFF"/>
        <w:spacing w:after="0" w:line="240" w:lineRule="auto"/>
        <w:ind w:left="300"/>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t>Análisis del proyecto por la Cancillería Japonesa (1 a 3 meses).</w:t>
      </w:r>
    </w:p>
    <w:p w:rsidR="00467B8F" w:rsidRPr="00467B8F" w:rsidRDefault="00467B8F" w:rsidP="00467B8F">
      <w:pPr>
        <w:numPr>
          <w:ilvl w:val="0"/>
          <w:numId w:val="5"/>
        </w:numPr>
        <w:shd w:val="clear" w:color="auto" w:fill="FFFFFF"/>
        <w:spacing w:after="0" w:line="240" w:lineRule="auto"/>
        <w:ind w:left="300"/>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t>Firma del contrato de donación.</w:t>
      </w:r>
    </w:p>
    <w:p w:rsidR="00467B8F" w:rsidRPr="00467B8F" w:rsidRDefault="00467B8F" w:rsidP="00467B8F">
      <w:pPr>
        <w:numPr>
          <w:ilvl w:val="0"/>
          <w:numId w:val="5"/>
        </w:numPr>
        <w:shd w:val="clear" w:color="auto" w:fill="FFFFFF"/>
        <w:spacing w:after="0" w:line="240" w:lineRule="auto"/>
        <w:ind w:left="300"/>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t>Inicio de ejecución del proyecto.</w:t>
      </w:r>
    </w:p>
    <w:p w:rsidR="00467B8F" w:rsidRPr="00467B8F" w:rsidRDefault="00467B8F" w:rsidP="00467B8F">
      <w:pPr>
        <w:numPr>
          <w:ilvl w:val="0"/>
          <w:numId w:val="5"/>
        </w:numPr>
        <w:shd w:val="clear" w:color="auto" w:fill="FFFFFF"/>
        <w:spacing w:after="0" w:line="240" w:lineRule="auto"/>
        <w:ind w:left="300"/>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t>Seguimiento.</w:t>
      </w:r>
    </w:p>
    <w:p w:rsidR="00467B8F" w:rsidRPr="00467B8F" w:rsidRDefault="00467B8F" w:rsidP="00467B8F">
      <w:pPr>
        <w:numPr>
          <w:ilvl w:val="0"/>
          <w:numId w:val="5"/>
        </w:numPr>
        <w:shd w:val="clear" w:color="auto" w:fill="FFFFFF"/>
        <w:spacing w:after="0" w:line="240" w:lineRule="auto"/>
        <w:ind w:left="300"/>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t>Informes.</w:t>
      </w:r>
    </w:p>
    <w:p w:rsidR="00467B8F" w:rsidRPr="00467B8F" w:rsidRDefault="00467B8F" w:rsidP="00467B8F">
      <w:pPr>
        <w:numPr>
          <w:ilvl w:val="0"/>
          <w:numId w:val="5"/>
        </w:numPr>
        <w:shd w:val="clear" w:color="auto" w:fill="FFFFFF"/>
        <w:spacing w:after="0" w:line="240" w:lineRule="auto"/>
        <w:ind w:left="300"/>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t>Finalización del proyecto.</w:t>
      </w:r>
    </w:p>
    <w:p w:rsidR="00467B8F" w:rsidRPr="00467B8F" w:rsidRDefault="00467B8F" w:rsidP="00467B8F">
      <w:pPr>
        <w:numPr>
          <w:ilvl w:val="0"/>
          <w:numId w:val="5"/>
        </w:numPr>
        <w:shd w:val="clear" w:color="auto" w:fill="FFFFFF"/>
        <w:spacing w:after="0" w:line="240" w:lineRule="auto"/>
        <w:ind w:left="300"/>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t>Inauguración.</w:t>
      </w:r>
    </w:p>
    <w:p w:rsidR="00467B8F" w:rsidRPr="00467B8F" w:rsidRDefault="00467B8F" w:rsidP="00467B8F">
      <w:pPr>
        <w:numPr>
          <w:ilvl w:val="0"/>
          <w:numId w:val="5"/>
        </w:numPr>
        <w:shd w:val="clear" w:color="auto" w:fill="FFFFFF"/>
        <w:spacing w:after="0" w:line="240" w:lineRule="auto"/>
        <w:ind w:left="300"/>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t>Seguimiento por los siguientes 5 años.</w:t>
      </w:r>
    </w:p>
    <w:p w:rsidR="00467B8F" w:rsidRPr="00467B8F" w:rsidRDefault="00467B8F" w:rsidP="00467B8F">
      <w:pPr>
        <w:shd w:val="clear" w:color="auto" w:fill="FFFFFF"/>
        <w:spacing w:after="0" w:line="240" w:lineRule="auto"/>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br/>
      </w:r>
      <w:r w:rsidRPr="00467B8F">
        <w:rPr>
          <w:rFonts w:ascii="Times New Roman" w:eastAsia="Times New Roman" w:hAnsi="Times New Roman" w:cs="Times New Roman"/>
          <w:b/>
          <w:bCs/>
          <w:color w:val="000080"/>
          <w:sz w:val="23"/>
          <w:szCs w:val="23"/>
          <w:lang w:eastAsia="es-CO"/>
        </w:rPr>
        <w:t>7. PROYECTOS NO ELEGIBLES</w:t>
      </w:r>
    </w:p>
    <w:p w:rsidR="00467B8F" w:rsidRPr="00467B8F" w:rsidRDefault="00467B8F" w:rsidP="00467B8F">
      <w:pPr>
        <w:numPr>
          <w:ilvl w:val="0"/>
          <w:numId w:val="6"/>
        </w:numPr>
        <w:shd w:val="clear" w:color="auto" w:fill="FFFFFF"/>
        <w:spacing w:after="0" w:line="240" w:lineRule="auto"/>
        <w:ind w:left="300"/>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t>Proyectos de investigación.</w:t>
      </w:r>
    </w:p>
    <w:p w:rsidR="00467B8F" w:rsidRPr="00467B8F" w:rsidRDefault="00467B8F" w:rsidP="00467B8F">
      <w:pPr>
        <w:numPr>
          <w:ilvl w:val="0"/>
          <w:numId w:val="6"/>
        </w:numPr>
        <w:shd w:val="clear" w:color="auto" w:fill="FFFFFF"/>
        <w:spacing w:after="0" w:line="240" w:lineRule="auto"/>
        <w:ind w:left="300"/>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t>Proyectos productivos.</w:t>
      </w:r>
    </w:p>
    <w:p w:rsidR="00467B8F" w:rsidRPr="00467B8F" w:rsidRDefault="00467B8F" w:rsidP="00467B8F">
      <w:pPr>
        <w:numPr>
          <w:ilvl w:val="0"/>
          <w:numId w:val="6"/>
        </w:numPr>
        <w:shd w:val="clear" w:color="auto" w:fill="FFFFFF"/>
        <w:spacing w:after="0" w:line="240" w:lineRule="auto"/>
        <w:ind w:left="300"/>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t>Proyectos culturales, artísticos y deportivos.</w:t>
      </w:r>
    </w:p>
    <w:p w:rsidR="00467B8F" w:rsidRPr="00467B8F" w:rsidRDefault="00467B8F" w:rsidP="00467B8F">
      <w:pPr>
        <w:numPr>
          <w:ilvl w:val="0"/>
          <w:numId w:val="6"/>
        </w:numPr>
        <w:shd w:val="clear" w:color="auto" w:fill="FFFFFF"/>
        <w:spacing w:after="0" w:line="240" w:lineRule="auto"/>
        <w:ind w:left="300"/>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t>Proyectos con fines políticos, religiosos y militares.</w:t>
      </w:r>
    </w:p>
    <w:p w:rsidR="00467B8F" w:rsidRPr="00467B8F" w:rsidRDefault="00467B8F" w:rsidP="00467B8F">
      <w:pPr>
        <w:numPr>
          <w:ilvl w:val="0"/>
          <w:numId w:val="6"/>
        </w:numPr>
        <w:shd w:val="clear" w:color="auto" w:fill="FFFFFF"/>
        <w:spacing w:after="0" w:line="240" w:lineRule="auto"/>
        <w:ind w:left="300"/>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t>Construcción de viviendas, oficinas u otras instalaciones de beneficio particular.</w:t>
      </w:r>
    </w:p>
    <w:p w:rsidR="00467B8F" w:rsidRPr="00467B8F" w:rsidRDefault="00467B8F" w:rsidP="00467B8F">
      <w:pPr>
        <w:spacing w:after="0" w:line="240" w:lineRule="auto"/>
        <w:rPr>
          <w:rFonts w:ascii="Times New Roman" w:eastAsia="Times New Roman" w:hAnsi="Times New Roman" w:cs="Times New Roman"/>
          <w:sz w:val="24"/>
          <w:szCs w:val="24"/>
          <w:lang w:eastAsia="es-CO"/>
        </w:rPr>
      </w:pPr>
      <w:r w:rsidRPr="00467B8F">
        <w:rPr>
          <w:rFonts w:ascii="Times New Roman" w:eastAsia="Times New Roman" w:hAnsi="Times New Roman" w:cs="Times New Roman"/>
          <w:color w:val="333333"/>
          <w:sz w:val="23"/>
          <w:szCs w:val="23"/>
          <w:lang w:eastAsia="es-CO"/>
        </w:rPr>
        <w:br/>
      </w:r>
      <w:r w:rsidRPr="00467B8F">
        <w:rPr>
          <w:rFonts w:ascii="Times New Roman" w:eastAsia="Times New Roman" w:hAnsi="Times New Roman" w:cs="Times New Roman"/>
          <w:color w:val="333333"/>
          <w:sz w:val="23"/>
          <w:szCs w:val="23"/>
          <w:shd w:val="clear" w:color="auto" w:fill="FFFFFF"/>
          <w:lang w:eastAsia="es-CO"/>
        </w:rPr>
        <w:t>Si desea más información acerca de la cooperación que ha otorgado Japón en años anteriores consulte los siguientes archivos:</w:t>
      </w:r>
    </w:p>
    <w:p w:rsidR="00467B8F" w:rsidRPr="00467B8F" w:rsidRDefault="00D5519C" w:rsidP="00467B8F">
      <w:pPr>
        <w:numPr>
          <w:ilvl w:val="0"/>
          <w:numId w:val="7"/>
        </w:numPr>
        <w:shd w:val="clear" w:color="auto" w:fill="FFFFFF"/>
        <w:spacing w:after="0" w:line="240" w:lineRule="auto"/>
        <w:ind w:left="300"/>
        <w:rPr>
          <w:rFonts w:ascii="Times New Roman" w:eastAsia="Times New Roman" w:hAnsi="Times New Roman" w:cs="Times New Roman"/>
          <w:color w:val="333333"/>
          <w:sz w:val="23"/>
          <w:szCs w:val="23"/>
          <w:lang w:eastAsia="es-CO"/>
        </w:rPr>
      </w:pPr>
      <w:hyperlink r:id="rId5" w:history="1">
        <w:r w:rsidR="00467B8F" w:rsidRPr="00467B8F">
          <w:rPr>
            <w:rFonts w:ascii="Times New Roman" w:eastAsia="Times New Roman" w:hAnsi="Times New Roman" w:cs="Times New Roman"/>
            <w:color w:val="000066"/>
            <w:sz w:val="23"/>
            <w:szCs w:val="23"/>
            <w:u w:val="single"/>
            <w:lang w:eastAsia="es-CO"/>
          </w:rPr>
          <w:t>Proyectos financiados en Colombia 2017</w:t>
        </w:r>
      </w:hyperlink>
    </w:p>
    <w:p w:rsidR="00467B8F" w:rsidRPr="00467B8F" w:rsidRDefault="00D5519C" w:rsidP="00467B8F">
      <w:pPr>
        <w:numPr>
          <w:ilvl w:val="0"/>
          <w:numId w:val="7"/>
        </w:numPr>
        <w:shd w:val="clear" w:color="auto" w:fill="FFFFFF"/>
        <w:spacing w:after="0" w:line="240" w:lineRule="auto"/>
        <w:ind w:left="300"/>
        <w:rPr>
          <w:rFonts w:ascii="Times New Roman" w:eastAsia="Times New Roman" w:hAnsi="Times New Roman" w:cs="Times New Roman"/>
          <w:color w:val="333333"/>
          <w:sz w:val="23"/>
          <w:szCs w:val="23"/>
          <w:lang w:eastAsia="es-CO"/>
        </w:rPr>
      </w:pPr>
      <w:hyperlink r:id="rId6" w:history="1">
        <w:r w:rsidR="00467B8F" w:rsidRPr="00467B8F">
          <w:rPr>
            <w:rFonts w:ascii="Times New Roman" w:eastAsia="Times New Roman" w:hAnsi="Times New Roman" w:cs="Times New Roman"/>
            <w:color w:val="000066"/>
            <w:sz w:val="23"/>
            <w:szCs w:val="23"/>
            <w:u w:val="single"/>
            <w:lang w:eastAsia="es-CO"/>
          </w:rPr>
          <w:t>Proyectos financiados en Colombia 2016</w:t>
        </w:r>
      </w:hyperlink>
    </w:p>
    <w:p w:rsidR="00467B8F" w:rsidRPr="00467B8F" w:rsidRDefault="00D5519C" w:rsidP="00467B8F">
      <w:pPr>
        <w:numPr>
          <w:ilvl w:val="0"/>
          <w:numId w:val="7"/>
        </w:numPr>
        <w:shd w:val="clear" w:color="auto" w:fill="FFFFFF"/>
        <w:spacing w:after="0" w:line="240" w:lineRule="auto"/>
        <w:ind w:left="300"/>
        <w:rPr>
          <w:rFonts w:ascii="Times New Roman" w:eastAsia="Times New Roman" w:hAnsi="Times New Roman" w:cs="Times New Roman"/>
          <w:color w:val="333333"/>
          <w:sz w:val="23"/>
          <w:szCs w:val="23"/>
          <w:lang w:eastAsia="es-CO"/>
        </w:rPr>
      </w:pPr>
      <w:hyperlink r:id="rId7" w:history="1">
        <w:r w:rsidR="00467B8F" w:rsidRPr="00467B8F">
          <w:rPr>
            <w:rFonts w:ascii="Times New Roman" w:eastAsia="Times New Roman" w:hAnsi="Times New Roman" w:cs="Times New Roman"/>
            <w:color w:val="000066"/>
            <w:sz w:val="23"/>
            <w:szCs w:val="23"/>
            <w:u w:val="single"/>
            <w:lang w:eastAsia="es-CO"/>
          </w:rPr>
          <w:t>Proyectos financiados en Colombia 2015</w:t>
        </w:r>
      </w:hyperlink>
    </w:p>
    <w:p w:rsidR="00467B8F" w:rsidRPr="00467B8F" w:rsidRDefault="00D5519C" w:rsidP="00467B8F">
      <w:pPr>
        <w:numPr>
          <w:ilvl w:val="0"/>
          <w:numId w:val="7"/>
        </w:numPr>
        <w:shd w:val="clear" w:color="auto" w:fill="FFFFFF"/>
        <w:spacing w:after="0" w:line="240" w:lineRule="auto"/>
        <w:ind w:left="300"/>
        <w:rPr>
          <w:rFonts w:ascii="Times New Roman" w:eastAsia="Times New Roman" w:hAnsi="Times New Roman" w:cs="Times New Roman"/>
          <w:color w:val="333333"/>
          <w:sz w:val="23"/>
          <w:szCs w:val="23"/>
          <w:lang w:eastAsia="es-CO"/>
        </w:rPr>
      </w:pPr>
      <w:hyperlink r:id="rId8" w:history="1">
        <w:r w:rsidR="00467B8F" w:rsidRPr="00467B8F">
          <w:rPr>
            <w:rFonts w:ascii="Times New Roman" w:eastAsia="Times New Roman" w:hAnsi="Times New Roman" w:cs="Times New Roman"/>
            <w:color w:val="000066"/>
            <w:sz w:val="23"/>
            <w:szCs w:val="23"/>
            <w:u w:val="single"/>
            <w:lang w:eastAsia="es-CO"/>
          </w:rPr>
          <w:t xml:space="preserve">Información detallada de proyectos </w:t>
        </w:r>
        <w:proofErr w:type="spellStart"/>
        <w:r w:rsidR="00467B8F" w:rsidRPr="00467B8F">
          <w:rPr>
            <w:rFonts w:ascii="Times New Roman" w:eastAsia="Times New Roman" w:hAnsi="Times New Roman" w:cs="Times New Roman"/>
            <w:color w:val="000066"/>
            <w:sz w:val="23"/>
            <w:szCs w:val="23"/>
            <w:u w:val="single"/>
            <w:lang w:eastAsia="es-CO"/>
          </w:rPr>
          <w:t>Kusanone</w:t>
        </w:r>
        <w:proofErr w:type="spellEnd"/>
      </w:hyperlink>
    </w:p>
    <w:p w:rsidR="00467B8F" w:rsidRPr="00467B8F" w:rsidRDefault="00467B8F" w:rsidP="00467B8F">
      <w:pPr>
        <w:spacing w:after="0" w:line="240" w:lineRule="auto"/>
        <w:rPr>
          <w:rFonts w:ascii="Times New Roman" w:eastAsia="Times New Roman" w:hAnsi="Times New Roman" w:cs="Times New Roman"/>
          <w:sz w:val="24"/>
          <w:szCs w:val="24"/>
          <w:lang w:eastAsia="es-CO"/>
        </w:rPr>
      </w:pPr>
      <w:r w:rsidRPr="00467B8F">
        <w:rPr>
          <w:rFonts w:ascii="Times New Roman" w:eastAsia="Times New Roman" w:hAnsi="Times New Roman" w:cs="Times New Roman"/>
          <w:color w:val="333333"/>
          <w:sz w:val="23"/>
          <w:szCs w:val="23"/>
          <w:lang w:eastAsia="es-CO"/>
        </w:rPr>
        <w:br/>
      </w:r>
      <w:r w:rsidRPr="00467B8F">
        <w:rPr>
          <w:rFonts w:ascii="Times New Roman" w:eastAsia="Times New Roman" w:hAnsi="Times New Roman" w:cs="Times New Roman"/>
          <w:color w:val="333333"/>
          <w:sz w:val="23"/>
          <w:szCs w:val="23"/>
          <w:shd w:val="clear" w:color="auto" w:fill="FFFFFF"/>
          <w:lang w:eastAsia="es-CO"/>
        </w:rPr>
        <w:t>También encontrará una explicación sobre los requisitos para obtener cooperación de la Embajada del Japón en la siguiente </w:t>
      </w:r>
      <w:hyperlink r:id="rId9" w:history="1">
        <w:r w:rsidRPr="00467B8F">
          <w:rPr>
            <w:rFonts w:ascii="Times New Roman" w:eastAsia="Times New Roman" w:hAnsi="Times New Roman" w:cs="Times New Roman"/>
            <w:color w:val="000066"/>
            <w:sz w:val="23"/>
            <w:szCs w:val="23"/>
            <w:u w:val="single"/>
            <w:shd w:val="clear" w:color="auto" w:fill="FFFFFF"/>
            <w:lang w:eastAsia="es-CO"/>
          </w:rPr>
          <w:t>presentación</w:t>
        </w:r>
      </w:hyperlink>
      <w:r w:rsidRPr="00467B8F">
        <w:rPr>
          <w:rFonts w:ascii="Times New Roman" w:eastAsia="Times New Roman" w:hAnsi="Times New Roman" w:cs="Times New Roman"/>
          <w:color w:val="333333"/>
          <w:sz w:val="23"/>
          <w:szCs w:val="23"/>
          <w:shd w:val="clear" w:color="auto" w:fill="FFFFFF"/>
          <w:lang w:eastAsia="es-CO"/>
        </w:rPr>
        <w:t>.</w:t>
      </w:r>
    </w:p>
    <w:p w:rsidR="00467B8F" w:rsidRPr="00467B8F" w:rsidRDefault="00467B8F" w:rsidP="00467B8F">
      <w:pPr>
        <w:shd w:val="clear" w:color="auto" w:fill="FFFFFF"/>
        <w:spacing w:after="0" w:line="240" w:lineRule="auto"/>
        <w:rPr>
          <w:rFonts w:ascii="Times New Roman" w:eastAsia="Times New Roman" w:hAnsi="Times New Roman" w:cs="Times New Roman"/>
          <w:color w:val="333333"/>
          <w:sz w:val="23"/>
          <w:szCs w:val="23"/>
          <w:lang w:eastAsia="es-CO"/>
        </w:rPr>
      </w:pPr>
      <w:r w:rsidRPr="00467B8F">
        <w:rPr>
          <w:rFonts w:ascii="Times New Roman" w:eastAsia="Times New Roman" w:hAnsi="Times New Roman" w:cs="Times New Roman"/>
          <w:color w:val="333333"/>
          <w:sz w:val="23"/>
          <w:szCs w:val="23"/>
          <w:lang w:eastAsia="es-CO"/>
        </w:rPr>
        <w:br/>
      </w:r>
      <w:r w:rsidRPr="00467B8F">
        <w:rPr>
          <w:rFonts w:ascii="Times New Roman" w:eastAsia="Times New Roman" w:hAnsi="Times New Roman" w:cs="Times New Roman"/>
          <w:b/>
          <w:bCs/>
          <w:color w:val="000080"/>
          <w:sz w:val="23"/>
          <w:szCs w:val="23"/>
          <w:lang w:eastAsia="es-CO"/>
        </w:rPr>
        <w:t>8. FORMULARIO DE SOLICITUD </w:t>
      </w:r>
      <w:r w:rsidRPr="00467B8F">
        <w:rPr>
          <w:rFonts w:ascii="Times New Roman" w:eastAsia="Times New Roman" w:hAnsi="Times New Roman" w:cs="Times New Roman"/>
          <w:color w:val="333333"/>
          <w:sz w:val="23"/>
          <w:szCs w:val="23"/>
          <w:lang w:eastAsia="es-CO"/>
        </w:rPr>
        <w:br/>
        <w:t>Si después de leer detenidamente la presentación considera que reúne los requisitos, imprima </w:t>
      </w:r>
      <w:hyperlink r:id="rId10" w:history="1">
        <w:r w:rsidRPr="00467B8F">
          <w:rPr>
            <w:rFonts w:ascii="Times New Roman" w:eastAsia="Times New Roman" w:hAnsi="Times New Roman" w:cs="Times New Roman"/>
            <w:color w:val="000066"/>
            <w:sz w:val="23"/>
            <w:szCs w:val="23"/>
            <w:u w:val="single"/>
            <w:lang w:eastAsia="es-CO"/>
          </w:rPr>
          <w:t>el formulario de solicitud</w:t>
        </w:r>
      </w:hyperlink>
      <w:r w:rsidRPr="00467B8F">
        <w:rPr>
          <w:rFonts w:ascii="Times New Roman" w:eastAsia="Times New Roman" w:hAnsi="Times New Roman" w:cs="Times New Roman"/>
          <w:color w:val="333333"/>
          <w:sz w:val="23"/>
          <w:szCs w:val="23"/>
          <w:lang w:eastAsia="es-CO"/>
        </w:rPr>
        <w:t> y </w:t>
      </w:r>
      <w:hyperlink r:id="rId11" w:history="1">
        <w:r w:rsidRPr="00467B8F">
          <w:rPr>
            <w:rFonts w:ascii="Times New Roman" w:eastAsia="Times New Roman" w:hAnsi="Times New Roman" w:cs="Times New Roman"/>
            <w:color w:val="000066"/>
            <w:sz w:val="23"/>
            <w:szCs w:val="23"/>
            <w:u w:val="single"/>
            <w:lang w:eastAsia="es-CO"/>
          </w:rPr>
          <w:t>sus anexos.</w:t>
        </w:r>
      </w:hyperlink>
      <w:r w:rsidRPr="00467B8F">
        <w:rPr>
          <w:rFonts w:ascii="Times New Roman" w:eastAsia="Times New Roman" w:hAnsi="Times New Roman" w:cs="Times New Roman"/>
          <w:color w:val="333333"/>
          <w:sz w:val="23"/>
          <w:szCs w:val="23"/>
          <w:lang w:eastAsia="es-CO"/>
        </w:rPr>
        <w:t> Una vez diligenciada la información, hágala llegar a la Sección de Cooperación de la Embajada del Japón </w:t>
      </w:r>
      <w:r w:rsidRPr="00467B8F">
        <w:rPr>
          <w:rFonts w:ascii="Times New Roman" w:eastAsia="Times New Roman" w:hAnsi="Times New Roman" w:cs="Times New Roman"/>
          <w:b/>
          <w:bCs/>
          <w:color w:val="333333"/>
          <w:sz w:val="23"/>
          <w:szCs w:val="23"/>
          <w:lang w:eastAsia="es-CO"/>
        </w:rPr>
        <w:t>en físico</w:t>
      </w:r>
      <w:r w:rsidRPr="00467B8F">
        <w:rPr>
          <w:rFonts w:ascii="Times New Roman" w:eastAsia="Times New Roman" w:hAnsi="Times New Roman" w:cs="Times New Roman"/>
          <w:color w:val="333333"/>
          <w:sz w:val="23"/>
          <w:szCs w:val="23"/>
          <w:lang w:eastAsia="es-CO"/>
        </w:rPr>
        <w:t> para su evaluación.</w:t>
      </w:r>
      <w:r w:rsidRPr="00467B8F">
        <w:rPr>
          <w:rFonts w:ascii="Times New Roman" w:eastAsia="Times New Roman" w:hAnsi="Times New Roman" w:cs="Times New Roman"/>
          <w:color w:val="333333"/>
          <w:sz w:val="23"/>
          <w:szCs w:val="23"/>
          <w:lang w:eastAsia="es-CO"/>
        </w:rPr>
        <w:br/>
      </w:r>
      <w:r w:rsidRPr="00467B8F">
        <w:rPr>
          <w:rFonts w:ascii="Times New Roman" w:eastAsia="Times New Roman" w:hAnsi="Times New Roman" w:cs="Times New Roman"/>
          <w:b/>
          <w:bCs/>
          <w:color w:val="333333"/>
          <w:sz w:val="23"/>
          <w:szCs w:val="23"/>
          <w:lang w:eastAsia="es-CO"/>
        </w:rPr>
        <w:t>No</w:t>
      </w:r>
      <w:r w:rsidRPr="00467B8F">
        <w:rPr>
          <w:rFonts w:ascii="Times New Roman" w:eastAsia="Times New Roman" w:hAnsi="Times New Roman" w:cs="Times New Roman"/>
          <w:color w:val="333333"/>
          <w:sz w:val="23"/>
          <w:szCs w:val="23"/>
          <w:lang w:eastAsia="es-CO"/>
        </w:rPr>
        <w:t> recibiremos solicitudes con el formulario anterior </w:t>
      </w:r>
      <w:r w:rsidRPr="00467B8F">
        <w:rPr>
          <w:rFonts w:ascii="Times New Roman" w:eastAsia="Times New Roman" w:hAnsi="Times New Roman" w:cs="Times New Roman"/>
          <w:b/>
          <w:bCs/>
          <w:color w:val="333333"/>
          <w:sz w:val="23"/>
          <w:szCs w:val="23"/>
          <w:lang w:eastAsia="es-CO"/>
        </w:rPr>
        <w:t>ni </w:t>
      </w:r>
      <w:r w:rsidRPr="00467B8F">
        <w:rPr>
          <w:rFonts w:ascii="Times New Roman" w:eastAsia="Times New Roman" w:hAnsi="Times New Roman" w:cs="Times New Roman"/>
          <w:color w:val="333333"/>
          <w:sz w:val="23"/>
          <w:szCs w:val="23"/>
          <w:lang w:eastAsia="es-CO"/>
        </w:rPr>
        <w:t>en formato digital.</w:t>
      </w:r>
    </w:p>
    <w:p w:rsidR="00F15FF8" w:rsidRDefault="00F15FF8"/>
    <w:sectPr w:rsidR="00F15F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142F4"/>
    <w:multiLevelType w:val="multilevel"/>
    <w:tmpl w:val="9F18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212A0"/>
    <w:multiLevelType w:val="multilevel"/>
    <w:tmpl w:val="765E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121319"/>
    <w:multiLevelType w:val="multilevel"/>
    <w:tmpl w:val="BF2E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E25139"/>
    <w:multiLevelType w:val="multilevel"/>
    <w:tmpl w:val="90AC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673620"/>
    <w:multiLevelType w:val="multilevel"/>
    <w:tmpl w:val="4944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000088"/>
    <w:multiLevelType w:val="multilevel"/>
    <w:tmpl w:val="0D2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F83CBD"/>
    <w:multiLevelType w:val="multilevel"/>
    <w:tmpl w:val="DE1E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B8F"/>
    <w:rsid w:val="002A158F"/>
    <w:rsid w:val="00467B8F"/>
    <w:rsid w:val="00D5519C"/>
    <w:rsid w:val="00F15F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CF588-5188-46A1-B229-49AF83AC5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idonoticia">
    <w:name w:val="contenidonoticia"/>
    <w:basedOn w:val="Normal"/>
    <w:rsid w:val="00467B8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67B8F"/>
    <w:rPr>
      <w:b/>
      <w:bCs/>
    </w:rPr>
  </w:style>
  <w:style w:type="character" w:customStyle="1" w:styleId="alytxfnavy">
    <w:name w:val="aly_tx_f_navy"/>
    <w:basedOn w:val="Fuentedeprrafopredeter"/>
    <w:rsid w:val="00467B8F"/>
  </w:style>
  <w:style w:type="character" w:customStyle="1" w:styleId="contenidonoticia1">
    <w:name w:val="contenidonoticia1"/>
    <w:basedOn w:val="Fuentedeprrafopredeter"/>
    <w:rsid w:val="00467B8F"/>
  </w:style>
  <w:style w:type="paragraph" w:styleId="NormalWeb">
    <w:name w:val="Normal (Web)"/>
    <w:basedOn w:val="Normal"/>
    <w:uiPriority w:val="99"/>
    <w:semiHidden/>
    <w:unhideWhenUsed/>
    <w:rsid w:val="00467B8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ontenido">
    <w:name w:val="contenido"/>
    <w:basedOn w:val="Normal"/>
    <w:rsid w:val="00467B8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467B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349863">
      <w:bodyDiv w:val="1"/>
      <w:marLeft w:val="0"/>
      <w:marRight w:val="0"/>
      <w:marTop w:val="0"/>
      <w:marBottom w:val="0"/>
      <w:divBdr>
        <w:top w:val="none" w:sz="0" w:space="0" w:color="auto"/>
        <w:left w:val="none" w:sz="0" w:space="0" w:color="auto"/>
        <w:bottom w:val="none" w:sz="0" w:space="0" w:color="auto"/>
        <w:right w:val="none" w:sz="0" w:space="0" w:color="auto"/>
      </w:divBdr>
      <w:divsChild>
        <w:div w:id="798768836">
          <w:marLeft w:val="0"/>
          <w:marRight w:val="0"/>
          <w:marTop w:val="0"/>
          <w:marBottom w:val="0"/>
          <w:divBdr>
            <w:top w:val="none" w:sz="0" w:space="0" w:color="auto"/>
            <w:left w:val="none" w:sz="0" w:space="0" w:color="auto"/>
            <w:bottom w:val="none" w:sz="0" w:space="0" w:color="auto"/>
            <w:right w:val="none" w:sz="0" w:space="0" w:color="auto"/>
          </w:divBdr>
          <w:divsChild>
            <w:div w:id="1894269311">
              <w:marLeft w:val="0"/>
              <w:marRight w:val="0"/>
              <w:marTop w:val="0"/>
              <w:marBottom w:val="0"/>
              <w:divBdr>
                <w:top w:val="none" w:sz="0" w:space="0" w:color="auto"/>
                <w:left w:val="none" w:sz="0" w:space="0" w:color="auto"/>
                <w:bottom w:val="none" w:sz="0" w:space="0" w:color="auto"/>
                <w:right w:val="none" w:sz="0" w:space="0" w:color="auto"/>
              </w:divBdr>
            </w:div>
          </w:divsChild>
        </w:div>
        <w:div w:id="1391346067">
          <w:marLeft w:val="0"/>
          <w:marRight w:val="0"/>
          <w:marTop w:val="0"/>
          <w:marBottom w:val="0"/>
          <w:divBdr>
            <w:top w:val="none" w:sz="0" w:space="0" w:color="auto"/>
            <w:left w:val="none" w:sz="0" w:space="0" w:color="auto"/>
            <w:bottom w:val="none" w:sz="0" w:space="0" w:color="auto"/>
            <w:right w:val="none" w:sz="0" w:space="0" w:color="auto"/>
          </w:divBdr>
        </w:div>
        <w:div w:id="478109144">
          <w:marLeft w:val="0"/>
          <w:marRight w:val="0"/>
          <w:marTop w:val="0"/>
          <w:marBottom w:val="0"/>
          <w:divBdr>
            <w:top w:val="none" w:sz="0" w:space="0" w:color="auto"/>
            <w:left w:val="none" w:sz="0" w:space="0" w:color="auto"/>
            <w:bottom w:val="none" w:sz="0" w:space="0" w:color="auto"/>
            <w:right w:val="none" w:sz="0" w:space="0" w:color="auto"/>
          </w:divBdr>
        </w:div>
        <w:div w:id="1989481688">
          <w:marLeft w:val="0"/>
          <w:marRight w:val="0"/>
          <w:marTop w:val="0"/>
          <w:marBottom w:val="0"/>
          <w:divBdr>
            <w:top w:val="none" w:sz="0" w:space="0" w:color="auto"/>
            <w:left w:val="none" w:sz="0" w:space="0" w:color="auto"/>
            <w:bottom w:val="none" w:sz="0" w:space="0" w:color="auto"/>
            <w:right w:val="none" w:sz="0" w:space="0" w:color="auto"/>
          </w:divBdr>
        </w:div>
        <w:div w:id="1201236724">
          <w:marLeft w:val="0"/>
          <w:marRight w:val="0"/>
          <w:marTop w:val="0"/>
          <w:marBottom w:val="0"/>
          <w:divBdr>
            <w:top w:val="none" w:sz="0" w:space="0" w:color="auto"/>
            <w:left w:val="none" w:sz="0" w:space="0" w:color="auto"/>
            <w:bottom w:val="none" w:sz="0" w:space="0" w:color="auto"/>
            <w:right w:val="none" w:sz="0" w:space="0" w:color="auto"/>
          </w:divBdr>
        </w:div>
        <w:div w:id="839809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ombia.emb-japan.go.jp/files/000435998.x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lombia.emb-japan.go.jp/files/000435997.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lombia.emb-japan.go.jp/files/000435996.pdf" TargetMode="External"/><Relationship Id="rId11" Type="http://schemas.openxmlformats.org/officeDocument/2006/relationships/hyperlink" Target="https://www.colombia.emb-japan.go.jp/files/000436002.xlsx" TargetMode="External"/><Relationship Id="rId5" Type="http://schemas.openxmlformats.org/officeDocument/2006/relationships/hyperlink" Target="https://www.colombia.emb-japan.go.jp/files/000435995.pdf" TargetMode="External"/><Relationship Id="rId10" Type="http://schemas.openxmlformats.org/officeDocument/2006/relationships/hyperlink" Target="https://www.colombia.emb-japan.go.jp/files/000436001.docx" TargetMode="External"/><Relationship Id="rId4" Type="http://schemas.openxmlformats.org/officeDocument/2006/relationships/webSettings" Target="webSettings.xml"/><Relationship Id="rId9" Type="http://schemas.openxmlformats.org/officeDocument/2006/relationships/hyperlink" Target="https://www.colombia.emb-japan.go.jp/files/000437504.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761</Words>
  <Characters>4186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Margarita Sanchez Contreras</dc:creator>
  <cp:keywords/>
  <dc:description/>
  <cp:lastModifiedBy>Usuario</cp:lastModifiedBy>
  <cp:revision>2</cp:revision>
  <dcterms:created xsi:type="dcterms:W3CDTF">2019-03-05T13:54:00Z</dcterms:created>
  <dcterms:modified xsi:type="dcterms:W3CDTF">2019-03-05T13:54:00Z</dcterms:modified>
</cp:coreProperties>
</file>