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0.41.0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12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AWS archive foundation audit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exact GitHub/Sigstore artifact-attestation admission contract with SLSA v1 provenance, repository/workflow/main-ref identity, namespace opt-in, official version-pinned chart procedure, and no image exemptions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134 fast Python tests, Ruff, strict mypy, seven focused Kubernetes policy tests, and four Kustomize renders; live chart-digest approval and cluster admission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Split protected release approval from an input-free reusable builder, bound the builder to its exact main-branch workflow identity, and updated promotion plus Kubernetes admission to trust that signer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135 fast Python tests, Ruff, strict mypy, workflow YAML parsing, cross-policy signer tests, structural/a11y workbook checks, and resource monitoring; hosted CI and first live release remain the completion gates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portable offline release archive with downloaded attestations, current trusted roots, exact-policy re-verification, SHA-256/size manifest, and a fail-closed evidence-preserving revocation runbook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140 fast Python tests, Ruff, strict mypy, workflow-policy tests, structural/a11y workbook checks, and resource monitoring; live archive export, restore, and revocation exercises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deterministic sealing, a content-addressed archive receipt, bounded traversal-safe restore, a fresh-job download/restore gate, and a vendor-neutral WORM provider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144 fast Python tests, Ruff, strict mypy, workflow-policy tests, structural/a11y workbook checks, and resource monitoring; provider selection, immutable upload, and live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normalized immutable-provider export gate that re-restores the local seal and validates exact object identity, strong read-back integrity, locked retention, encryption, workload identity, audit evidence, and time ordering before emitting a non-replacing receipt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153 fast Python tests, Ruff, strict mypy, structural/a11y workbook checks, and resource monitoring; provider adapter, provisioning, live upload, and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first concrete immutable provider adapter for AWS S3 Object Lock: version-history/delete-marker rejection, atomic conditional upload, full SHA-256, </w:t>
            </w:r>
            <w:r>
              <w:rPr>
                <w:rFonts w:ascii="Calibri" w:hAnsi="Calibri"/>
                <w:b w:val="0"/>
                <w:color w:val="111827"/>
                <w:sz w:val="16"/>
              </w:rPr>
              <w:t>COMPLIANCE</w:t>
            </w:r>
            <w:r>
              <w:rPr>
                <w:rFonts w:ascii="Calibri" w:hAnsi="Calibri"/>
                <w:b w:val="0"/>
                <w:color w:val="111827"/>
                <w:sz w:val="16"/>
              </w:rPr>
              <w:t xml:space="preserve"> retention, exact SSE-KMS key, STS assumed-role identity, immutable version metadata, streamed read-back, and normalized receipts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169 fast Python tests, Ruff, strict mypy, canonical Python 3.14 Linux locks, structural/a11y/visual workbook checks, and bounded resource monitoring; live AWS provisioning, upload, denial, and restore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a Terraform AWS archive foundation with a non-destroyable versioned Object Lock bucket, default/minimum </w:t>
            </w:r>
            <w:r>
              <w:rPr>
                <w:rFonts w:ascii="Calibri" w:hAnsi="Calibri"/>
                <w:b w:val="0"/>
                <w:color w:val="111827"/>
                <w:sz w:val="16"/>
              </w:rPr>
              <w:t>COMPLIANCE</w:t>
            </w:r>
            <w:r>
              <w:rPr>
                <w:rFonts w:ascii="Calibri" w:hAnsi="Calibri"/>
                <w:b w:val="0"/>
                <w:color w:val="111827"/>
                <w:sz w:val="16"/>
              </w:rPr>
              <w:t xml:space="preserve"> retention, rotated SSE-KMS key, fixed-prefix bucket denials, exact separate OIDC writer/restore roles, and externally delivered validated CloudTrail</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175 fast Python tests, Terraform 1.15.8 validation, five mocked positive/negative plans, AWS provider 6.58.0 Linux/Windows lock, Ruff, strict mypy, structural/a11y/visual workbook checks, and resource monitoring; live account review, apply, IAM simulation, upload/denial/restore, and CloudTrail correlation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operator-only read-only AWS foundation auditor for exact account, S3 Object Lock/encryption/private ownership/deny policy, KMS state/rotation, separate OIDC IAM roles, and external CloudTrail delivery with bounded non-replacing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185 fast Python tests, ten focused positive/negative/read-only auditor scenarios, Ruff, strict mypy, structural/a11y/visual workbook checks, and resource monitoring; approved apply, effective IAM simulation, retained upload/denial/restore, and CloudTrail event correlation remain pending</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Cryptographic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configuration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GitHub/Sigstore Policy Controller values restrict SLSA v1 provenance to the exact ATEP image, repository, release workflow, and main ref with no exemptions; live installation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reusable-builder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approval, input-free exact-identity builder, immutable commit tag, signed SLSA and CycloneDX attestations, release report, and exact pre-promotion/admission verification; independently governed builder and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evidence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portable archive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Exact-digest attestation bundle, current roots, offline verification, manifest-bound report/SBOM/bundle/root, and evidence-first revocation procedure; immutable provider export and live revocation exercise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Sealed evidence restore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transfer/restore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non-replacing ZIP, content-addressed receipt, bounded safe extraction, fresh-job artifact download, restore verification, and WORM provider contract; real provider upload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Immutable provider export gate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provider-neutral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bounded provider evidence, local full restore, key/version/checksum/size/retention/encryption/identity/audit/time validation, and normalized non-replacing receipt; live adapter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S3 Object Lock adapter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 adapter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Pre-upload restore, expected account, assumed role, conditional </w:t>
            </w:r>
            <w:r>
              <w:rPr>
                <w:rFonts w:ascii="Calibri" w:hAnsi="Calibri"/>
                <w:b w:val="0"/>
                <w:color w:val="111827"/>
                <w:sz w:val="17"/>
              </w:rPr>
              <w:t>COMPLIANCE</w:t>
            </w:r>
            <w:r>
              <w:rPr>
                <w:rFonts w:ascii="Calibri" w:hAnsi="Calibri"/>
                <w:b w:val="0"/>
                <w:color w:val="111827"/>
                <w:sz w:val="17"/>
              </w:rPr>
              <w:t xml:space="preserve"> write, exact KMS key, version metadata, full read-back, and normalized evidence; live AWS acceptance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archive infrastructure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declarative foundation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Terraform defines S3 Object Lock, KMS, bucket policy, exact OIDC writer/restore roles, and externally governed CloudTrail delivery; CI cannot apply it and live AWS evidence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archive foundation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read-only acceptance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Operator-only STS/S3/KMS/IAM/CloudTrail inspection fails closed and emits one bounded non-replacing report; no AWS credentials are available in CI and no live report is claimed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185 fast tests plus expanded disposable black-box, alert-delivery, restore-drill, sealed release-archive/export-gate/AWS-adapter/Terraform/auditor-policy, and workflow scenarios, five mocked Terraform plans,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native and cryptographic admission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path.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.github/workflows/reusable-release-builder.yml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live admission execution,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2"/>
        <w:keepNext/>
        <w:keepLines/>
      </w:pPr>
      <w:r>
        <w:t>ADR-028 — Bind Cluster Admission to the Exact GitHub Release Workflow</w:t>
      </w:r>
    </w:p>
    <w:p>
      <w:r>
        <w:rPr>
          <w:rFonts w:ascii="Calibri" w:hAnsi="Calibri"/>
          <w:b/>
          <w:color w:val="111827"/>
          <w:sz w:val="22"/>
        </w:rPr>
        <w:t>Decision.</w:t>
      </w:r>
      <w:r>
        <w:rPr>
          <w:rFonts w:ascii="Calibri" w:hAnsi="Calibri"/>
          <w:color w:val="111827"/>
          <w:sz w:val="22"/>
        </w:rPr>
        <w:t xml:space="preserve"> Opt the </w:t>
      </w:r>
      <w:r>
        <w:rPr>
          <w:rFonts w:ascii="Consolas" w:hAnsi="Consolas"/>
          <w:color w:val="1F4D78"/>
          <w:sz w:val="19"/>
        </w:rPr>
        <w:t>atep</w:t>
      </w:r>
      <w:r>
        <w:rPr>
          <w:rFonts w:ascii="Calibri" w:hAnsi="Calibri"/>
          <w:color w:val="111827"/>
          <w:sz w:val="22"/>
        </w:rPr>
        <w:t xml:space="preserve"> namespace into the official GitHub/Sigstore Policy Controller and commit its trust-policy values. Require SLSA v1 provenance, the GitHub Actions OIDC issuer, the exact </w:t>
      </w:r>
      <w:r>
        <w:rPr>
          <w:rFonts w:ascii="Consolas" w:hAnsi="Consolas"/>
          <w:color w:val="1F4D78"/>
          <w:sz w:val="19"/>
        </w:rPr>
        <w:t>paulacristinaqa/automotive_test_engineering_platform</w:t>
      </w:r>
      <w:r>
        <w:rPr>
          <w:rFonts w:ascii="Calibri" w:hAnsi="Calibri"/>
          <w:color w:val="111827"/>
          <w:sz w:val="22"/>
        </w:rPr>
        <w:t xml:space="preserve"> repository, </w:t>
      </w:r>
      <w:r>
        <w:rPr>
          <w:rFonts w:ascii="Consolas" w:hAnsi="Consolas"/>
          <w:color w:val="1F4D78"/>
          <w:sz w:val="19"/>
        </w:rPr>
        <w:t>.github/workflows/reusable-release-builder.yml</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and the exact ATEP GHCR image pattern. Permit no exempt image. Retain the native repository/digest admission policy as an independent gate.</w:t>
      </w:r>
    </w:p>
    <w:p>
      <w:r>
        <w:rPr>
          <w:rFonts w:ascii="Calibri" w:hAnsi="Calibri"/>
          <w:b/>
          <w:color w:val="111827"/>
          <w:sz w:val="22"/>
        </w:rPr>
        <w:t>Rationale.</w:t>
      </w:r>
      <w:r>
        <w:rPr>
          <w:rFonts w:ascii="Calibri" w:hAnsi="Calibri"/>
          <w:color w:val="111827"/>
          <w:sz w:val="22"/>
        </w:rPr>
        <w:t xml:space="preserve"> Digest admission proves content identity but not who built that content. The release workflow already publishes OCI-attached GitHub/Sigstore provenance with </w:t>
      </w:r>
      <w:r>
        <w:rPr>
          <w:rFonts w:ascii="Consolas" w:hAnsi="Consolas"/>
          <w:color w:val="1F4D78"/>
          <w:sz w:val="19"/>
        </w:rPr>
        <w:t>push-to-registry: true</w:t>
      </w:r>
      <w:r>
        <w:rPr>
          <w:rFonts w:ascii="Calibri" w:hAnsi="Calibri"/>
          <w:color w:val="111827"/>
          <w:sz w:val="22"/>
        </w:rPr>
        <w:t>, so the official controller can cryptographically evaluate the same evidence inside Kubernetes. An exact certificate-subject regular expression is narrower than trusting every repository owned by the account and supports the current personal repository owner.</w:t>
      </w:r>
    </w:p>
    <w:p>
      <w:r>
        <w:rPr>
          <w:rFonts w:ascii="Calibri" w:hAnsi="Calibri"/>
          <w:b/>
          <w:color w:val="111827"/>
          <w:sz w:val="22"/>
        </w:rPr>
        <w:t>Consequences.</w:t>
      </w:r>
      <w:r>
        <w:rPr>
          <w:rFonts w:ascii="Calibri" w:hAnsi="Calibri"/>
          <w:color w:val="111827"/>
          <w:sz w:val="22"/>
        </w:rPr>
        <w:t xml:space="preserve"> Repository configuration alone does not deploy the controller. Operators must approve immutable OCI chart digests, install the reviewed Sigstore controller and GitHub trust policy, validate trust-root and policy status, and retain positive/negative admission evidence. Removing namespace opt-in, broadening the subject/image pattern, adding exemptions, or falling back to an unattested digest is a security-policy change requiring review. Kubernetes 1.30 remains the effective platform minimum because of the native policy.</w:t>
      </w:r>
    </w:p>
    <w:p>
      <w:pPr>
        <w:pStyle w:val="Heading2"/>
        <w:keepNext/>
        <w:keepLines/>
      </w:pPr>
      <w:r>
        <w:t>ADR-029 — Isolate Release Construction and Signing behind a Reusable Workflow</w:t>
      </w:r>
    </w:p>
    <w:p>
      <w:r>
        <w:rPr>
          <w:rFonts w:ascii="Calibri" w:hAnsi="Calibri"/>
          <w:b/>
          <w:color w:val="111827"/>
          <w:sz w:val="22"/>
        </w:rPr>
        <w:t>Decision.</w:t>
      </w:r>
      <w:r>
        <w:rPr>
          <w:rFonts w:ascii="Calibri" w:hAnsi="Calibri"/>
          <w:color w:val="111827"/>
          <w:sz w:val="22"/>
        </w:rPr>
        <w:t xml:space="preserve"> Keep environment approval and fail-closed enablement in the manual </w:t>
      </w:r>
      <w:r>
        <w:rPr>
          <w:rFonts w:ascii="Consolas" w:hAnsi="Consolas"/>
          <w:color w:val="1F4D78"/>
          <w:sz w:val="19"/>
        </w:rPr>
        <w:t>release.yml</w:t>
      </w:r>
      <w:r>
        <w:rPr>
          <w:rFonts w:ascii="Calibri" w:hAnsi="Calibri"/>
          <w:color w:val="111827"/>
          <w:sz w:val="22"/>
        </w:rPr>
        <w:t xml:space="preserve"> caller, then delegate construction, publication, SBOM generation, and both attestations to </w:t>
      </w:r>
      <w:r>
        <w:rPr>
          <w:rFonts w:ascii="Consolas" w:hAnsi="Consolas"/>
          <w:color w:val="1F4D78"/>
          <w:sz w:val="19"/>
        </w:rPr>
        <w:t>reusable-release-builder.yml</w:t>
      </w:r>
      <w:r>
        <w:rPr>
          <w:rFonts w:ascii="Calibri" w:hAnsi="Calibri"/>
          <w:color w:val="111827"/>
          <w:sz w:val="22"/>
        </w:rPr>
        <w:t xml:space="preserve">. Expose no workflow inputs or caller secrets. Grant write permissions only on the dependent call and require the called job's exact </w:t>
      </w:r>
      <w:r>
        <w:rPr>
          <w:rFonts w:ascii="Consolas" w:hAnsi="Consolas"/>
          <w:color w:val="1F4D78"/>
          <w:sz w:val="19"/>
        </w:rPr>
        <w:t>job.workflow_ref</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xml:space="preserve"> before registry authentication.</w:t>
      </w:r>
    </w:p>
    <w:p>
      <w:r>
        <w:rPr>
          <w:rFonts w:ascii="Calibri" w:hAnsi="Calibri"/>
          <w:b/>
          <w:color w:val="111827"/>
          <w:sz w:val="22"/>
        </w:rPr>
        <w:t>Rationale.</w:t>
      </w:r>
      <w:r>
        <w:rPr>
          <w:rFonts w:ascii="Calibri" w:hAnsi="Calibri"/>
          <w:color w:val="111827"/>
          <w:sz w:val="22"/>
        </w:rPr>
        <w:t xml:space="preserve"> GitHub identifies the workflow containing </w:t>
      </w:r>
      <w:r>
        <w:rPr>
          <w:rFonts w:ascii="Consolas" w:hAnsi="Consolas"/>
          <w:color w:val="1F4D78"/>
          <w:sz w:val="19"/>
        </w:rPr>
        <w:t>actions/attest</w:t>
      </w:r>
      <w:r>
        <w:rPr>
          <w:rFonts w:ascii="Calibri" w:hAnsi="Calibri"/>
          <w:color w:val="111827"/>
          <w:sz w:val="22"/>
        </w:rPr>
        <w:t xml:space="preserve"> as the signer. Moving build and signing together behind a narrow reusable boundary therefore gives promotion and cluster admission one explicit builder identity while eliminating arbitrary caller-controlled image, ref, registry, command, and credential inputs. The approval job cannot publish and the builder cannot elevate the caller's token permissions.</w:t>
      </w:r>
    </w:p>
    <w:p>
      <w:r>
        <w:rPr>
          <w:rFonts w:ascii="Calibri" w:hAnsi="Calibri"/>
          <w:b/>
          <w:color w:val="111827"/>
          <w:sz w:val="22"/>
        </w:rPr>
        <w:t>Consequences.</w:t>
      </w:r>
      <w:r>
        <w:rPr>
          <w:rFonts w:ascii="Calibri" w:hAnsi="Calibri"/>
          <w:color w:val="111827"/>
          <w:sz w:val="22"/>
        </w:rPr>
        <w:t xml:space="preserve"> Promotion and Sigstore admission must trust the reusable workflow rather than its caller, and signer changes must update both gates atomically. Because caller and builder remain in the same repository and commit, this is not yet independently governed SLSA Build Level 3 isolation. A future builder repository must be protected separately and referenced by reviewed immutable SHA.</w:t>
      </w:r>
    </w:p>
    <w:p>
      <w:pPr>
        <w:pStyle w:val="Heading2"/>
        <w:keepNext/>
        <w:keepLines/>
      </w:pPr>
      <w:r>
        <w:t>ADR-030 — Preserve Portable Evidence before Exact-Digest Revocation</w:t>
      </w:r>
    </w:p>
    <w:p>
      <w:r>
        <w:rPr>
          <w:rFonts w:ascii="Calibri" w:hAnsi="Calibri"/>
          <w:b/>
          <w:color w:val="111827"/>
          <w:sz w:val="22"/>
        </w:rPr>
        <w:t>Decision.</w:t>
      </w:r>
      <w:r>
        <w:rPr>
          <w:rFonts w:ascii="Calibri" w:hAnsi="Calibri"/>
          <w:color w:val="111827"/>
          <w:sz w:val="22"/>
        </w:rPr>
        <w:t xml:space="preserve"> After online attestation creation, download the exact image digest's GitHub bundle and current trusted roots, verify the archived SLSA provenance against the same repository/signer/source/runner policy, and emit a schema </w:t>
      </w:r>
      <w:r>
        <w:rPr>
          <w:rFonts w:ascii="Consolas" w:hAnsi="Consolas"/>
          <w:color w:val="1F4D78"/>
          <w:sz w:val="19"/>
        </w:rPr>
        <w:t>1.0.0</w:t>
      </w:r>
      <w:r>
        <w:rPr>
          <w:rFonts w:ascii="Calibri" w:hAnsi="Calibri"/>
          <w:color w:val="111827"/>
          <w:sz w:val="22"/>
        </w:rPr>
        <w:t xml:space="preserve"> manifest that hashes and sizes the release report, CycloneDX SBOM, bundle, and roots. Treat the 90-day Actions artifact as a transfer package. Require a separate, dual-reviewed runbook to preserve evidence before deleting exact-digest attestations, package versions, or OCI referrers.</w:t>
      </w:r>
    </w:p>
    <w:p>
      <w:r>
        <w:rPr>
          <w:rFonts w:ascii="Calibri" w:hAnsi="Calibri"/>
          <w:b/>
          <w:color w:val="111827"/>
          <w:sz w:val="22"/>
        </w:rPr>
        <w:t>Rationale.</w:t>
      </w:r>
      <w:r>
        <w:rPr>
          <w:rFonts w:ascii="Calibri" w:hAnsi="Calibri"/>
          <w:color w:val="111827"/>
          <w:sz w:val="22"/>
        </w:rPr>
        <w:t xml:space="preserve"> GitHub lifecycle guidance recommends downloading attestations before deletion, and offline verification requires both the bundle and trusted roots. Binding all evidence files detects accidental substitution or truncation and enables later verification without relying on the Actions artifact. Separating archival from revocation prevents a destructive convenience workflow from erasing evidence or withdrawing the wrong digest.</w:t>
      </w:r>
    </w:p>
    <w:p>
      <w:r>
        <w:rPr>
          <w:rFonts w:ascii="Calibri" w:hAnsi="Calibri"/>
          <w:b/>
          <w:color w:val="111827"/>
          <w:sz w:val="22"/>
        </w:rPr>
        <w:t>Consequences.</w:t>
      </w:r>
      <w:r>
        <w:rPr>
          <w:rFonts w:ascii="Calibri" w:hAnsi="Calibri"/>
          <w:color w:val="111827"/>
          <w:sz w:val="22"/>
        </w:rPr>
        <w:t xml:space="preserve"> An archived signature remains historical cryptographic evidence and is not a current authorization decision; offline verifiers must consult current revocation state. GitHub's 90-day retention is not product-lifetime storage. Production still needs immutable provider retention, encryption and ownership controls, restore exercises, an external revocation catalogue, consumer notification, and live negative verification/admission evidence.</w:t>
      </w:r>
    </w:p>
    <w:p>
      <w:pPr>
        <w:pStyle w:val="Heading2"/>
        <w:keepNext/>
        <w:keepLines/>
      </w:pPr>
      <w:r>
        <w:t>ADR-031 — Seal One Deterministic Object and Prove Restore across a Fresh Job</w:t>
      </w:r>
    </w:p>
    <w:p>
      <w:r>
        <w:rPr>
          <w:rFonts w:ascii="Calibri" w:hAnsi="Calibri"/>
          <w:b/>
          <w:color w:val="111827"/>
          <w:sz w:val="22"/>
        </w:rPr>
        <w:t>Decision.</w:t>
      </w:r>
      <w:r>
        <w:rPr>
          <w:rFonts w:ascii="Calibri" w:hAnsi="Calibri"/>
          <w:color w:val="111827"/>
          <w:sz w:val="22"/>
        </w:rPr>
        <w:t xml:space="preserve"> Seal the manifest and its four evidence files into one deterministic, uncompressed ZIP with fixed entry order, timestamp, permissions, names, and bounded sizes. Emit a separate schema </w:t>
      </w:r>
      <w:r>
        <w:rPr>
          <w:rFonts w:ascii="Consolas" w:hAnsi="Consolas"/>
          <w:color w:val="1F4D78"/>
          <w:sz w:val="19"/>
        </w:rPr>
        <w:t>1.0.0</w:t>
      </w:r>
      <w:r>
        <w:rPr>
          <w:rFonts w:ascii="Calibri" w:hAnsi="Calibri"/>
          <w:color w:val="111827"/>
          <w:sz w:val="22"/>
        </w:rPr>
        <w:t xml:space="preserve"> receipt that binds source SHA, image digest, manifest SHA-256, archive SHA-256/size/count, creation time, and deterministic provider object key. Refuse replacement. After upload to the workflow artifact service, require a fresh read-only job to download, validate, and restore into an empty workspace. Define a vendor-neutral WORM provider contract without embedding cloud credentials or selecting a provider prematurely.</w:t>
      </w:r>
    </w:p>
    <w:p>
      <w:r>
        <w:rPr>
          <w:rFonts w:ascii="Calibri" w:hAnsi="Calibri"/>
          <w:b/>
          <w:color w:val="111827"/>
          <w:sz w:val="22"/>
        </w:rPr>
        <w:t>Rationale.</w:t>
      </w:r>
      <w:r>
        <w:rPr>
          <w:rFonts w:ascii="Calibri" w:hAnsi="Calibri"/>
          <w:color w:val="111827"/>
          <w:sz w:val="22"/>
        </w:rPr>
        <w:t xml:space="preserve"> A single deterministic object is easier to content-address, transfer, retain, and restore than five loose files. The separate receipt avoids a circular self-hash and lets an exporter compare a provider read-back with the local seal. A fresh job tests the real workflow transport boundary, while safe-basename, exact-entry, ZIP_STORED, size, hash, and empty-destination checks reduce traversal, zip-bomb, substitution, and partial-restore risks.</w:t>
      </w:r>
    </w:p>
    <w:p>
      <w:r>
        <w:rPr>
          <w:rFonts w:ascii="Calibri" w:hAnsi="Calibri"/>
          <w:b/>
          <w:color w:val="111827"/>
          <w:sz w:val="22"/>
        </w:rPr>
        <w:t>Consequences.</w:t>
      </w:r>
      <w:r>
        <w:rPr>
          <w:rFonts w:ascii="Calibri" w:hAnsi="Calibri"/>
          <w:color w:val="111827"/>
          <w:sz w:val="22"/>
        </w:rPr>
        <w:t xml:space="preserve"> GitHub artifact restoration proves packaging and transport only, not product-lifetime immutability. Production must select and configure locked WORM retention, object version identity, legal/event holds, independent keys/audit, non-deleting short-lived writer identity, strong checksum read-back, provider receipt retention, and scheduled clean-host restore. The deterministic key must never be overwritten even if a provider retains older versions.</w:t>
      </w:r>
    </w:p>
    <w:p>
      <w:pPr>
        <w:pStyle w:val="Heading2"/>
        <w:keepNext/>
        <w:keepLines/>
      </w:pPr>
      <w:r>
        <w:t>ADR-032 — Normalize Provider Evidence before Accepting an Immutable Export</w:t>
      </w:r>
    </w:p>
    <w:p>
      <w:r>
        <w:rPr>
          <w:rFonts w:ascii="Calibri" w:hAnsi="Calibri"/>
          <w:b/>
          <w:color w:val="111827"/>
          <w:sz w:val="22"/>
        </w:rPr>
        <w:t>Decision.</w:t>
      </w:r>
      <w:r>
        <w:rPr>
          <w:rFonts w:ascii="Calibri" w:hAnsi="Calibri"/>
          <w:color w:val="111827"/>
          <w:sz w:val="22"/>
        </w:rPr>
        <w:t xml:space="preserve"> Require each future provider adapter to translate its upload, retention-state, identity, audit, and read-back response into one exact non-sensitive JSON schema. Re-validate and fully restore the local seal, require the provider's exact deterministic key, immutable version, SHA-256 upload/read-back value, byte size, locked retention at or beyond an explicit minimum, approved encryption mode, bounded writer/audit identifiers, and chronological timestamps. Emit a separate normalized receipt that hashes both source evidence files and cannot replace an existing receipt.</w:t>
      </w:r>
    </w:p>
    <w:p>
      <w:r>
        <w:rPr>
          <w:rFonts w:ascii="Calibri" w:hAnsi="Calibri"/>
          <w:b/>
          <w:color w:val="111827"/>
          <w:sz w:val="22"/>
        </w:rPr>
        <w:t>Rationale.</w:t>
      </w:r>
      <w:r>
        <w:rPr>
          <w:rFonts w:ascii="Calibri" w:hAnsi="Calibri"/>
          <w:color w:val="111827"/>
          <w:sz w:val="22"/>
        </w:rPr>
        <w:t xml:space="preserve"> AWS, Azure, Google Cloud, and future providers expose different names and response shapes for equivalent controls. A narrow normalization boundary keeps provider credentials and raw response bodies out of retained evidence, gives policy and tests one stable contract, and prevents a nominal upload-success response from being confused with verified immutable retention and recoverability.</w:t>
      </w:r>
    </w:p>
    <w:p>
      <w:r>
        <w:rPr>
          <w:rFonts w:ascii="Calibri" w:hAnsi="Calibri"/>
          <w:b/>
          <w:color w:val="111827"/>
          <w:sz w:val="22"/>
        </w:rPr>
        <w:t>Consequences.</w:t>
      </w:r>
      <w:r>
        <w:rPr>
          <w:rFonts w:ascii="Calibri" w:hAnsi="Calibri"/>
          <w:color w:val="111827"/>
          <w:sz w:val="22"/>
        </w:rPr>
        <w:t xml:space="preserve"> The gate proves consistency of the evidence supplied by an adapter; it cannot independently prove that a provider API response is truthful or that account policy remains locked. Production still needs an approved adapter using short-lived identity, independently reviewed provisioning, real denial/audit/read-back evidence, retention monitoring, and scheduled clean-host restoration.</w:t>
      </w:r>
    </w:p>
    <w:p>
      <w:pPr>
        <w:pStyle w:val="Heading2"/>
        <w:keepNext/>
        <w:keepLines/>
      </w:pPr>
      <w:r>
        <w:t>ADR-033 — Implement the First Provider Adapter with S3 Object Lock Compliance Mode</w:t>
      </w:r>
    </w:p>
    <w:p>
      <w:r>
        <w:rPr>
          <w:rFonts w:ascii="Calibri" w:hAnsi="Calibri"/>
          <w:b/>
          <w:color w:val="111827"/>
          <w:sz w:val="22"/>
        </w:rPr>
        <w:t>Decision.</w:t>
      </w:r>
      <w:r>
        <w:rPr>
          <w:rFonts w:ascii="Calibri" w:hAnsi="Calibri"/>
          <w:color w:val="111827"/>
          <w:sz w:val="22"/>
        </w:rPr>
        <w:t xml:space="preserve"> Implement one AWS S3 adapter that validates and restores the local seal, requires an STS assumed-role session in the expected archive account, and uses one conditional </w:t>
      </w:r>
      <w:r>
        <w:rPr>
          <w:rFonts w:ascii="Consolas" w:hAnsi="Consolas"/>
          <w:color w:val="1F4D78"/>
          <w:sz w:val="19"/>
        </w:rPr>
        <w:t>PutObject</w:t>
      </w:r>
      <w:r>
        <w:rPr>
          <w:rFonts w:ascii="Calibri" w:hAnsi="Calibri"/>
          <w:color w:val="111827"/>
          <w:sz w:val="22"/>
        </w:rPr>
        <w:t xml:space="preserve"> with full-object SHA-256, </w:t>
      </w:r>
      <w:r>
        <w:rPr>
          <w:rFonts w:ascii="Consolas" w:hAnsi="Consolas"/>
          <w:color w:val="1F4D78"/>
          <w:sz w:val="19"/>
        </w:rPr>
        <w:t>If-None-Match: *</w:t>
      </w:r>
      <w:r>
        <w:rPr>
          <w:rFonts w:ascii="Calibri" w:hAnsi="Calibri"/>
          <w:color w:val="111827"/>
          <w:sz w:val="22"/>
        </w:rPr>
        <w:t xml:space="preserve">, explicit </w:t>
      </w:r>
      <w:r>
        <w:rPr>
          <w:rFonts w:ascii="Consolas" w:hAnsi="Consolas"/>
          <w:color w:val="1F4D78"/>
          <w:sz w:val="19"/>
        </w:rPr>
        <w:t>COMPLIANCE</w:t>
      </w:r>
      <w:r>
        <w:rPr>
          <w:rFonts w:ascii="Calibri" w:hAnsi="Calibri"/>
          <w:color w:val="111827"/>
          <w:sz w:val="22"/>
        </w:rPr>
        <w:t xml:space="preserve"> retention, exact customer-managed KMS key, and S3 Bucket Key. Treat the returned </w:t>
      </w:r>
      <w:r>
        <w:rPr>
          <w:rFonts w:ascii="Consolas" w:hAnsi="Consolas"/>
          <w:color w:val="1F4D78"/>
          <w:sz w:val="19"/>
        </w:rPr>
        <w:t>VersionId</w:t>
      </w:r>
      <w:r>
        <w:rPr>
          <w:rFonts w:ascii="Calibri" w:hAnsi="Calibri"/>
          <w:color w:val="111827"/>
          <w:sz w:val="22"/>
        </w:rPr>
        <w:t xml:space="preserve"> as the immutable provider identity; verify metadata and fully stream that exact version back before emitting provider evidence and the normalized export receipt. Do not provision AWS resources or activate the adapter in release CI in this slice.</w:t>
      </w:r>
    </w:p>
    <w:p>
      <w:r>
        <w:rPr>
          <w:rFonts w:ascii="Calibri" w:hAnsi="Calibri"/>
          <w:b/>
          <w:color w:val="111827"/>
          <w:sz w:val="22"/>
        </w:rPr>
        <w:t>Rationale.</w:t>
      </w:r>
      <w:r>
        <w:rPr>
          <w:rFonts w:ascii="Calibri" w:hAnsi="Calibri"/>
          <w:color w:val="111827"/>
          <w:sz w:val="22"/>
        </w:rPr>
        <w:t xml:space="preserve"> S3 Object Lock protects versions rather than key names, so retention alone does not prevent another version under the deterministic key. The conditional write is the atomic non-replacement boundary. Explicit compliance retention prevents governance bypass, while exact account, temporary role, KMS, version, checksum, and read-back checks make provider assumptions executable rather than documentary.</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COMPLIANCE</w:t>
      </w:r>
      <w:r>
        <w:rPr>
          <w:rFonts w:ascii="Calibri" w:hAnsi="Calibri"/>
          <w:color w:val="111827"/>
          <w:sz w:val="22"/>
        </w:rPr>
        <w:t xml:space="preserve"> retention cannot be shortened, so live testing requires a disposable object and approved duration. The adapter's fake client proves request/response policy, not AWS account truth. Production needs a versioned Object Lock bucket, policy conditions, separate KMS administration, OIDC trust, CloudTrail data events, IAM simulation, denial tests, monitoring, cost/account ownership, catalogue registration, and a clean-host restore.</w:t>
      </w:r>
    </w:p>
    <w:p>
      <w:pPr>
        <w:pStyle w:val="Heading2"/>
        <w:keepNext/>
        <w:keepLines/>
      </w:pPr>
      <w:r>
        <w:t>ADR-034 — Define the AWS Archive Foundation without Granting CI a Deployment Path</w:t>
      </w:r>
    </w:p>
    <w:p>
      <w:r>
        <w:rPr>
          <w:rFonts w:ascii="Calibri" w:hAnsi="Calibri"/>
          <w:b/>
          <w:color w:val="111827"/>
          <w:sz w:val="22"/>
        </w:rPr>
        <w:t>Decision.</w:t>
      </w:r>
      <w:r>
        <w:rPr>
          <w:rFonts w:ascii="Calibri" w:hAnsi="Calibri"/>
          <w:color w:val="111827"/>
          <w:sz w:val="22"/>
        </w:rPr>
        <w:t xml:space="preserve"> Define the archive bucket, customer-managed KMS key, bucket policy, separate writer and restore roles, and CloudTrail as a Terraform root module. Enable Object Lock when creating a non-destroyable versioned bucket; enforce default and minimum </w:t>
      </w:r>
      <w:r>
        <w:rPr>
          <w:rFonts w:ascii="Consolas" w:hAnsi="Consolas"/>
          <w:color w:val="1F4D78"/>
          <w:sz w:val="19"/>
        </w:rPr>
        <w:t>COMPLIANCE</w:t>
      </w:r>
      <w:r>
        <w:rPr>
          <w:rFonts w:ascii="Calibri" w:hAnsi="Calibri"/>
          <w:color w:val="111827"/>
          <w:sz w:val="22"/>
        </w:rPr>
        <w:t xml:space="preserve"> retention, KMS encryption, Bucket Key, private ownership, fixed prefix, TLS, and exact short-lived GitHub OIDC subjects. Deliver validated multi-Region management and archive-object data events to an externally governed bucket/key. Accept the account-wide OIDC provider, KMS administrator roles, audit destination, and remote state as external inputs. Routine CI may format, initialize without a backend, validate, and execute mocked plans only; it receives no AWS credential or </w:t>
      </w:r>
      <w:r>
        <w:rPr>
          <w:rFonts w:ascii="Consolas" w:hAnsi="Consolas"/>
          <w:color w:val="1F4D78"/>
          <w:sz w:val="19"/>
        </w:rPr>
        <w:t>apply</w:t>
      </w:r>
      <w:r>
        <w:rPr>
          <w:rFonts w:ascii="Calibri" w:hAnsi="Calibri"/>
          <w:color w:val="111827"/>
          <w:sz w:val="22"/>
        </w:rPr>
        <w:t xml:space="preserve"> path.</w:t>
      </w:r>
    </w:p>
    <w:p>
      <w:r>
        <w:rPr>
          <w:rFonts w:ascii="Calibri" w:hAnsi="Calibri"/>
          <w:b/>
          <w:color w:val="111827"/>
          <w:sz w:val="22"/>
        </w:rPr>
        <w:t>Rationale.</w:t>
      </w:r>
      <w:r>
        <w:rPr>
          <w:rFonts w:ascii="Calibri" w:hAnsi="Calibri"/>
          <w:color w:val="111827"/>
          <w:sz w:val="22"/>
        </w:rPr>
        <w:t xml:space="preserve"> Provider-adapter correctness cannot compensate for a weak bucket, broad role, mutable audit trail, or accidental destructive IaC. Declaring the controls makes review and drift intent reproducible, while keeping state, audit storage, key administration, and provisioning authority outside the data-plane roles reduces circular trust. Mocked positive and negative plans verify structure without creating retained objects or billable infrastructure.</w:t>
      </w:r>
    </w:p>
    <w:p>
      <w:r>
        <w:rPr>
          <w:rFonts w:ascii="Calibri" w:hAnsi="Calibri"/>
          <w:b/>
          <w:color w:val="111827"/>
          <w:sz w:val="22"/>
        </w:rPr>
        <w:t>Consequences.</w:t>
      </w:r>
      <w:r>
        <w:rPr>
          <w:rFonts w:ascii="Calibri" w:hAnsi="Calibri"/>
          <w:color w:val="111827"/>
          <w:sz w:val="22"/>
        </w:rPr>
        <w:t xml:space="preserve"> A mock provider cannot prove AWS account ownership, provider API behavior, external audit policies, actual OIDC claims, environment protection, IAM effective permissions, cost, or recoverability. The explicit root delegation in the KMS policy preserves account recovery and IAM authorization, so organizational root/IAM governance remains a trusted control. Live use still requires a protected two-reviewer plan/apply, exact-claim capture, IAM simulation, CloudTrail delivery proof, disposable retained upload, denial matrix, and clean-host restore.</w:t>
      </w:r>
    </w:p>
    <w:p>
      <w:pPr>
        <w:pStyle w:val="Heading2"/>
        <w:keepNext/>
        <w:keepLines/>
      </w:pPr>
      <w:r>
        <w:t>ADR-035 — Separate Read-Only Foundation Conformance from Destructive Acceptance</w:t>
      </w:r>
    </w:p>
    <w:p>
      <w:r>
        <w:rPr>
          <w:rFonts w:ascii="Calibri" w:hAnsi="Calibri"/>
          <w:b/>
          <w:color w:val="111827"/>
          <w:sz w:val="22"/>
        </w:rPr>
        <w:t>Decision.</w:t>
      </w:r>
      <w:r>
        <w:rPr>
          <w:rFonts w:ascii="Calibri" w:hAnsi="Calibri"/>
          <w:color w:val="111827"/>
          <w:sz w:val="22"/>
        </w:rPr>
        <w:t xml:space="preserve"> Add an operator-invoked Python auditor that receives only explicit expected resource identities and uses read operations against STS, S3, KMS, IAM, and CloudTrail. Verify the observed account, versioning/Object Lock retention, exact default KMS encryption, private ownership, named bucket-policy denials, customer-key state and rotation, exact separate GitHub OIDC role trust/actions, and external validated CloudTrail delivery. Emit one schema-versioned non-replacing JSON report only after every check passes. Exclude caller session identity, full policies, credentials, tokens, and raw AWS responses. Do not make the auditor a credentialed routine CI job.</w:t>
      </w:r>
    </w:p>
    <w:p>
      <w:r>
        <w:rPr>
          <w:rFonts w:ascii="Calibri" w:hAnsi="Calibri"/>
          <w:b/>
          <w:color w:val="111827"/>
          <w:sz w:val="22"/>
        </w:rPr>
        <w:t>Rationale.</w:t>
      </w:r>
      <w:r>
        <w:rPr>
          <w:rFonts w:ascii="Calibri" w:hAnsi="Calibri"/>
          <w:color w:val="111827"/>
          <w:sz w:val="22"/>
        </w:rPr>
        <w:t xml:space="preserve"> Terraform mock plans prove declared intent but not deployed state. A read-only conformance phase closes part of that evidence gap without combining observation with provisioning or irreversible retained-object tests. Exact operator-supplied account/resource identity prevents discovery from silently selecting an unintended environment, while fail-closed output prevents a partial result from appearing successful.</w:t>
      </w:r>
    </w:p>
    <w:p>
      <w:r>
        <w:rPr>
          <w:rFonts w:ascii="Calibri" w:hAnsi="Calibri"/>
          <w:b/>
          <w:color w:val="111827"/>
          <w:sz w:val="22"/>
        </w:rPr>
        <w:t>Consequences.</w:t>
      </w:r>
      <w:r>
        <w:rPr>
          <w:rFonts w:ascii="Calibri" w:hAnsi="Calibri"/>
          <w:color w:val="111827"/>
          <w:sz w:val="22"/>
        </w:rPr>
        <w:t xml:space="preserve"> The auditor needs a separately governed read-only identity and its result is a point-in-time observation. Named bucket-policy statements and exact role actions intentionally reject undocumented customization. It cannot prove effective permissions, environment reviewer protection, retained-object semantics, write/delete/retention denials, CloudTrail event arrival, cost, or recoverability; those remain independent controlled acceptance exercises.</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Boto3</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provider adapter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S3 Object Lock, checksum, retention, KMS, and STS APIs through the standard short-lived credential chain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Hash-locked dependency; live use requires an independently reviewed AWS foundation and never accepts command-line access keys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Terraform 1.15 / AWS provider 6.58</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archive infrastructure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Reviewable S3 Object Lock, KMS, IAM/OIDC, bucket-policy, and CloudTrail intent with native mocked plan tests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provider lock covers Linux/Windows; state and apply authority remain external, and CI has no cloud credential or apply path</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and admission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 the Policy Controller contract repeats exact provenance verification in-cluster</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release/admission evidence, retention, revocation, and trusted-builder separation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ATEP namespace shall enforce SLSA v1 provenance for the exact image, repository, reusable signer workflow, and </w:t>
            </w:r>
            <w:r>
              <w:rPr>
                <w:rFonts w:ascii="Calibri" w:hAnsi="Calibri"/>
                <w:b w:val="0"/>
                <w:color w:val="111827"/>
                <w:sz w:val="16"/>
              </w:rPr>
              <w:t>main</w:t>
            </w:r>
            <w:r>
              <w:rPr>
                <w:rFonts w:ascii="Calibri" w:hAnsi="Calibri"/>
                <w:b w:val="0"/>
                <w:color w:val="111827"/>
                <w:sz w:val="16"/>
              </w:rPr>
              <w:t xml:space="preserve"> ref through the GitHub/Sigstore Policy Controller without exemptions.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Trust-policy values and namespace opt-in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approval shall delegate build, publication, SBOM, and signing to an input-free reusable workflow with exact identity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Caller/builder workflow boundary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successful release shall verify and manifest-bind its report, CycloneDX SBOM, attestation bundle, and current trusted roots for portable offline 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manifest and reusable builder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revocation shall preserve evidence first and prove withdrawal through online verification, promotion, and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Manifest-bound evidence shall be sealed deterministically with a separate content-addressed receipt and no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tool and receipt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fresh read-only job shall download and restore the sealed workflow artifact before release success.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 workflow restore job</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exact bounded provider evidence shall bind an immutable version, key, checksum/read-back, size, retention, encryption, writer identity, audit event, and timestamps to the local seal.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acceptance shall fully restore the local seal and emit a normalized non-replacing receipt hashing both source evidence 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and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adapter shall pre-restore the seal and atomically upload the deterministic key with full SHA-256, </w:t>
            </w:r>
            <w:r>
              <w:rPr>
                <w:rFonts w:ascii="Calibri" w:hAnsi="Calibri"/>
                <w:b w:val="0"/>
                <w:color w:val="111827"/>
                <w:sz w:val="16"/>
              </w:rPr>
              <w:t>COMPLIANCE</w:t>
            </w:r>
            <w:r>
              <w:rPr>
                <w:rFonts w:ascii="Calibri" w:hAnsi="Calibri"/>
                <w:b w:val="0"/>
                <w:color w:val="111827"/>
                <w:sz w:val="16"/>
              </w:rPr>
              <w:t xml:space="preserve"> retention, exact KMS key, and expected account.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AWS adapter shall verify retention-aware metadata and fully read back the exact returned version before normalized receipt emission.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an STS assumed-role session in the expected archive account may act as the AWS writer.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foundation shall declare a new non-destroyable private versioned bucket with Object Lock at creation, default </w:t>
            </w:r>
            <w:r>
              <w:rPr>
                <w:rFonts w:ascii="Calibri" w:hAnsi="Calibri"/>
                <w:b w:val="0"/>
                <w:color w:val="111827"/>
                <w:sz w:val="16"/>
              </w:rPr>
              <w:t>COMPLIANCE</w:t>
            </w:r>
            <w:r>
              <w:rPr>
                <w:rFonts w:ascii="Calibri" w:hAnsi="Calibri"/>
                <w:b w:val="0"/>
                <w:color w:val="111827"/>
                <w:sz w:val="16"/>
              </w:rPr>
              <w:t xml:space="preserve"> retention, exact SSE-KMS, Bucket Key, and fixed archive prefix.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PROV-036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Distinct short-lived writer and restore roles shall trust exact wildcard-free GitHub OIDC subjects and grant only required S3/KMS data-plane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PROV-037, PROV-038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Validated multi-Region CloudTrail shall record management and archive-object data events into externally governed audit storage and encryption.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Routine CI shall validate only backend-free mocked Terraform plans without AWS credentials, OIDC token issuance, or apply.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operator-only read-only auditor shall verify the expected account, archive S3 controls, archive KMS key, exact writer/restore IAM trust/actions, and external CloudTrail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foundation auditor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PROV-042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AWS foundation auditor shall emit one bounded non-replacing JSON report only after every check passes and retain no caller session identity, raw policy, credential, token, or response body.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foundation auditor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PROV-043</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admission trust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Actions issuer, exact workflow subject, SLSA v1 predicate, GitHub/Sigstore roots, no exemptions, reviewed chart versions/digests, and promotion-identical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Reusable-builder input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inputs or caller secrets; exact reusable workflow ref; reviewed main SHA; no permission elevation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Portable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distinct filenames, structured JSON/JSONL, source/image consistency, regular non-empty files, SHA-256, byte size, and no secrets/layers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digest, preserved evidence, incident authority, independent review, known-good replacement, and negative evidence before re-enablement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restoration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 destination, exact uncompressed entries, safe basenames, bounded sizes, receipt/manifest hashes, atomic output, and rejection of replacement/traversal/tampering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provider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WORM retention, version identity, strong checksum/read-back, deterministic non-replacing key, short-lived separated identities, independent keys/audit, and scheduled restore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bounded identifiers only; unknown fields, credentials, URLs with queries, and raw provider bodies are rejected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 local restore, exact provider binding, adequate locked retention, ordered UTC times, and no receipt replacement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Exact-prefix history rejects versions/delete markers; mandatory </w:t>
            </w:r>
            <w:r>
              <w:rPr>
                <w:rFonts w:ascii="Calibri" w:hAnsi="Calibri"/>
                <w:b w:val="0"/>
                <w:color w:val="111827"/>
                <w:sz w:val="16"/>
              </w:rPr>
              <w:t>If-None-Match: *</w:t>
            </w:r>
            <w:r>
              <w:rPr>
                <w:rFonts w:ascii="Calibri" w:hAnsi="Calibri"/>
                <w:b w:val="0"/>
                <w:color w:val="111827"/>
                <w:sz w:val="16"/>
              </w:rPr>
              <w:t xml:space="preserve"> rejects races without alternate key/version retry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Short-lived writer without delete, bypass, hold, lifecycle, bucket/KMS/IAM/audit administration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 and live IAM simulation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bounded verification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Streaming size-bounded local restore and exact-version read-back with no credential/raw-response retention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IaC destruction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prevent_destroy</w:t>
            </w:r>
            <w:r>
              <w:rPr>
                <w:rFonts w:ascii="Calibri" w:hAnsi="Calibri"/>
                <w:b w:val="0"/>
                <w:color w:val="111827"/>
                <w:sz w:val="16"/>
              </w:rPr>
              <w:t xml:space="preserve"> on bucket/key, no </w:t>
            </w:r>
            <w:r>
              <w:rPr>
                <w:rFonts w:ascii="Calibri" w:hAnsi="Calibri"/>
                <w:b w:val="0"/>
                <w:color w:val="111827"/>
                <w:sz w:val="16"/>
              </w:rPr>
              <w:t>force_destroy</w:t>
            </w:r>
            <w:r>
              <w:rPr>
                <w:rFonts w:ascii="Calibri" w:hAnsi="Calibri"/>
                <w:b w:val="0"/>
                <w:color w:val="111827"/>
                <w:sz w:val="16"/>
              </w:rPr>
              <w:t>, Object Lock at creation, and no routine apply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PROV-036,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administrative separation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Writer, restore, key administration, audit storage/encryption, state, and provisioning remain separate; data roles have no destructive or administrative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PROV-037 through 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Terraform/provider, Linux/Windows provider checksums, formatting, validation, and mocked positive/negative plans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independence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Log-file validation plus management/object coverage, with audit destination and key outside the archive stack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audit non-mutation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STS/S3/KMS/IAM/CloudTrail read APIs are allowed; no plan/apply, role assumption, cryptographic operation, object/retention write, or logging mutation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audit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Wrong/shared/weak/ambiguous/truncated configuration or pre-existing output prevents evidence emission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PROV-042, PROV-043</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opt-in and GitHub trust-policy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Enforcement is enabled; SLSA v1, exact repository/workflow/main-ref subject, exact ATEP image pattern, GitHub/Sigstore trust, and an empty exemption list are present; release publishes registry attestations.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Install reviewed controller/chart digests and submit attested plus unsigned, wrong-repository, wrong-workflow, wrong-ref, and revoked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valid provenance is admitted; all negative samples fail closed and retain controller plus Kubernetes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Runbook/configuration implemented;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manual release caller and reusable workflow interface.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Approval uses the protected </w:t>
            </w:r>
            <w:r>
              <w:rPr>
                <w:rFonts w:ascii="Calibri" w:hAnsi="Calibri"/>
                <w:b w:val="0"/>
                <w:color w:val="111827"/>
                <w:sz w:val="16"/>
              </w:rPr>
              <w:t>release</w:t>
            </w:r>
            <w:r>
              <w:rPr>
                <w:rFonts w:ascii="Calibri" w:hAnsi="Calibri"/>
                <w:b w:val="0"/>
                <w:color w:val="111827"/>
                <w:sz w:val="16"/>
              </w:rPr>
              <w:t xml:space="preserve"> environment; the builder runs only after approval and declares no workflow inputs or caller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Invoke or alter the builder identity/ref away from the exact workflow on </w:t>
            </w:r>
            <w:r>
              <w:rPr>
                <w:rFonts w:ascii="Calibri" w:hAnsi="Calibri"/>
                <w:b w:val="0"/>
                <w:color w:val="111827"/>
                <w:sz w:val="16"/>
              </w:rPr>
              <w:t>refs/heads/main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builder fails before registry authentication, publication, or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contract; live negative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an image attested by the caller or another workflow while promotion and admission expect the reusable builder.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exact signer gates reject the mismatched provenance; the reusable signer is accepted only with the required source SHA/ref and hosted runner.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cross-policy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a release archive manifest from matching report, CycloneDX SBOM, attestation JSONL, and trusted-root JSONL.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binds source/ref, image digest/reference, signer, timestamp, fixed roles/names, byte sizes, and SHA-256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malformed JSON/JSONL, empty, symlinked, duplicate, renamed, or source/image-mismatched archive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generation fails closed without producing trusted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malformed, empty, mismatch, duplicate, and rename coverage; symlink check implemented with platform-specific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reusable builder's download and verification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bundle and current roots are non-empty; archived SLSA provenance passes exact signer/source/runner policy before upload.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test; live GitHub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Alter one byte in each archived file and restore the package on a clean verifier.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comparison detects every mutation; intact evidence verifies offline with the retained roots.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hashing implemented; live mutation/restore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Revoke a disposable exact digest after preserving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Attestation and package/referrers are withdrawn under dual review; online verification, promotion, and admission reject it while another digest remains 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 implemented; live destructive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the same manifest and evidence twice in clean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ZIP and receipt bytes are identical; fixed object key, entry count, source/image identity, manifest hash, archive hash, and size match.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valid sealed archive and receipt into an empty directory.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exact manifest entry is extracted, re-hashed, re-sized, and bound to the receipt without partial output.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round-trip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with the ZIP or receipt; add traversal, duplicate, extra, compressed, empty, or oversized entries; or target an existing output.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fails closed before trusted output replaces any existing path.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traversal/extra, and existing-output coverage implemented; remaining negative matrix structurally enforced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the seal and receipt, then download them in a fresh read-only job.</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separate job restores successfully before the reusable release workflow completes.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contract implemented; first hosted release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selected immutable provider with existing-key, retention, identity, integrity, read-back, audit, and clean-host restore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non-replacing, checksum-matching object under locked adequate retention is catalogued; negative permissions and policy tests fail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Provider-neutral contract implemented; provider selection/live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 complete normalized provider response against a valid local seal and approved minimum retention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archive fully restores and one receipt binds the exact source/image, key/version, checksums, size, locked retention, encryption, identity, audit event, and ordered times.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object key, upload checksum, read-back checksum, size, retention mode, encryption mode, or immutable-until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fails closed and emits no trusted receipt.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negative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an unknown credential-like field or provide unsafe, unbounded, non-canonical provider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exact schema and identifier policy reject the response before evidence retention.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schema/identifier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Reverse upload/read-back/validation chronology or target an existing export receipt.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time reversal and never replaces retained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chronology/replacement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 valid seal through the S3 fake client and inspect every upload, metadata, read-back, provider-evidence, and normalized-receipt field.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Conditional full-SHA-256 upload uses </w:t>
            </w:r>
            <w:r>
              <w:rPr>
                <w:rFonts w:ascii="Calibri" w:hAnsi="Calibri"/>
                <w:b w:val="0"/>
                <w:color w:val="111827"/>
                <w:sz w:val="16"/>
              </w:rPr>
              <w:t>COMPLIANCE</w:t>
            </w:r>
            <w:r>
              <w:rPr>
                <w:rFonts w:ascii="Calibri" w:hAnsi="Calibri"/>
                <w:b w:val="0"/>
                <w:color w:val="111827"/>
                <w:sz w:val="16"/>
              </w:rPr>
              <w:t>, exact KMS/account/key, one immutable version, complete matching read-back, and both receipts.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Make the key/version or delete marker exist before upload, or introduce a concurrent </w:t>
            </w:r>
            <w:r>
              <w:rPr>
                <w:rFonts w:ascii="Calibri" w:hAnsi="Calibri"/>
                <w:b w:val="0"/>
                <w:color w:val="111827"/>
                <w:sz w:val="16"/>
              </w:rPr>
              <w:t>412 PreconditionFailed</w:t>
            </w:r>
            <w:r>
              <w:rPr>
                <w:rFonts w:ascii="Calibri" w:hAnsi="Calibri"/>
                <w:b w:val="0"/>
                <w:color w:val="111827"/>
                <w:sz w:val="16"/>
              </w:rPr>
              <w:t xml:space="preserve"> at the conditional write.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replacement or alternate version/key is attempted; export fails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history/delete-marker/concurrency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retention mode/date, provider checksum/version, encryption algorithm/key, or Bucket Key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Metadata validation rejects every weak or inconsistent provider response before trusted receipt emission.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seven-case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Return different bytes for the exact versioned read-back.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Streamed SHA-256/size comparison rejects the object and closes the response body.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tamper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a permanent IAM-user ARN or ambiguous bucket/account/KMS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Identity/configuration validation fails before upload; only an assumed role in the exact archive account is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identity/configuration evidence; live OIDC/IAM simulation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Format and validate the root module, initialize without a backend, and run the mock-provider test suite.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1.15.8 accepts the AWS provider 6.58.0 schema and all five plan-only runs pass without AWS credentials or resources.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Terraform validation/mocked-plan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planned bucket, versioning, retention, encryption, public-access, and lifecycle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Object Lock is enabled at creation, versioning and </w:t>
            </w:r>
            <w:r>
              <w:rPr>
                <w:rFonts w:ascii="Calibri" w:hAnsi="Calibri"/>
                <w:b w:val="0"/>
                <w:color w:val="111827"/>
                <w:sz w:val="16"/>
              </w:rPr>
              <w:t>COMPLIANCE</w:t>
            </w:r>
            <w:r>
              <w:rPr>
                <w:rFonts w:ascii="Calibri" w:hAnsi="Calibri"/>
                <w:b w:val="0"/>
                <w:color w:val="111827"/>
                <w:sz w:val="16"/>
              </w:rPr>
              <w:t xml:space="preserve"> are enabled, KMS/Bucket Key are exact, destruction is prevented, and </w:t>
            </w:r>
            <w:r>
              <w:rPr>
                <w:rFonts w:ascii="Calibri" w:hAnsi="Calibri"/>
                <w:b w:val="0"/>
                <w:color w:val="111827"/>
                <w:sz w:val="16"/>
              </w:rPr>
              <w:t>force_destroy</w:t>
            </w:r>
            <w:r>
              <w:rPr>
                <w:rFonts w:ascii="Calibri" w:hAnsi="Calibri"/>
                <w:b w:val="0"/>
                <w:color w:val="111827"/>
                <w:sz w:val="16"/>
              </w:rPr>
              <w:t xml:space="preserve"> is false.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mocked plan and static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writer/restore trust and identity policies for session duration, audience, subjects, prefix, data actions, and forbidden authorities.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distinct short-lived roles have only required S3/KMS data-plane actions; delete, bypass, hold, IAM, KMS administration, and audit administration are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least-privilege evidence; live IAM simulation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wildcard writer subject or reuse the writer subject for restore.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Variable validation rejects ambiguous or shared OIDC trust before a plan can succeed.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mocked-plan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the archive bucket as the audit destination or inspect CloudTrail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separation check rejects circular audit storage; the valid plan enables log-file validation, global/multi-Region management events, and archive-object data events to an external bucket/key.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positive/negative mocked-plan evidence; live delivery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routine IaC CI for backend, credential, OIDC, and execution authority.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job has read-only repository access, no AWS credential or </w:t>
            </w:r>
            <w:r>
              <w:rPr>
                <w:rFonts w:ascii="Calibri" w:hAnsi="Calibri"/>
                <w:b w:val="0"/>
                <w:color w:val="111827"/>
                <w:sz w:val="16"/>
              </w:rPr>
              <w:t>id-token</w:t>
            </w:r>
            <w:r>
              <w:rPr>
                <w:rFonts w:ascii="Calibri" w:hAnsi="Calibri"/>
                <w:b w:val="0"/>
                <w:color w:val="111827"/>
                <w:sz w:val="16"/>
              </w:rPr>
              <w:t xml:space="preserve">, uses the locked provider, and runs only format/init-without-backend/validate/test with no </w:t>
            </w:r>
            <w:r>
              <w:rPr>
                <w:rFonts w:ascii="Calibri" w:hAnsi="Calibri"/>
                <w:b w:val="0"/>
                <w:color w:val="111827"/>
                <w:sz w:val="16"/>
              </w:rPr>
              <w:t>apply</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a fully conforming foundation through simulated STS, S3, KMS, IAM, and CloudTrail clients.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Eleven exact checks pass and one schema-versioned report is atomically emitted without caller/session identity, raw policies, credentials, tokens, or response bodies.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read-only audit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account, retention, KMS binding/rotation, IAM actions, or CloudTrail logging; share audit/archive storage or writer/restore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auditor fails closed at the violated boundary and writes no report.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six provider-control negatives plus boundary negatives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auditor when its output already exists or inspect its code/API calls.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evidence is never replaced; only documented read methods are invoked and no partial temporary report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non-replacement and static review evidence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input-free reusable release builder, signed provenance/SBOM, pre-promotion verification, and exact in-cluster attestation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independently governed builder hosting, long-term evidence, live controller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an input-free exact-identity reusable builder are implemented, but caller and builder remain in the same repository and commit.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workflow code or its hosted execution context could still produce valid provenance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the builder to a separately governed repository, reference a reviewed immutable SHA, enforce independent branch protection, and retain external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deterministic seal, restore gate, normalized receipt, AWS adapter, Terraform foundation, and read-only conformance auditor exist, but Actions retains evidence for only 90 days and no protected AWS apply, live report, archive acceptance, or admission/revocation exercise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Simulated audit evidence cannot prove real account ownership, effective IAM/KMS controls, retained-object behavior, CloudTrail event arrival, cost, or clean-host recovery.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review the account/external controls, protect two-reviewer plan/apply, run the read-only audit, simulate IAM denials, then retain live upload/repeat-write/delete/shorten/bypass/CloudTrail/restore evidence before production use.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and denial/audit evidence remain;</w:t>
      </w:r>
    </w:p>
    <w:p>
      <w:pPr>
        <w:pStyle w:val="ListBullet"/>
        <w:numPr>
          <w:ilvl w:val="0"/>
          <w:numId w:val="33"/>
        </w:numPr>
      </w:pPr>
      <w:r>
        <w:rPr>
          <w:rFonts w:ascii="Calibri" w:hAnsi="Calibri"/>
          <w:color w:val="111827"/>
          <w:sz w:val="22"/>
        </w:rPr>
        <w:t>exact GitHub/Sigstore artifact-attestation admission configuration - implemented initial slice;</w:t>
      </w:r>
    </w:p>
    <w:p>
      <w:r>
        <w:rPr>
          <w:rFonts w:ascii="Calibri" w:hAnsi="Calibri"/>
          <w:color w:val="111827"/>
          <w:sz w:val="22"/>
        </w:rPr>
        <w:t>immutable chart approval, controller installation, trust status, and live positive/negative evidence remain;</w:t>
      </w:r>
    </w:p>
    <w:p>
      <w:pPr>
        <w:pStyle w:val="ListBullet"/>
        <w:numPr>
          <w:ilvl w:val="0"/>
          <w:numId w:val="34"/>
        </w:numPr>
      </w:pPr>
      <w:r>
        <w:rPr>
          <w:rFonts w:ascii="Calibri" w:hAnsi="Calibri"/>
          <w:color w:val="111827"/>
          <w:sz w:val="22"/>
        </w:rPr>
        <w:t>validating mTLS proxy, certificate lifecycle, direct-path denial, and live identity evidence;</w:t>
      </w:r>
    </w:p>
    <w:p>
      <w:pPr>
        <w:pStyle w:val="ListBullet"/>
        <w:numPr>
          <w:ilvl w:val="0"/>
          <w:numId w:val="34"/>
        </w:numPr>
      </w:pPr>
      <w:r>
        <w:rPr>
          <w:rFonts w:ascii="Calibri" w:hAnsi="Calibri"/>
          <w:color w:val="111827"/>
          <w:sz w:val="22"/>
        </w:rPr>
        <w:t>logical PostgreSQL restore drill and aggregate CI evidence - implemented initial slice;</w:t>
      </w:r>
    </w:p>
    <w:p>
      <w:pPr>
        <w:pStyle w:val="ListBullet"/>
        <w:numPr>
          <w:ilvl w:val="0"/>
          <w:numId w:val="34"/>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4"/>
        </w:numPr>
      </w:pPr>
      <w:r>
        <w:rPr>
          <w:rFonts w:ascii="Calibri" w:hAnsi="Calibri"/>
          <w:color w:val="111827"/>
          <w:sz w:val="22"/>
        </w:rPr>
        <w:t>performance, resilience, and security-policy calibration;</w:t>
      </w:r>
    </w:p>
    <w:p>
      <w:pPr>
        <w:pStyle w:val="ListBullet"/>
        <w:numPr>
          <w:ilvl w:val="0"/>
          <w:numId w:val="34"/>
        </w:numPr>
      </w:pPr>
      <w:r>
        <w:rPr>
          <w:rFonts w:ascii="Calibri" w:hAnsi="Calibri"/>
          <w:color w:val="111827"/>
          <w:sz w:val="22"/>
        </w:rPr>
        <w:t>ordered development/staging/production promotion validation and retained render evidence â€” implemented initial slice;</w:t>
      </w:r>
    </w:p>
    <w:p>
      <w:pPr>
        <w:pStyle w:val="ListBullet"/>
        <w:numPr>
          <w:ilvl w:val="0"/>
          <w:numId w:val="34"/>
        </w:numPr>
      </w:pPr>
      <w:r>
        <w:rPr>
          <w:rFonts w:ascii="Calibri" w:hAnsi="Calibri"/>
          <w:color w:val="111827"/>
          <w:sz w:val="22"/>
        </w:rPr>
        <w:t>protected GHCR release, input-free reusable builder, signed SLSA/CycloneDX attestations, and exact pre-promotion verification - implemented initial same-repository builder slice;</w:t>
      </w:r>
    </w:p>
    <w:p>
      <w:pPr>
        <w:pStyle w:val="ListBullet"/>
        <w:numPr>
          <w:ilvl w:val="0"/>
          <w:numId w:val="34"/>
        </w:numPr>
      </w:pPr>
      <w:r>
        <w:rPr>
          <w:rFonts w:ascii="Calibri" w:hAnsi="Calibri"/>
          <w:color w:val="111827"/>
          <w:sz w:val="22"/>
        </w:rPr>
        <w:t>independently governed trusted builder, product-lifetime immutable evidence provider, live attestation-admission/revocation evidence, and real provider deployment across protected environments -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5"/>
        </w:numPr>
      </w:pPr>
      <w:r>
        <w:rPr>
          <w:rFonts w:ascii="Calibri" w:hAnsi="Calibri"/>
          <w:color w:val="111827"/>
          <w:sz w:val="22"/>
        </w:rPr>
        <w:t>Provide environment-specific URLs and secrets.</w:t>
      </w:r>
    </w:p>
    <w:p>
      <w:pPr>
        <w:pStyle w:val="ListNumber"/>
        <w:numPr>
          <w:ilvl w:val="0"/>
          <w:numId w:val="35"/>
        </w:numPr>
      </w:pPr>
      <w:r>
        <w:rPr>
          <w:rFonts w:ascii="Calibri" w:hAnsi="Calibri"/>
          <w:color w:val="111827"/>
          <w:sz w:val="22"/>
        </w:rPr>
        <w:t>Start PostgreSQL, Redis, and RabbitMQ and wait for health.</w:t>
      </w:r>
    </w:p>
    <w:p>
      <w:pPr>
        <w:pStyle w:val="ListNumber"/>
        <w:numPr>
          <w:ilvl w:val="0"/>
          <w:numId w:val="35"/>
        </w:numPr>
      </w:pPr>
      <w:r>
        <w:rPr>
          <w:rFonts w:ascii="Calibri" w:hAnsi="Calibri"/>
          <w:color w:val="111827"/>
          <w:sz w:val="22"/>
        </w:rPr>
        <w:t>Apply Alembic migrations exactly once per release.</w:t>
      </w:r>
    </w:p>
    <w:p>
      <w:pPr>
        <w:pStyle w:val="ListNumber"/>
        <w:numPr>
          <w:ilvl w:val="0"/>
          <w:numId w:val="35"/>
        </w:numPr>
      </w:pPr>
      <w:r>
        <w:rPr>
          <w:rFonts w:ascii="Calibri" w:hAnsi="Calibri"/>
          <w:color w:val="111827"/>
          <w:sz w:val="22"/>
        </w:rPr>
        <w:t>Start the API and outbox worker from the same immutable image.</w:t>
      </w:r>
    </w:p>
    <w:p>
      <w:pPr>
        <w:pStyle w:val="ListNumber"/>
        <w:numPr>
          <w:ilvl w:val="0"/>
          <w:numId w:val="35"/>
        </w:numPr>
      </w:pPr>
      <w:r>
        <w:rPr>
          <w:rFonts w:ascii="Calibri" w:hAnsi="Calibri"/>
          <w:color w:val="111827"/>
          <w:sz w:val="22"/>
        </w:rPr>
        <w:t>Verify liveness and readiness.</w:t>
      </w:r>
    </w:p>
    <w:p>
      <w:pPr>
        <w:pStyle w:val="ListNumber"/>
        <w:numPr>
          <w:ilvl w:val="0"/>
          <w:numId w:val="35"/>
        </w:numPr>
      </w:pPr>
      <w:r>
        <w:rPr>
          <w:rFonts w:ascii="Calibri" w:hAnsi="Calibri"/>
          <w:color w:val="111827"/>
          <w:sz w:val="22"/>
        </w:rPr>
        <w:t>Authenticate a controlled test account and publish one smoke-test event.</w:t>
      </w:r>
    </w:p>
    <w:p>
      <w:pPr>
        <w:pStyle w:val="ListNumber"/>
        <w:numPr>
          <w:ilvl w:val="0"/>
          <w:numId w:val="35"/>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6"/>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6"/>
        </w:numPr>
      </w:pPr>
      <w:r>
        <w:rPr>
          <w:rFonts w:ascii="Calibri" w:hAnsi="Calibri"/>
          <w:color w:val="111827"/>
          <w:sz w:val="22"/>
        </w:rPr>
        <w:t>search structured logs by correlation ID and timestamp;</w:t>
      </w:r>
    </w:p>
    <w:p>
      <w:pPr>
        <w:pStyle w:val="ListBullet"/>
        <w:numPr>
          <w:ilvl w:val="0"/>
          <w:numId w:val="36"/>
        </w:numPr>
      </w:pPr>
      <w:r>
        <w:rPr>
          <w:rFonts w:ascii="Calibri" w:hAnsi="Calibri"/>
          <w:color w:val="111827"/>
          <w:sz w:val="22"/>
        </w:rPr>
        <w:t>inspect database pool, Redis availability, or RabbitMQ connection/channel state;</w:t>
      </w:r>
    </w:p>
    <w:p>
      <w:pPr>
        <w:pStyle w:val="ListBullet"/>
        <w:numPr>
          <w:ilvl w:val="0"/>
          <w:numId w:val="36"/>
        </w:numPr>
      </w:pPr>
      <w:r>
        <w:rPr>
          <w:rFonts w:ascii="Calibri" w:hAnsi="Calibri"/>
          <w:color w:val="111827"/>
          <w:sz w:val="22"/>
        </w:rPr>
        <w:t>avoid deleting outbox rows to resolve a broker outage;</w:t>
      </w:r>
    </w:p>
    <w:p>
      <w:pPr>
        <w:pStyle w:val="ListBullet"/>
        <w:numPr>
          <w:ilvl w:val="0"/>
          <w:numId w:val="36"/>
        </w:numPr>
      </w:pPr>
      <w:r>
        <w:rPr>
          <w:rFonts w:ascii="Calibri" w:hAnsi="Calibri"/>
          <w:color w:val="111827"/>
          <w:sz w:val="22"/>
        </w:rPr>
        <w:t>restore the dependency, verify automatic recovery, and review backlog age;</w:t>
      </w:r>
    </w:p>
    <w:p>
      <w:pPr>
        <w:pStyle w:val="ListBullet"/>
        <w:numPr>
          <w:ilvl w:val="0"/>
          <w:numId w:val="36"/>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evidence lifecycle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tools/build_release_archive_manifest.py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docs/release-evidence-lifecycle.md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Sealed archive and provider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tools/seal_release_archive.py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provider export gate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tools/validate_archive_export.py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S3 Object Lock adapter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tools/export_archive_to_s3.py</w:t>
            </w:r>
            <w:r>
              <w:rPr>
                <w:rFonts w:ascii="Calibri" w:hAnsi="Calibri"/>
                <w:b w:val="0"/>
                <w:color w:val="111827"/>
                <w:sz w:val="17"/>
              </w:rPr>
              <w:t xml:space="preserve">, </w:t>
            </w:r>
            <w:r>
              <w:rPr>
                <w:rFonts w:ascii="Calibri" w:hAnsi="Calibri"/>
                <w:b w:val="0"/>
                <w:color w:val="111827"/>
                <w:sz w:val="17"/>
              </w:rPr>
              <w:t>tests/test_s3_archive_export.py</w:t>
            </w:r>
            <w:r>
              <w:rPr>
                <w:rFonts w:ascii="Calibri" w:hAnsi="Calibri"/>
                <w:b w:val="0"/>
                <w:color w:val="111827"/>
                <w:sz w:val="17"/>
              </w:rPr>
              <w:t xml:space="preserve">, </w:t>
            </w:r>
            <w:r>
              <w:rPr>
                <w:rFonts w:ascii="Calibri" w:hAnsi="Calibri"/>
                <w:b w:val="0"/>
                <w:color w:val="111827"/>
                <w:sz w:val="17"/>
              </w:rPr>
              <w:t>docs/aws-s3-object-lock-adapter.md</w:t>
            </w:r>
            <w:r>
              <w:rPr>
                <w:rFonts w:ascii="Calibri" w:hAnsi="Calibri"/>
                <w:b w:val="0"/>
                <w:color w:val="111827"/>
                <w:sz w:val="17"/>
              </w:rPr>
              <w:t>, and the hash-locked Boto3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archive Terraform foundation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deploy/terraform/aws-archive-foundation/</w:t>
            </w:r>
            <w:r>
              <w:rPr>
                <w:rFonts w:ascii="Calibri" w:hAnsi="Calibri"/>
                <w:b w:val="0"/>
                <w:color w:val="111827"/>
                <w:sz w:val="17"/>
              </w:rPr>
              <w:t xml:space="preserve">, </w:t>
            </w:r>
            <w:r>
              <w:rPr>
                <w:rFonts w:ascii="Calibri" w:hAnsi="Calibri"/>
                <w:b w:val="0"/>
                <w:color w:val="111827"/>
                <w:sz w:val="17"/>
              </w:rPr>
              <w:t>.terraform.lock.hcl</w:t>
            </w:r>
            <w:r>
              <w:rPr>
                <w:rFonts w:ascii="Calibri" w:hAnsi="Calibri"/>
                <w:b w:val="0"/>
                <w:color w:val="111827"/>
                <w:sz w:val="17"/>
              </w:rPr>
              <w:t xml:space="preserve">, </w:t>
            </w:r>
            <w:r>
              <w:rPr>
                <w:rFonts w:ascii="Calibri" w:hAnsi="Calibri"/>
                <w:b w:val="0"/>
                <w:color w:val="111827"/>
                <w:sz w:val="17"/>
              </w:rPr>
              <w:t>tests/test_terraform_archive_foundation.py</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and </w:t>
            </w:r>
            <w:r>
              <w:rPr>
                <w:rFonts w:ascii="Calibri" w:hAnsi="Calibri"/>
                <w:b w:val="0"/>
                <w:color w:val="111827"/>
                <w:sz w:val="17"/>
              </w:rPr>
              <w:t>.github/dependabot.yml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archive foundation 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tools/audit_aws_archive_foundation.py</w:t>
            </w:r>
            <w:r>
              <w:rPr>
                <w:rFonts w:ascii="Calibri" w:hAnsi="Calibri"/>
                <w:b w:val="0"/>
                <w:color w:val="111827"/>
                <w:sz w:val="17"/>
              </w:rPr>
              <w:t xml:space="preserve">, </w:t>
            </w:r>
            <w:r>
              <w:rPr>
                <w:rFonts w:ascii="Calibri" w:hAnsi="Calibri"/>
                <w:b w:val="0"/>
                <w:color w:val="111827"/>
                <w:sz w:val="17"/>
              </w:rPr>
              <w:t>tests/test_aws_archive_foundation_audit.py</w:t>
            </w:r>
            <w:r>
              <w:rPr>
                <w:rFonts w:ascii="Calibri" w:hAnsi="Calibri"/>
                <w:b w:val="0"/>
                <w:color w:val="111827"/>
                <w:sz w:val="17"/>
              </w:rPr>
              <w:t xml:space="preserve">, and </w:t>
            </w:r>
            <w:r>
              <w:rPr>
                <w:rFonts w:ascii="Calibri" w:hAnsi="Calibri"/>
                <w:b w:val="0"/>
                <w:color w:val="111827"/>
                <w:sz w:val="17"/>
              </w:rPr>
              <w:t>docs/aws-archive-foundation-audit.md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w:t>
            </w:r>
            <w:r>
              <w:rPr>
                <w:rFonts w:ascii="Calibri" w:hAnsi="Calibri"/>
                <w:b w:val="0"/>
                <w:color w:val="111827"/>
                <w:sz w:val="17"/>
              </w:rPr>
              <w:t>test_release_archive.py</w:t>
            </w:r>
            <w:r>
              <w:rPr>
                <w:rFonts w:ascii="Calibri" w:hAnsi="Calibri"/>
                <w:b w:val="0"/>
                <w:color w:val="111827"/>
                <w:sz w:val="17"/>
              </w:rPr>
              <w:t xml:space="preserve">, </w:t>
            </w:r>
            <w:r>
              <w:rPr>
                <w:rFonts w:ascii="Calibri" w:hAnsi="Calibri"/>
                <w:b w:val="0"/>
                <w:color w:val="111827"/>
                <w:sz w:val="17"/>
              </w:rPr>
              <w:t>test_s3_archive_export.py</w:t>
            </w:r>
            <w:r>
              <w:rPr>
                <w:rFonts w:ascii="Calibri" w:hAnsi="Calibri"/>
                <w:b w:val="0"/>
                <w:color w:val="111827"/>
                <w:sz w:val="17"/>
              </w:rPr>
              <w:t xml:space="preserve">, </w:t>
            </w:r>
            <w:r>
              <w:rPr>
                <w:rFonts w:ascii="Calibri" w:hAnsi="Calibri"/>
                <w:b w:val="0"/>
                <w:color w:val="111827"/>
                <w:sz w:val="17"/>
              </w:rPr>
              <w:t>test_terraform_archive_foundation.py</w:t>
            </w:r>
            <w:r>
              <w:rPr>
                <w:rFonts w:ascii="Calibri" w:hAnsi="Calibri"/>
                <w:b w:val="0"/>
                <w:color w:val="111827"/>
                <w:sz w:val="17"/>
              </w:rPr>
              <w:t xml:space="preserve">, </w:t>
            </w:r>
            <w:r>
              <w:rPr>
                <w:rFonts w:ascii="Calibri" w:hAnsi="Calibri"/>
                <w:b w:val="0"/>
                <w:color w:val="111827"/>
                <w:sz w:val="17"/>
              </w:rPr>
              <w:t>test_aws_archive_foundation_audit.py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7"/>
        </w:numPr>
      </w:pPr>
      <w:r>
        <w:rPr>
          <w:rFonts w:ascii="Calibri" w:hAnsi="Calibri"/>
          <w:color w:val="111827"/>
          <w:sz w:val="22"/>
        </w:rPr>
        <w:t>update the document version and revision history;</w:t>
      </w:r>
    </w:p>
    <w:p>
      <w:pPr>
        <w:pStyle w:val="ListBullet"/>
        <w:numPr>
          <w:ilvl w:val="0"/>
          <w:numId w:val="37"/>
        </w:numPr>
      </w:pPr>
      <w:r>
        <w:rPr>
          <w:rFonts w:ascii="Calibri" w:hAnsi="Calibri"/>
          <w:color w:val="111827"/>
          <w:sz w:val="22"/>
        </w:rPr>
        <w:t>reconcile capability status against the repository;</w:t>
      </w:r>
    </w:p>
    <w:p>
      <w:pPr>
        <w:pStyle w:val="ListBullet"/>
        <w:numPr>
          <w:ilvl w:val="0"/>
          <w:numId w:val="37"/>
        </w:numPr>
      </w:pPr>
      <w:r>
        <w:rPr>
          <w:rFonts w:ascii="Calibri" w:hAnsi="Calibri"/>
          <w:color w:val="111827"/>
          <w:sz w:val="22"/>
        </w:rPr>
        <w:t>add or revise requirements and acceptance criteria;</w:t>
      </w:r>
    </w:p>
    <w:p>
      <w:pPr>
        <w:pStyle w:val="ListBullet"/>
        <w:numPr>
          <w:ilvl w:val="0"/>
          <w:numId w:val="37"/>
        </w:numPr>
      </w:pPr>
      <w:r>
        <w:rPr>
          <w:rFonts w:ascii="Calibri" w:hAnsi="Calibri"/>
          <w:color w:val="111827"/>
          <w:sz w:val="22"/>
        </w:rPr>
        <w:t>record architecture decisions and superseded decisions;</w:t>
      </w:r>
    </w:p>
    <w:p>
      <w:pPr>
        <w:pStyle w:val="ListBullet"/>
        <w:numPr>
          <w:ilvl w:val="0"/>
          <w:numId w:val="37"/>
        </w:numPr>
      </w:pPr>
      <w:r>
        <w:rPr>
          <w:rFonts w:ascii="Calibri" w:hAnsi="Calibri"/>
          <w:color w:val="111827"/>
          <w:sz w:val="22"/>
        </w:rPr>
        <w:t>update the test catalogue and executed evidence;</w:t>
      </w:r>
    </w:p>
    <w:p>
      <w:pPr>
        <w:pStyle w:val="ListBullet"/>
        <w:numPr>
          <w:ilvl w:val="0"/>
          <w:numId w:val="37"/>
        </w:numPr>
      </w:pPr>
      <w:r>
        <w:rPr>
          <w:rFonts w:ascii="Calibri" w:hAnsi="Calibri"/>
          <w:color w:val="111827"/>
          <w:sz w:val="22"/>
        </w:rPr>
        <w:t>review threat model, risk register, and technical debt;</w:t>
      </w:r>
    </w:p>
    <w:p>
      <w:pPr>
        <w:pStyle w:val="ListBullet"/>
        <w:numPr>
          <w:ilvl w:val="0"/>
          <w:numId w:val="37"/>
        </w:numPr>
      </w:pPr>
      <w:r>
        <w:rPr>
          <w:rFonts w:ascii="Calibri" w:hAnsi="Calibri"/>
          <w:color w:val="111827"/>
          <w:sz w:val="22"/>
        </w:rPr>
        <w:t>confirm roadmap priorities and Volume I exit criteria;</w:t>
      </w:r>
    </w:p>
    <w:p>
      <w:pPr>
        <w:pStyle w:val="ListBullet"/>
        <w:numPr>
          <w:ilvl w:val="0"/>
          <w:numId w:val="37"/>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0.41.0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